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27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1042"/>
        <w:gridCol w:w="1400"/>
        <w:gridCol w:w="884"/>
        <w:gridCol w:w="581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科室名称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进口或国产</w:t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功能需求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肿瘤科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直线加速器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</w:t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1.可常规进行三维适形放射治疗、动静态调强放射治疗、影像引导放射治疗、容积旋转调强放射治疗和立体定向放射治疗                                                                                                             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2.VAMT、SRS质控设备                                                                                                                                                                                               3.SBRT定位体架4套、调强放疗一体架5套                                                                                                                                                                                  4.大孔径4D-CT模拟定位机，机架孔径：≥80cm，诊断级图像，放疗专用定位床，全碳纤定位床板，可进行呼吸门控扫描，支持所有主流放射治疗设备和计划系统。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5.1套4D等中心验证矩阵及所需插件和软件系统，1套端对端立体定向验证系统，1套立体定向计划验证矩阵。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呼吸与危重症学科 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呼出一氧化氮检测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1、可选测定流速</w:t>
            </w:r>
            <w:bookmarkStart w:id="0" w:name="_GoBack"/>
            <w:bookmarkEnd w:id="0"/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2、呼气时间：正常模式、儿童&amp;老年模式、自定义模式（临床科研模式）三种模式。                                                                                                                                              3、采样方式≥三种 ；                                                                                                                                                                                                       4、分析时间 ≤2 分钟；                                                                                                                                                                                                        5、可存储≥200万个检测数据，并具备数据导出及备份功能（可随时查询患者历史数据）单机软件免费升级，有独立的工作站；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66FCE"/>
    <w:rsid w:val="031A28D4"/>
    <w:rsid w:val="1C092113"/>
    <w:rsid w:val="4C96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5">
    <w:name w:val="font61"/>
    <w:basedOn w:val="3"/>
    <w:uiPriority w:val="0"/>
    <w:rPr>
      <w:rFonts w:hint="default" w:ascii="Arial" w:hAnsi="Arial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2020-08-06T07:01:00Z</dcterms:created>
  <dc:creator>资产科肖婷</dc:creator>
  <cp:lastModifiedBy>资产科肖婷</cp:lastModifiedBy>
  <cp:lastPrinted>2020-08-06T07:05:00Z</cp:lastPrinted>
  <dcterms:modified xsi:type="dcterms:W3CDTF">2020-08-14T01:47:49Z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