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56"/>
        <w:gridCol w:w="5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2156"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产品名称</w:t>
            </w:r>
          </w:p>
        </w:tc>
        <w:tc>
          <w:tcPr>
            <w:tcW w:w="5361"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一、急救公共模块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急诊预检分诊系统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遵循卫生部的《急诊患者病情分级试点指导原则（2011 征求意见稿）》 ，规范急诊预检分诊流程，在实现分诊智能化、均质化的基础上，整合急诊重点病种绿色通道信息化平台。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患者时间采集管理</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基于</w:t>
            </w:r>
            <w:r>
              <w:rPr>
                <w:rFonts w:hint="eastAsia" w:ascii="仿宋" w:hAnsi="仿宋" w:eastAsia="仿宋" w:cs="宋体"/>
                <w:color w:val="000000"/>
                <w:kern w:val="0"/>
                <w:sz w:val="28"/>
                <w:szCs w:val="28"/>
                <w:lang w:val="en-US" w:eastAsia="zh-CN"/>
              </w:rPr>
              <w:t>标识感应器</w:t>
            </w:r>
            <w:r>
              <w:rPr>
                <w:rFonts w:hint="eastAsia" w:ascii="仿宋" w:hAnsi="仿宋" w:eastAsia="仿宋" w:cs="宋体"/>
                <w:color w:val="000000"/>
                <w:kern w:val="0"/>
                <w:sz w:val="28"/>
                <w:szCs w:val="28"/>
              </w:rPr>
              <w:t>的患者时间采集系统，相比其他物联网技术，具有精确度高、稳定性强等特点。通过可重复使用的有源</w:t>
            </w:r>
            <w:r>
              <w:rPr>
                <w:rFonts w:hint="eastAsia" w:ascii="仿宋" w:hAnsi="仿宋" w:eastAsia="仿宋" w:cs="宋体"/>
                <w:color w:val="000000"/>
                <w:kern w:val="0"/>
                <w:sz w:val="28"/>
                <w:szCs w:val="28"/>
                <w:lang w:val="en-US" w:eastAsia="zh-CN"/>
              </w:rPr>
              <w:t>标识感应器</w:t>
            </w:r>
            <w:r>
              <w:rPr>
                <w:rFonts w:hint="eastAsia" w:ascii="仿宋" w:hAnsi="仿宋" w:eastAsia="仿宋" w:cs="宋体"/>
                <w:color w:val="000000"/>
                <w:kern w:val="0"/>
                <w:sz w:val="28"/>
                <w:szCs w:val="28"/>
              </w:rPr>
              <w:t>标签腕带和感应距离可调的传感器，自动记录绿色通道中关键环节的执行情况。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多学科急救协作系统（MDT）</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MDT跨学科联合会诊平台，服务涵盖会诊建立、会诊过程记录和会诊结束。以患者为中心，多学科医生信息共享，共同完成病历资料的采集和诊疗执行的跟踪，以达到高效协作的目的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区域急救协作系统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围绕“以病人为中心的理念”，提供全流程转诊信息服务，配合智能节点提醒与反馈机制，使医联体内转诊流程更智能、更简洁，实现医联体内转诊状态、诊疗状态、诊疗结果等信息跨机构实时共享功能。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9</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专病中心电子看板</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可视化、数据化的展示医联体内专病病人急救、诊疗、转诊全过程，为客户提供更直观更智能的决策场景体验。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二、卒中急救管理信息系统软件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10</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卒中路径管理平台</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院内卒中急救质控管理，提供卒中急救流程环节和质控点定义和图形化呈现，提供卒中急救质控指标统计和数据导出，为卒中急救流程的PDCA改进和医疗资源调度提供重要数据支撑。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11</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卒中急救移动工作站</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供急救小组在患者急救过程中使用，提供绿色通道患者信息管理、关键环节的诊疗动作确认等功能，通过点选、二维码快速扫描等方式，保障数据的准确性和客观性。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12</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卒中急救工作流集成系统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面向卒中急救的院前院内工作流的集成系统。对接和提取现有信息系统中卒中相关的专病数据集、</w:t>
            </w:r>
            <w:r>
              <w:rPr>
                <w:rFonts w:hint="eastAsia" w:ascii="仿宋" w:hAnsi="仿宋" w:eastAsia="仿宋" w:cs="宋体"/>
                <w:color w:val="000000"/>
                <w:kern w:val="0"/>
                <w:sz w:val="28"/>
                <w:szCs w:val="28"/>
                <w:lang w:val="en-US" w:eastAsia="zh-CN"/>
              </w:rPr>
              <w:t>急诊</w:t>
            </w:r>
            <w:r>
              <w:rPr>
                <w:rFonts w:hint="eastAsia" w:ascii="仿宋" w:hAnsi="仿宋" w:eastAsia="仿宋" w:cs="宋体"/>
                <w:color w:val="000000"/>
                <w:kern w:val="0"/>
                <w:sz w:val="28"/>
                <w:szCs w:val="28"/>
              </w:rPr>
              <w:t>预检分诊系统改造、内外网数据同步、多种二维码的准备、时间校准与核对、系统应用及维护培训等。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13</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卒中专病数据库</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基于相关医学信息标准，结合卒中临床与科研的实际需要，覆盖卒中患者院前急救，院中诊断和治疗，以及院后管理和康复的完整患者档案，系统支持数据采集、管理、分析、统计和报告。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14</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卒中专病质控管理和运营统计</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院内卒中急救质控管理，提供卒中急救流程环节和质控点定义和图形化呈现，提供卒中急救质控指标统计和数据导出，为卒中急救流程的PDCA改进和医疗资源调度提供重要数据支撑。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卒中数据集成网关</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数据采集平台能够对接HIS、LIS、PACS、急诊信息系统等，获取需要上报的患者信息，避免二次填写，减少上报时的工作量。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卒中中心认证数据采集上报</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按照卒中中心的上报数据标准，将我院卒中病历按卒中中心要求上报至卒中中心的数据平台，同时数据采集平台能够保证内网填写信息上报到外网数据中心整个过程的安全性。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卒中随访管理系统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以医生为主体，以服务患者为中心，全面满足医院实际随访需求，优化随访流程，提升随访工作效率。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卒中筛查管理系统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根据国家脑防委发布的筛查量表，为医院的卒中筛查需求提供系统支持。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19</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卒中中心医联体内部数据上报门户</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按照医联体卒中中心的上报数据标准，将我院卒中病历按卒中中心要求上报至医联体卒中中心的数据平台，同时数据采集平台能够保证内网填写信息上报到外网数据中心整个过程的安全性。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三、胸痛急救管理信息系统软件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20</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胸痛路径管理平台</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院内胸痛急救质控管理，提供卒中急救流程环节和质控点定义和图形化呈现，提供胸痛急救质控指标统计和数据导出，为胸痛急救流程的PDCA改进和医疗资源调度提供重要数据支撑。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21</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胸痛急救移动工作站</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供急救小组在患者急救过程中使用，提供绿色通道患者信息管理、关键环节的诊疗动作确认等功能，通过点选、二维码快速扫描等方式，保障数据的准确性和客观性。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22</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胸痛急救工作流集成系统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面向胸痛急救的院前院内工作流的集成系统。对接和提取现有信息系统中胸痛相关的专病数据集、</w:t>
            </w:r>
            <w:r>
              <w:rPr>
                <w:rFonts w:hint="eastAsia" w:ascii="仿宋" w:hAnsi="仿宋" w:eastAsia="仿宋" w:cs="宋体"/>
                <w:color w:val="000000"/>
                <w:kern w:val="0"/>
                <w:sz w:val="28"/>
                <w:szCs w:val="28"/>
                <w:lang w:val="en-US" w:eastAsia="zh-CN"/>
              </w:rPr>
              <w:t>急诊</w:t>
            </w:r>
            <w:r>
              <w:rPr>
                <w:rFonts w:hint="eastAsia" w:ascii="仿宋" w:hAnsi="仿宋" w:eastAsia="仿宋" w:cs="宋体"/>
                <w:color w:val="000000"/>
                <w:kern w:val="0"/>
                <w:sz w:val="28"/>
                <w:szCs w:val="28"/>
              </w:rPr>
              <w:t>预检分诊系统改造、内外网数据同步、多种二维码的准备、时间校准与核对、系统应用及维护培训等。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23</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胸痛专病数据库</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基于相关医学信息标准，结合卒中临床与科研的实际需要，覆盖胸痛患者院前急救，院中诊断和治疗，以及院后管理和康复的完整患者档案，系统支持数据采集、管理、分析、统计和报告。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胸痛专病质控管理和运营统计</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院内胸痛急救质控管理，提供胸痛急救流程环节和质控点定义和图形化呈现，提供胸痛急救质控指标统计和数据导出，为胸痛急救流程的PDCA改进和医疗资源调度提供重要数据支撑。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胸痛数据集成网关</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数据采集平台能够对接HIS、LIS、PACS、急诊信息系统等，获取需要上报的患者信息，避免二次填写，减少上报时的工作量。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胸痛中心认证数据采集上报</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按照胸痛中心的上报数据标准，将我院胸痛病历按卒中中心要求上报至胸痛中心的数据平台，同时数据采集平台能够保证内网填写信息上报到外网数据中心整个过程的安全性。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胸痛随访管理系统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以医生为主体，以服务患者为中心，全面满足医院实际随访需求，优化随访流程，提升随访工作效率。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29</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胸痛中心医联体内部数据上报门户</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按照医联体胸痛中心的上报数据标准，将我院胸痛病历按胸痛中心要求上报至医联体胸痛中心的数据平台，同时数据采集平台能够保证内网填写信息上报到外网数据中心整个过程的安全性。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四、创伤急救管理信息系统软件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30</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创伤路径管理平台</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院内创伤急救质控管理，提供创伤急救流程环节和质控点定义和图形化呈现，提供创伤急救质控指标统计和数据导出，为创伤急救流程的PDCA改进和医疗资源调度提供重要数据支撑。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31</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创伤急救移动工作站</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供急救小组在患者急救过程中使用，提供绿色通道患者信息管理、关键环节的诊疗动作确认等功能，通过点选、二维码快速扫描等方式，保障数据的准确性和客观性。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32</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创伤急救工作流集成系统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面向创伤急救的院前院内工作流的集成系统。对接和提取现有信息系统中创伤相关的专病数据集、</w:t>
            </w:r>
            <w:r>
              <w:rPr>
                <w:rFonts w:hint="eastAsia" w:ascii="仿宋" w:hAnsi="仿宋" w:eastAsia="仿宋" w:cs="宋体"/>
                <w:color w:val="000000"/>
                <w:kern w:val="0"/>
                <w:sz w:val="28"/>
                <w:szCs w:val="28"/>
                <w:lang w:val="en-US" w:eastAsia="zh-CN"/>
              </w:rPr>
              <w:t>急诊</w:t>
            </w:r>
            <w:r>
              <w:rPr>
                <w:rFonts w:hint="eastAsia" w:ascii="仿宋" w:hAnsi="仿宋" w:eastAsia="仿宋" w:cs="宋体"/>
                <w:color w:val="000000"/>
                <w:kern w:val="0"/>
                <w:sz w:val="28"/>
                <w:szCs w:val="28"/>
              </w:rPr>
              <w:t>预检分诊系统改造、内外网数据同步、多种二维码的准备、时间校准与核对、系统应用及维护培训等。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33</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创伤专病数据库</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基于相关医学信息标准，结合创伤临床与科研的实际需要，覆盖创伤患者院前急救，院中诊断和治疗，以及院后管理和康复的完整患者档案，系统支持数据采集、管理、分析、统计和报告。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34</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创伤专病质控管理和运营统计</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院内创伤急救质控管理，提供创伤急救流程环节和质控点定义和图形化呈现，提供创伤急救质控指标统计和数据导出，为创伤急救流程的PDCA改进和医疗资源调度提供重要数据支撑。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创伤数据集成网关</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数据采集平台能够对接HIS、LIS、PACS、急诊信息系统等，获取需要上报的患者信息，避免二次填写，减少上报时的工作量。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创伤随访管理系统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以医生为主体，以服务患者为中心，全面满足医院实际随访需求，优化随访流程，提升随访工作效率。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shd w:val="clear" w:color="auto" w:fill="auto"/>
            <w:noWrap/>
            <w:vAlign w:val="center"/>
          </w:tcPr>
          <w:p>
            <w:pPr>
              <w:widowControl/>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37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创伤中心医联体内部数据上报门户</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按照医联体创伤中心的上报数据标准，将我院创伤病历按创伤中心要求上报至医联体创伤中心的数据平台，同时数据采集平台能够保证内网填写信息上报到外网数据中心整个过程的安全性。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五、急救管理信息系统软件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服务器管理系统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提供急诊临床信息系统的各项数据和应用服务功能的管理。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vMerge w:val="restart"/>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39</w:t>
            </w:r>
          </w:p>
        </w:tc>
        <w:tc>
          <w:tcPr>
            <w:tcW w:w="2156" w:type="dxa"/>
            <w:vMerge w:val="restart"/>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预检分诊子系统</w:t>
            </w:r>
          </w:p>
        </w:tc>
        <w:tc>
          <w:tcPr>
            <w:tcW w:w="5361" w:type="dxa"/>
            <w:shd w:val="clear" w:color="auto" w:fill="auto"/>
            <w:vAlign w:val="center"/>
          </w:tcPr>
          <w:p>
            <w:pPr>
              <w:widowControl/>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遵循卫健委的《急诊患者病情分级试点指导原则（2011 征求意见稿）》 ，规范急诊预检分诊流程，在实现分诊智能化、均质化的基础上，整合急诊重点病种绿色通道信息化平台。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支持分诊登记功能，能够打印腕带，管理急诊抢救患者。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支持快速获取身份信息。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支持绿色通道。支持群伤、批量抢救患者登记。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支持三无患者登记。支持婴幼儿和儿童急诊患者登记建档。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体征数据自动采集、上传。能够实现自动分级、自动选择患者流向。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对于绿色通道等紧急抢救患者，允许选定床旁监护仪，自动采集体征数据，补录分诊信息。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支持评分管理，系统通过评分自动对患者病情按轻重缓急做系统分级。支持MEWS评分、REMS评分、GCS评分、创伤评分、痛疼评分等。内嵌病情分级知识库，提供常用主诉、判定依据集合。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vMerge w:val="continue"/>
            <w:vAlign w:val="center"/>
          </w:tcPr>
          <w:p>
            <w:pPr>
              <w:widowControl/>
              <w:jc w:val="left"/>
              <w:rPr>
                <w:rFonts w:ascii="仿宋" w:hAnsi="仿宋" w:eastAsia="仿宋" w:cs="宋体"/>
                <w:color w:val="000000"/>
                <w:kern w:val="0"/>
                <w:sz w:val="28"/>
                <w:szCs w:val="28"/>
              </w:rPr>
            </w:pPr>
          </w:p>
        </w:tc>
        <w:tc>
          <w:tcPr>
            <w:tcW w:w="2156" w:type="dxa"/>
            <w:vMerge w:val="continue"/>
            <w:vAlign w:val="center"/>
          </w:tcPr>
          <w:p>
            <w:pPr>
              <w:widowControl/>
              <w:jc w:val="left"/>
              <w:rPr>
                <w:rFonts w:ascii="仿宋" w:hAnsi="仿宋" w:eastAsia="仿宋" w:cs="宋体"/>
                <w:color w:val="000000"/>
                <w:kern w:val="0"/>
                <w:sz w:val="28"/>
                <w:szCs w:val="28"/>
              </w:rPr>
            </w:pP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根据相关急救原则和规定，对于从120救护车渠道到诊的患者、自行到院的患者、从门诊转急诊的患者，实现合理的挂号分诊流程。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40</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急诊电子病历子系统（抢救区）</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采用结构化电子病历，提供个性化的抢救区模板定制，满足多病种的病历需求，实现快速高效准确的病历记录。同时支持个人信息维护、生命体征与评分展示、就诊区域流转展示。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41</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急诊护理子系统（抢救区）</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提供抢救区护理管理，包括床位管理、医嘱执行，观察项管理，出入量管理，导管管理，评分管理，护理记录等。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急诊电子病历子系统（留观区）</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采用结构化电子病历，提供个性化的留观区模板定制，满足多病种的病历需求，实现快速高效准确的病历记录。同时支持个人信息维护、生命体征与评分展示、就诊区域流转展示。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43</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急诊护理子系统（留观区）</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提供留观区护理管理，包括床位管理、医嘱执行，观察项管理，出入量管理，导管管理，评分管理，护理记录等。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44</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急诊输液管理子系统（含急诊移动输液子系统）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以急诊输液室工作流程为依据，实现输液室精细化管理，减少护士医嘱处理的时间,提高转抄及执行医嘱正确率,记录护士工作量，提升急诊输液室护士及患者的满意度。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急诊质控管理子系统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可实现最新的急诊质控指标展示及原始数据追溯，提供多种急诊科室统计，满足科室质控和管理需求。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急诊交接班子系统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提供交接班统计：全景展示在科患者情况，出入转情况；支持对一个或多个患者进行医生/护理交班。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急诊会诊管理子系统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支持急会诊、普通会诊、多学科联合会诊，支持完整会诊流程记录，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急诊专科排队叫号子系统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规范急诊排队叫号流程，实现不同病情的患者不同的排队规则，有效利用有限的急诊资源。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49</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急诊电子看板子系统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部署于急诊科相关区域，以大屏幕实时清晰呈现急诊医疗资源占用情况、区域内病人一览信息，值班医护基本信息， 是急诊精细化管理的必要组成部分。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50</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急诊电子病历子系统（诊区）</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一个实用性强的诊区医生工作平台，采用结构化电子病历，提供个性化的模板定制，满足多病种的病历需求，实现快速高效准确的病历记录。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51</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移动护理子系统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支持移动终端在床旁核对患者信息、执行医嘱，通过医嘱闭环实现患者安全管理，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52</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移动查房子系统</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支持移动终端在床旁调阅患者诊疗资料，核对患者信息、查看医嘱执行情况，查阅检查检验报告。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53</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设备集成网关</w:t>
            </w:r>
          </w:p>
        </w:tc>
        <w:tc>
          <w:tcPr>
            <w:tcW w:w="5361"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与急诊常用仪器(监护仪、呼吸机、输液泵、血气、心肌标志物等)进行通讯，实时采集数据。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96" w:type="dxa"/>
            <w:gridSpan w:val="3"/>
            <w:shd w:val="clear" w:color="000000" w:fill="D9D9D9"/>
            <w:noWrap/>
            <w:vAlign w:val="center"/>
          </w:tcPr>
          <w:p>
            <w:pPr>
              <w:widowControl/>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六、配套硬件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54</w:t>
            </w:r>
          </w:p>
        </w:tc>
        <w:tc>
          <w:tcPr>
            <w:tcW w:w="2156" w:type="dxa"/>
            <w:shd w:val="clear" w:color="auto" w:fill="auto"/>
            <w:noWrap/>
            <w:vAlign w:val="center"/>
          </w:tcPr>
          <w:p>
            <w:pPr>
              <w:widowControl/>
              <w:jc w:val="left"/>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RFID 传感器</w:t>
            </w:r>
          </w:p>
        </w:tc>
        <w:tc>
          <w:tcPr>
            <w:tcW w:w="5361" w:type="dxa"/>
            <w:shd w:val="clear" w:color="auto" w:fill="auto"/>
            <w:noWrap/>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10套，信号标60个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55</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授时服务</w:t>
            </w:r>
          </w:p>
        </w:tc>
        <w:tc>
          <w:tcPr>
            <w:tcW w:w="5361" w:type="dxa"/>
            <w:shd w:val="clear" w:color="auto" w:fill="auto"/>
            <w:noWrap/>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一套，北斗GPS授时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56</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打印机</w:t>
            </w:r>
          </w:p>
        </w:tc>
        <w:tc>
          <w:tcPr>
            <w:tcW w:w="5361" w:type="dxa"/>
            <w:shd w:val="clear" w:color="auto" w:fill="auto"/>
            <w:noWrap/>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标签、腕带打印</w:t>
            </w:r>
            <w:bookmarkStart w:id="0" w:name="_GoBack"/>
            <w:bookmarkEnd w:id="0"/>
            <w:r>
              <w:rPr>
                <w:rFonts w:hint="eastAsia" w:ascii="仿宋" w:hAnsi="仿宋" w:eastAsia="仿宋" w:cs="宋体"/>
                <w:color w:val="000000"/>
                <w:kern w:val="0"/>
                <w:sz w:val="28"/>
                <w:szCs w:val="28"/>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57</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PDA手持</w:t>
            </w:r>
          </w:p>
        </w:tc>
        <w:tc>
          <w:tcPr>
            <w:tcW w:w="5361" w:type="dxa"/>
            <w:shd w:val="clear" w:color="auto" w:fill="auto"/>
            <w:noWrap/>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一批，按需安装（15套）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9" w:type="dxa"/>
            <w:shd w:val="clear" w:color="auto" w:fill="auto"/>
            <w:noWrap/>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58</w:t>
            </w:r>
          </w:p>
        </w:tc>
        <w:tc>
          <w:tcPr>
            <w:tcW w:w="2156" w:type="dxa"/>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大屏一体机</w:t>
            </w:r>
          </w:p>
        </w:tc>
        <w:tc>
          <w:tcPr>
            <w:tcW w:w="5361" w:type="dxa"/>
            <w:shd w:val="clear" w:color="auto" w:fill="auto"/>
            <w:noWrap/>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3套</w:t>
            </w:r>
          </w:p>
        </w:tc>
      </w:tr>
    </w:tbl>
    <w:p>
      <w:pPr>
        <w:widowControl/>
        <w:jc w:val="righ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急诊科</w:t>
      </w:r>
    </w:p>
    <w:p>
      <w:pPr>
        <w:widowControl/>
        <w:jc w:val="righ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2020年9月11日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BE"/>
    <w:rsid w:val="002A5CA8"/>
    <w:rsid w:val="00375EBE"/>
    <w:rsid w:val="00C07A08"/>
    <w:rsid w:val="00D75AFB"/>
    <w:rsid w:val="05460832"/>
    <w:rsid w:val="10E22F5C"/>
    <w:rsid w:val="30984E1E"/>
    <w:rsid w:val="71804F74"/>
    <w:rsid w:val="79D2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675</Words>
  <Characters>3851</Characters>
  <Lines>32</Lines>
  <Paragraphs>9</Paragraphs>
  <TotalTime>5</TotalTime>
  <ScaleCrop>false</ScaleCrop>
  <LinksUpToDate>false</LinksUpToDate>
  <CharactersWithSpaces>4517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2020-09-11T07:25:00Z</dcterms:created>
  <dc:creator> </dc:creator>
  <cp:lastModifiedBy>李</cp:lastModifiedBy>
  <dcterms:modified xsi:type="dcterms:W3CDTF">2020-09-15T08:47:45Z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