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rPr>
          <w:rFonts w:ascii="Times New Roman" w:hAnsi="Times New Roman" w:eastAsia="黑体"/>
          <w:color w:val="auto"/>
          <w:sz w:val="72"/>
          <w:szCs w:val="72"/>
        </w:rPr>
      </w:pPr>
    </w:p>
    <w:p>
      <w:pPr>
        <w:pStyle w:val="16"/>
        <w:rPr>
          <w:color w:val="auto"/>
        </w:rPr>
      </w:pPr>
    </w:p>
    <w:p>
      <w:pPr>
        <w:spacing w:line="720" w:lineRule="auto"/>
        <w:jc w:val="center"/>
        <w:rPr>
          <w:rFonts w:ascii="Times New Roman" w:hAnsi="Times New Roman" w:eastAsia="黑体" w:cs="Times New Roman"/>
          <w:color w:val="auto"/>
          <w:sz w:val="44"/>
          <w:szCs w:val="44"/>
          <w:highlight w:val="none"/>
        </w:rPr>
      </w:pPr>
      <w:r>
        <w:rPr>
          <w:rFonts w:ascii="Times New Roman" w:hAnsi="Times New Roman" w:eastAsia="黑体" w:cs="Times New Roman"/>
          <w:color w:val="auto"/>
          <w:sz w:val="44"/>
          <w:szCs w:val="44"/>
          <w:highlight w:val="none"/>
        </w:rPr>
        <w:t>核技术利用建设项目</w:t>
      </w:r>
    </w:p>
    <w:p>
      <w:pPr>
        <w:spacing w:line="600" w:lineRule="auto"/>
        <w:jc w:val="center"/>
        <w:rPr>
          <w:rFonts w:ascii="Times New Roman" w:hAnsi="Times New Roman" w:eastAsia="黑体" w:cs="Times New Roman"/>
          <w:bCs/>
          <w:color w:val="auto"/>
          <w:sz w:val="72"/>
          <w:szCs w:val="72"/>
          <w:highlight w:val="none"/>
        </w:rPr>
      </w:pPr>
    </w:p>
    <w:p>
      <w:pPr>
        <w:spacing w:line="600" w:lineRule="auto"/>
        <w:jc w:val="center"/>
        <w:rPr>
          <w:rFonts w:hint="eastAsia" w:ascii="黑体" w:hAnsi="黑体" w:eastAsia="黑体" w:cs="黑体"/>
          <w:b w:val="0"/>
          <w:bCs w:val="0"/>
          <w:color w:val="auto"/>
          <w:sz w:val="48"/>
          <w:szCs w:val="48"/>
          <w:highlight w:val="none"/>
          <w:lang w:val="en-US" w:eastAsia="zh-CN"/>
        </w:rPr>
      </w:pPr>
    </w:p>
    <w:p>
      <w:pPr>
        <w:spacing w:line="600" w:lineRule="auto"/>
        <w:jc w:val="center"/>
        <w:rPr>
          <w:rFonts w:hint="eastAsia" w:ascii="黑体" w:hAnsi="黑体" w:eastAsia="黑体" w:cs="黑体"/>
          <w:b w:val="0"/>
          <w:bCs w:val="0"/>
          <w:color w:val="auto"/>
          <w:sz w:val="48"/>
          <w:szCs w:val="48"/>
          <w:highlight w:val="none"/>
        </w:rPr>
      </w:pPr>
      <w:r>
        <w:rPr>
          <w:rFonts w:hint="eastAsia" w:ascii="黑体" w:hAnsi="黑体" w:eastAsia="黑体" w:cs="黑体"/>
          <w:b w:val="0"/>
          <w:bCs w:val="0"/>
          <w:color w:val="auto"/>
          <w:sz w:val="48"/>
          <w:szCs w:val="48"/>
          <w:highlight w:val="none"/>
          <w:lang w:val="en-US" w:eastAsia="zh-CN"/>
        </w:rPr>
        <w:t>新增放射性同位素及医用射线装置项目环境影响报告表</w:t>
      </w:r>
    </w:p>
    <w:p>
      <w:pPr>
        <w:jc w:val="center"/>
        <w:rPr>
          <w:rFonts w:ascii="Times New Roman" w:hAnsi="Times New Roman" w:cs="Times New Roman"/>
          <w:b/>
          <w:bCs/>
          <w:color w:val="auto"/>
          <w:sz w:val="44"/>
          <w:szCs w:val="44"/>
          <w:highlight w:val="none"/>
        </w:rPr>
      </w:pPr>
      <w:r>
        <w:rPr>
          <w:rFonts w:ascii="Times New Roman" w:hAnsi="Times New Roman" w:cs="Times New Roman"/>
          <w:b/>
          <w:bCs/>
          <w:color w:val="auto"/>
          <w:sz w:val="36"/>
          <w:szCs w:val="36"/>
          <w:highlight w:val="none"/>
        </w:rPr>
        <w:t>（</w:t>
      </w:r>
      <w:r>
        <w:rPr>
          <w:rFonts w:hint="eastAsia" w:ascii="Times New Roman" w:hAnsi="Times New Roman" w:cs="Times New Roman"/>
          <w:b/>
          <w:bCs/>
          <w:color w:val="auto"/>
          <w:sz w:val="36"/>
          <w:szCs w:val="36"/>
          <w:highlight w:val="none"/>
          <w:lang w:val="en-US" w:eastAsia="zh-CN"/>
        </w:rPr>
        <w:t>公示本</w:t>
      </w:r>
      <w:r>
        <w:rPr>
          <w:rFonts w:ascii="Times New Roman" w:hAnsi="Times New Roman" w:cs="Times New Roman"/>
          <w:b/>
          <w:bCs/>
          <w:color w:val="auto"/>
          <w:sz w:val="36"/>
          <w:szCs w:val="36"/>
          <w:highlight w:val="none"/>
        </w:rPr>
        <w:t>）</w:t>
      </w:r>
    </w:p>
    <w:p>
      <w:pPr>
        <w:rPr>
          <w:rFonts w:ascii="Times New Roman" w:hAnsi="Times New Roman" w:cs="Times New Roman"/>
          <w:color w:val="auto"/>
          <w:sz w:val="52"/>
          <w:szCs w:val="52"/>
          <w:highlight w:val="none"/>
        </w:rPr>
      </w:pPr>
    </w:p>
    <w:p>
      <w:pPr>
        <w:tabs>
          <w:tab w:val="left" w:pos="6846"/>
        </w:tabs>
        <w:rPr>
          <w:rFonts w:hint="eastAsia" w:ascii="Times New Roman" w:hAnsi="Times New Roman" w:eastAsia="宋体" w:cs="Times New Roman"/>
          <w:color w:val="auto"/>
          <w:sz w:val="52"/>
          <w:szCs w:val="52"/>
          <w:highlight w:val="none"/>
          <w:lang w:eastAsia="zh-CN"/>
        </w:rPr>
      </w:pPr>
      <w:r>
        <w:rPr>
          <w:rFonts w:hint="eastAsia" w:ascii="Times New Roman" w:hAnsi="Times New Roman" w:cs="Times New Roman"/>
          <w:color w:val="auto"/>
          <w:sz w:val="52"/>
          <w:szCs w:val="52"/>
          <w:highlight w:val="none"/>
          <w:lang w:eastAsia="zh-CN"/>
        </w:rPr>
        <w:tab/>
      </w:r>
    </w:p>
    <w:p>
      <w:pPr>
        <w:rPr>
          <w:rFonts w:ascii="Times New Roman" w:hAnsi="Times New Roman" w:cs="Times New Roman"/>
          <w:color w:val="auto"/>
          <w:sz w:val="52"/>
          <w:szCs w:val="52"/>
          <w:highlight w:val="none"/>
        </w:rPr>
      </w:pPr>
    </w:p>
    <w:p>
      <w:pPr>
        <w:rPr>
          <w:rFonts w:ascii="Times New Roman" w:hAnsi="Times New Roman" w:cs="Times New Roman"/>
          <w:color w:val="auto"/>
          <w:sz w:val="52"/>
          <w:szCs w:val="52"/>
          <w:highlight w:val="none"/>
        </w:rPr>
      </w:pPr>
    </w:p>
    <w:p>
      <w:pPr>
        <w:jc w:val="both"/>
        <w:rPr>
          <w:rFonts w:ascii="Times New Roman" w:hAnsi="Times New Roman" w:eastAsia="宋体" w:cs="Times New Roman"/>
          <w:b/>
          <w:bCs/>
          <w:color w:val="auto"/>
          <w:sz w:val="36"/>
          <w:szCs w:val="36"/>
          <w:highlight w:val="none"/>
        </w:rPr>
      </w:pPr>
    </w:p>
    <w:p>
      <w:pPr>
        <w:pStyle w:val="16"/>
        <w:rPr>
          <w:color w:val="auto"/>
          <w:highlight w:val="none"/>
        </w:rPr>
      </w:pPr>
    </w:p>
    <w:p>
      <w:pPr>
        <w:jc w:val="center"/>
        <w:rPr>
          <w:rFonts w:ascii="Times New Roman" w:hAnsi="Times New Roman" w:eastAsia="宋体" w:cs="Times New Roman"/>
          <w:b/>
          <w:bCs/>
          <w:color w:val="auto"/>
          <w:sz w:val="36"/>
          <w:szCs w:val="36"/>
          <w:highlight w:val="none"/>
        </w:rPr>
      </w:pPr>
      <w:r>
        <w:rPr>
          <w:rFonts w:hint="eastAsia" w:ascii="Times New Roman" w:hAnsi="Times New Roman" w:cs="Times New Roman"/>
          <w:b/>
          <w:bCs/>
          <w:color w:val="auto"/>
          <w:sz w:val="36"/>
          <w:szCs w:val="36"/>
          <w:highlight w:val="none"/>
          <w:lang w:val="en-US" w:eastAsia="zh-CN"/>
        </w:rPr>
        <w:t>成都市第五人民医院</w:t>
      </w:r>
    </w:p>
    <w:p>
      <w:pPr>
        <w:jc w:val="center"/>
        <w:rPr>
          <w:rFonts w:ascii="Times New Roman" w:hAnsi="Times New Roman" w:eastAsia="宋体" w:cs="Times New Roman"/>
          <w:b/>
          <w:bCs/>
          <w:color w:val="auto"/>
          <w:sz w:val="36"/>
          <w:szCs w:val="36"/>
          <w:highlight w:val="none"/>
        </w:rPr>
      </w:pPr>
      <w:r>
        <w:rPr>
          <w:rFonts w:ascii="Times New Roman" w:hAnsi="Times New Roman" w:eastAsia="宋体" w:cs="Times New Roman"/>
          <w:b/>
          <w:bCs/>
          <w:color w:val="auto"/>
          <w:sz w:val="36"/>
          <w:szCs w:val="36"/>
          <w:highlight w:val="none"/>
        </w:rPr>
        <w:t>二0二</w:t>
      </w:r>
      <w:r>
        <w:rPr>
          <w:rFonts w:hint="eastAsia" w:ascii="Times New Roman" w:hAnsi="Times New Roman" w:cs="Times New Roman"/>
          <w:b/>
          <w:bCs/>
          <w:color w:val="auto"/>
          <w:sz w:val="36"/>
          <w:szCs w:val="36"/>
          <w:highlight w:val="none"/>
          <w:lang w:val="en-US" w:eastAsia="zh-CN"/>
        </w:rPr>
        <w:t>一</w:t>
      </w:r>
      <w:r>
        <w:rPr>
          <w:rFonts w:ascii="Times New Roman" w:hAnsi="Times New Roman" w:eastAsia="宋体" w:cs="Times New Roman"/>
          <w:b/>
          <w:bCs/>
          <w:color w:val="auto"/>
          <w:sz w:val="36"/>
          <w:szCs w:val="36"/>
          <w:highlight w:val="none"/>
        </w:rPr>
        <w:t>年</w:t>
      </w:r>
      <w:r>
        <w:rPr>
          <w:rFonts w:hint="eastAsia" w:ascii="Times New Roman" w:hAnsi="Times New Roman" w:cs="Times New Roman"/>
          <w:b/>
          <w:bCs/>
          <w:color w:val="auto"/>
          <w:sz w:val="36"/>
          <w:szCs w:val="36"/>
          <w:highlight w:val="none"/>
          <w:lang w:val="en-US" w:eastAsia="zh-CN"/>
        </w:rPr>
        <w:t>三</w:t>
      </w:r>
      <w:r>
        <w:rPr>
          <w:rFonts w:ascii="Times New Roman" w:hAnsi="Times New Roman" w:eastAsia="宋体" w:cs="Times New Roman"/>
          <w:b/>
          <w:bCs/>
          <w:color w:val="auto"/>
          <w:sz w:val="36"/>
          <w:szCs w:val="36"/>
          <w:highlight w:val="none"/>
        </w:rPr>
        <w:t>月</w:t>
      </w:r>
    </w:p>
    <w:p>
      <w:pPr>
        <w:pStyle w:val="16"/>
        <w:rPr>
          <w:color w:val="auto"/>
          <w:highlight w:val="none"/>
        </w:rPr>
      </w:pPr>
    </w:p>
    <w:p>
      <w:pPr>
        <w:jc w:val="center"/>
        <w:rPr>
          <w:rFonts w:ascii="Times New Roman" w:hAnsi="Times New Roman" w:cs="Times New Roman"/>
          <w:b/>
          <w:color w:val="auto"/>
          <w:sz w:val="36"/>
          <w:szCs w:val="36"/>
          <w:highlight w:val="none"/>
        </w:rPr>
      </w:pPr>
      <w:r>
        <w:rPr>
          <w:rFonts w:hint="eastAsia" w:ascii="Times New Roman" w:hAnsi="Times New Roman" w:cs="Times New Roman"/>
          <w:b/>
          <w:color w:val="auto"/>
          <w:sz w:val="36"/>
          <w:szCs w:val="36"/>
          <w:highlight w:val="none"/>
        </w:rPr>
        <w:t>生态</w:t>
      </w:r>
      <w:r>
        <w:rPr>
          <w:rFonts w:ascii="Times New Roman" w:hAnsi="Times New Roman" w:cs="Times New Roman"/>
          <w:b/>
          <w:color w:val="auto"/>
          <w:sz w:val="36"/>
          <w:szCs w:val="36"/>
          <w:highlight w:val="none"/>
        </w:rPr>
        <w:t>环境部监制</w:t>
      </w:r>
    </w:p>
    <w:p>
      <w:pPr>
        <w:jc w:val="center"/>
        <w:rPr>
          <w:rFonts w:ascii="Times New Roman" w:hAnsi="Times New Roman"/>
          <w:b/>
          <w:color w:val="auto"/>
          <w:sz w:val="36"/>
          <w:szCs w:val="36"/>
        </w:rPr>
      </w:pPr>
    </w:p>
    <w:p>
      <w:pPr>
        <w:spacing w:line="720" w:lineRule="auto"/>
        <w:jc w:val="center"/>
        <w:rPr>
          <w:rFonts w:ascii="Times New Roman" w:hAnsi="Times New Roman" w:eastAsia="黑体"/>
          <w:color w:val="auto"/>
          <w:sz w:val="44"/>
          <w:szCs w:val="44"/>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720" w:lineRule="auto"/>
        <w:jc w:val="center"/>
        <w:rPr>
          <w:rFonts w:ascii="Times New Roman" w:hAnsi="Times New Roman" w:eastAsia="黑体"/>
          <w:color w:val="auto"/>
          <w:sz w:val="44"/>
          <w:szCs w:val="44"/>
        </w:rPr>
      </w:pPr>
    </w:p>
    <w:p>
      <w:pPr>
        <w:spacing w:line="720" w:lineRule="auto"/>
        <w:jc w:val="center"/>
        <w:rPr>
          <w:rFonts w:ascii="Times New Roman" w:hAnsi="Times New Roman" w:eastAsia="黑体"/>
          <w:color w:val="auto"/>
          <w:sz w:val="44"/>
          <w:szCs w:val="44"/>
        </w:rPr>
      </w:pPr>
      <w:r>
        <w:rPr>
          <w:rFonts w:ascii="Times New Roman" w:hAnsi="Times New Roman" w:eastAsia="黑体"/>
          <w:color w:val="auto"/>
          <w:sz w:val="44"/>
          <w:szCs w:val="44"/>
        </w:rPr>
        <w:br w:type="page"/>
      </w:r>
    </w:p>
    <w:p>
      <w:pPr>
        <w:spacing w:line="720" w:lineRule="auto"/>
        <w:jc w:val="center"/>
        <w:rPr>
          <w:rFonts w:ascii="Times New Roman" w:hAnsi="Times New Roman" w:eastAsia="黑体"/>
          <w:color w:val="auto"/>
          <w:sz w:val="44"/>
          <w:szCs w:val="44"/>
        </w:rPr>
      </w:pPr>
    </w:p>
    <w:p>
      <w:pPr>
        <w:spacing w:line="720" w:lineRule="auto"/>
        <w:jc w:val="center"/>
        <w:rPr>
          <w:rFonts w:ascii="Times New Roman" w:hAnsi="Times New Roman" w:eastAsia="黑体" w:cs="Times New Roman"/>
          <w:color w:val="auto"/>
          <w:sz w:val="44"/>
          <w:szCs w:val="44"/>
          <w:highlight w:val="none"/>
        </w:rPr>
      </w:pPr>
      <w:r>
        <w:rPr>
          <w:rFonts w:ascii="Times New Roman" w:hAnsi="Times New Roman" w:eastAsia="黑体" w:cs="Times New Roman"/>
          <w:color w:val="auto"/>
          <w:sz w:val="44"/>
          <w:szCs w:val="44"/>
          <w:highlight w:val="none"/>
        </w:rPr>
        <w:t>核技术利用建设项目</w:t>
      </w:r>
    </w:p>
    <w:p>
      <w:pPr>
        <w:spacing w:line="720" w:lineRule="auto"/>
        <w:jc w:val="center"/>
        <w:rPr>
          <w:rFonts w:ascii="Times New Roman" w:hAnsi="Times New Roman" w:eastAsia="黑体" w:cs="Times New Roman"/>
          <w:bCs/>
          <w:color w:val="auto"/>
          <w:sz w:val="72"/>
          <w:szCs w:val="72"/>
          <w:highlight w:val="none"/>
        </w:rPr>
      </w:pPr>
    </w:p>
    <w:p>
      <w:pPr>
        <w:spacing w:line="600" w:lineRule="auto"/>
        <w:jc w:val="center"/>
        <w:rPr>
          <w:rFonts w:hint="eastAsia" w:ascii="黑体" w:hAnsi="黑体" w:eastAsia="黑体" w:cs="黑体"/>
          <w:b w:val="0"/>
          <w:bCs w:val="0"/>
          <w:color w:val="auto"/>
          <w:sz w:val="48"/>
          <w:szCs w:val="48"/>
          <w:highlight w:val="none"/>
          <w:lang w:val="en-US" w:eastAsia="zh-CN"/>
        </w:rPr>
      </w:pPr>
    </w:p>
    <w:p>
      <w:pPr>
        <w:spacing w:line="600" w:lineRule="auto"/>
        <w:jc w:val="center"/>
        <w:rPr>
          <w:rFonts w:hint="eastAsia" w:ascii="黑体" w:hAnsi="黑体" w:eastAsia="黑体" w:cs="黑体"/>
          <w:b w:val="0"/>
          <w:bCs w:val="0"/>
          <w:color w:val="auto"/>
          <w:sz w:val="48"/>
          <w:szCs w:val="48"/>
          <w:highlight w:val="none"/>
        </w:rPr>
      </w:pPr>
      <w:r>
        <w:rPr>
          <w:rFonts w:hint="eastAsia" w:ascii="黑体" w:hAnsi="黑体" w:eastAsia="黑体" w:cs="黑体"/>
          <w:b w:val="0"/>
          <w:bCs w:val="0"/>
          <w:color w:val="auto"/>
          <w:sz w:val="48"/>
          <w:szCs w:val="48"/>
          <w:highlight w:val="none"/>
          <w:lang w:val="en-US" w:eastAsia="zh-CN"/>
        </w:rPr>
        <w:t>新增放射性同位素及医用射线装置项目</w:t>
      </w:r>
      <w:r>
        <w:rPr>
          <w:rFonts w:hint="eastAsia" w:ascii="黑体" w:hAnsi="黑体" w:eastAsia="黑体" w:cs="黑体"/>
          <w:b w:val="0"/>
          <w:bCs w:val="0"/>
          <w:color w:val="auto"/>
          <w:sz w:val="48"/>
          <w:szCs w:val="48"/>
          <w:highlight w:val="none"/>
        </w:rPr>
        <w:t>环境影响报告表</w:t>
      </w:r>
    </w:p>
    <w:p>
      <w:pPr>
        <w:spacing w:line="720" w:lineRule="auto"/>
        <w:jc w:val="center"/>
        <w:rPr>
          <w:rFonts w:ascii="Times New Roman" w:hAnsi="Times New Roman" w:eastAsia="黑体" w:cs="Times New Roman"/>
          <w:color w:val="auto"/>
          <w:sz w:val="72"/>
          <w:szCs w:val="72"/>
          <w:highlight w:val="none"/>
        </w:rPr>
      </w:pPr>
    </w:p>
    <w:p>
      <w:pPr>
        <w:spacing w:line="720" w:lineRule="auto"/>
        <w:jc w:val="center"/>
        <w:rPr>
          <w:rFonts w:ascii="Times New Roman" w:hAnsi="Times New Roman" w:cs="Times New Roman"/>
          <w:color w:val="auto"/>
          <w:sz w:val="44"/>
          <w:szCs w:val="52"/>
          <w:highlight w:val="none"/>
        </w:rPr>
      </w:pPr>
    </w:p>
    <w:p>
      <w:pPr>
        <w:rPr>
          <w:rFonts w:ascii="Times New Roman" w:hAnsi="Times New Roman" w:cs="Times New Roman"/>
          <w:color w:val="auto"/>
          <w:sz w:val="52"/>
          <w:szCs w:val="52"/>
          <w:highlight w:val="none"/>
        </w:rPr>
      </w:pPr>
    </w:p>
    <w:p>
      <w:pPr>
        <w:rPr>
          <w:rFonts w:ascii="Times New Roman" w:hAnsi="Times New Roman" w:cs="Times New Roman"/>
          <w:color w:val="auto"/>
          <w:sz w:val="52"/>
          <w:szCs w:val="52"/>
          <w:highlight w:val="none"/>
        </w:rPr>
      </w:pPr>
    </w:p>
    <w:p>
      <w:pPr>
        <w:rPr>
          <w:rFonts w:ascii="Times New Roman" w:hAnsi="Times New Roman" w:cs="Times New Roman"/>
          <w:color w:val="auto"/>
          <w:sz w:val="52"/>
          <w:szCs w:val="52"/>
          <w:highlight w:val="none"/>
        </w:rPr>
      </w:pPr>
    </w:p>
    <w:p>
      <w:pPr>
        <w:tabs>
          <w:tab w:val="left" w:pos="3300"/>
        </w:tabs>
        <w:spacing w:line="360" w:lineRule="auto"/>
        <w:rPr>
          <w:rFonts w:hint="default" w:ascii="Times New Roman" w:hAnsi="Times New Roman" w:cs="Times New Roman"/>
          <w:b/>
          <w:color w:val="auto"/>
          <w:sz w:val="32"/>
          <w:szCs w:val="32"/>
          <w:highlight w:val="none"/>
          <w:lang w:val="en-US"/>
        </w:rPr>
      </w:pPr>
      <w:r>
        <w:rPr>
          <w:rFonts w:ascii="Times New Roman" w:hAnsi="Times New Roman" w:cs="Times New Roman"/>
          <w:b/>
          <w:color w:val="auto"/>
          <w:sz w:val="32"/>
          <w:szCs w:val="32"/>
          <w:highlight w:val="none"/>
        </w:rPr>
        <w:t xml:space="preserve">建设单位: </w:t>
      </w:r>
      <w:r>
        <w:rPr>
          <w:rFonts w:hint="eastAsia" w:ascii="Times New Roman" w:hAnsi="Times New Roman" w:cs="Times New Roman"/>
          <w:b/>
          <w:color w:val="auto"/>
          <w:sz w:val="32"/>
          <w:szCs w:val="32"/>
          <w:highlight w:val="none"/>
          <w:lang w:val="en-US" w:eastAsia="zh-CN"/>
        </w:rPr>
        <w:t>成都市第五人民医院</w:t>
      </w:r>
    </w:p>
    <w:p>
      <w:pPr>
        <w:tabs>
          <w:tab w:val="left" w:pos="3300"/>
        </w:tabs>
        <w:spacing w:line="360" w:lineRule="auto"/>
        <w:rPr>
          <w:rFonts w:ascii="Times New Roman" w:hAnsi="Times New Roman" w:cs="Times New Roman"/>
          <w:b/>
          <w:color w:val="auto"/>
          <w:sz w:val="32"/>
          <w:szCs w:val="32"/>
          <w:highlight w:val="none"/>
          <w:u w:val="single"/>
        </w:rPr>
      </w:pPr>
      <w:r>
        <w:rPr>
          <w:rFonts w:ascii="Times New Roman" w:hAnsi="Times New Roman" w:cs="Times New Roman"/>
          <w:b/>
          <w:color w:val="auto"/>
          <w:sz w:val="32"/>
          <w:szCs w:val="32"/>
          <w:highlight w:val="none"/>
        </w:rPr>
        <w:t xml:space="preserve">建设单位法人代表（签名或签章）: </w:t>
      </w:r>
      <w:r>
        <w:rPr>
          <w:rFonts w:hint="eastAsia" w:ascii="Times New Roman" w:hAnsi="Times New Roman" w:cs="Times New Roman"/>
          <w:b/>
          <w:color w:val="auto"/>
          <w:sz w:val="32"/>
          <w:szCs w:val="32"/>
          <w:highlight w:val="none"/>
          <w:lang w:val="en-US" w:eastAsia="zh-CN"/>
        </w:rPr>
        <w:t>***</w:t>
      </w:r>
      <w:r>
        <w:rPr>
          <w:rFonts w:ascii="Times New Roman" w:hAnsi="Times New Roman" w:cs="Times New Roman"/>
          <w:b/>
          <w:color w:val="auto"/>
          <w:sz w:val="32"/>
          <w:szCs w:val="32"/>
          <w:highlight w:val="none"/>
        </w:rPr>
        <w:t xml:space="preserve">    </w:t>
      </w:r>
    </w:p>
    <w:p>
      <w:pPr>
        <w:tabs>
          <w:tab w:val="left" w:pos="3300"/>
        </w:tabs>
        <w:spacing w:line="360" w:lineRule="auto"/>
        <w:rPr>
          <w:rFonts w:hint="eastAsia" w:ascii="Times New Roman" w:hAnsi="Times New Roman" w:cs="Times New Roman"/>
          <w:b/>
          <w:color w:val="auto"/>
          <w:sz w:val="32"/>
          <w:szCs w:val="32"/>
          <w:highlight w:val="none"/>
          <w:lang w:val="en-US" w:eastAsia="zh-CN"/>
        </w:rPr>
      </w:pPr>
      <w:r>
        <w:rPr>
          <w:rFonts w:ascii="Times New Roman" w:hAnsi="Times New Roman" w:cs="Times New Roman"/>
          <w:b/>
          <w:color w:val="auto"/>
          <w:sz w:val="32"/>
          <w:szCs w:val="32"/>
          <w:highlight w:val="none"/>
        </w:rPr>
        <w:t>通讯</w:t>
      </w:r>
      <w:r>
        <w:rPr>
          <w:rFonts w:ascii="Times New Roman" w:hAnsi="Times New Roman" w:cs="Times New Roman"/>
          <w:b/>
          <w:bCs w:val="0"/>
          <w:color w:val="auto"/>
          <w:sz w:val="32"/>
          <w:szCs w:val="32"/>
          <w:highlight w:val="none"/>
        </w:rPr>
        <w:t>地址：</w:t>
      </w:r>
      <w:r>
        <w:rPr>
          <w:rFonts w:hint="default" w:ascii="Times New Roman" w:hAnsi="Times New Roman" w:cs="Times New Roman"/>
          <w:b/>
          <w:bCs w:val="0"/>
          <w:color w:val="auto"/>
          <w:sz w:val="32"/>
          <w:szCs w:val="32"/>
          <w:highlight w:val="none"/>
        </w:rPr>
        <w:t>四川省</w:t>
      </w:r>
      <w:r>
        <w:rPr>
          <w:rFonts w:ascii="Times New Roman" w:hAnsi="Times New Roman" w:cs="Times New Roman"/>
          <w:b/>
          <w:color w:val="auto"/>
          <w:sz w:val="32"/>
          <w:szCs w:val="32"/>
          <w:highlight w:val="none"/>
        </w:rPr>
        <w:t>成都市温江区柳城镇麻市街33号</w:t>
      </w:r>
      <w:r>
        <w:rPr>
          <w:rFonts w:hint="eastAsia" w:ascii="Times New Roman" w:hAnsi="Times New Roman" w:cs="Times New Roman"/>
          <w:b/>
          <w:color w:val="auto"/>
          <w:sz w:val="32"/>
          <w:szCs w:val="32"/>
          <w:highlight w:val="none"/>
          <w:lang w:val="en-US" w:eastAsia="zh-CN"/>
        </w:rPr>
        <w:t xml:space="preserve"> </w:t>
      </w:r>
      <w:r>
        <w:rPr>
          <w:rFonts w:hint="eastAsia" w:ascii="Times New Roman" w:hAnsi="Times New Roman" w:cs="Times New Roman"/>
          <w:b/>
          <w:bCs w:val="0"/>
          <w:color w:val="auto"/>
          <w:sz w:val="32"/>
          <w:szCs w:val="32"/>
          <w:highlight w:val="none"/>
          <w:lang w:val="en-US" w:eastAsia="zh-CN"/>
        </w:rPr>
        <w:t xml:space="preserve"> </w:t>
      </w:r>
      <w:r>
        <w:rPr>
          <w:rFonts w:hint="eastAsia" w:ascii="Times New Roman" w:hAnsi="Times New Roman" w:cs="Times New Roman"/>
          <w:b/>
          <w:color w:val="auto"/>
          <w:sz w:val="32"/>
          <w:szCs w:val="32"/>
          <w:highlight w:val="none"/>
          <w:lang w:val="en-US" w:eastAsia="zh-CN"/>
        </w:rPr>
        <w:t xml:space="preserve">     </w:t>
      </w:r>
    </w:p>
    <w:p>
      <w:pPr>
        <w:tabs>
          <w:tab w:val="left" w:pos="3300"/>
        </w:tabs>
        <w:spacing w:line="360" w:lineRule="auto"/>
        <w:rPr>
          <w:rFonts w:hint="default" w:ascii="Times New Roman" w:hAnsi="Times New Roman" w:eastAsia="宋体" w:cs="Times New Roman"/>
          <w:b/>
          <w:color w:val="auto"/>
          <w:sz w:val="32"/>
          <w:szCs w:val="32"/>
          <w:highlight w:val="none"/>
          <w:lang w:val="en-US" w:eastAsia="zh-CN"/>
        </w:rPr>
      </w:pPr>
      <w:r>
        <w:rPr>
          <w:rFonts w:ascii="Times New Roman" w:hAnsi="Times New Roman" w:cs="Times New Roman"/>
          <w:b/>
          <w:color w:val="auto"/>
          <w:sz w:val="32"/>
          <w:szCs w:val="32"/>
          <w:highlight w:val="none"/>
        </w:rPr>
        <w:t>邮政编码：</w:t>
      </w:r>
      <w:r>
        <w:rPr>
          <w:rFonts w:hint="eastAsia" w:ascii="Times New Roman" w:hAnsi="Times New Roman" w:cs="Times New Roman"/>
          <w:b/>
          <w:color w:val="auto"/>
          <w:sz w:val="32"/>
          <w:szCs w:val="32"/>
          <w:highlight w:val="none"/>
          <w:lang w:val="en-US" w:eastAsia="zh-CN"/>
        </w:rPr>
        <w:t>***</w:t>
      </w:r>
      <w:r>
        <w:rPr>
          <w:rFonts w:ascii="Times New Roman" w:hAnsi="Times New Roman" w:cs="Times New Roman"/>
          <w:b/>
          <w:color w:val="auto"/>
          <w:sz w:val="32"/>
          <w:szCs w:val="32"/>
          <w:highlight w:val="none"/>
        </w:rPr>
        <w:t xml:space="preserve">             </w:t>
      </w:r>
      <w:r>
        <w:rPr>
          <w:rFonts w:hint="eastAsia" w:ascii="Times New Roman" w:hAnsi="Times New Roman" w:cs="Times New Roman"/>
          <w:b/>
          <w:color w:val="auto"/>
          <w:sz w:val="32"/>
          <w:szCs w:val="32"/>
          <w:highlight w:val="none"/>
          <w:lang w:val="en-US" w:eastAsia="zh-CN"/>
        </w:rPr>
        <w:t xml:space="preserve">  </w:t>
      </w:r>
      <w:r>
        <w:rPr>
          <w:rFonts w:ascii="Times New Roman" w:hAnsi="Times New Roman" w:cs="Times New Roman"/>
          <w:b/>
          <w:color w:val="auto"/>
          <w:sz w:val="32"/>
          <w:szCs w:val="32"/>
          <w:highlight w:val="none"/>
        </w:rPr>
        <w:t>联系人：</w:t>
      </w:r>
      <w:r>
        <w:rPr>
          <w:rFonts w:hint="eastAsia" w:ascii="Times New Roman" w:hAnsi="Times New Roman" w:cs="Times New Roman"/>
          <w:b/>
          <w:color w:val="auto"/>
          <w:sz w:val="32"/>
          <w:szCs w:val="32"/>
          <w:highlight w:val="none"/>
          <w:lang w:val="en-US" w:eastAsia="zh-CN"/>
        </w:rPr>
        <w:t xml:space="preserve">*** </w:t>
      </w:r>
    </w:p>
    <w:p>
      <w:pPr>
        <w:spacing w:line="360" w:lineRule="auto"/>
        <w:rPr>
          <w:rFonts w:ascii="Times New Roman" w:hAnsi="Times New Roman" w:eastAsia="黑体"/>
          <w:bCs/>
          <w:color w:val="auto"/>
          <w:spacing w:val="20"/>
          <w:sz w:val="36"/>
          <w:szCs w:val="36"/>
        </w:rPr>
      </w:pPr>
      <w:r>
        <w:rPr>
          <w:rFonts w:ascii="Times New Roman" w:hAnsi="Times New Roman" w:cs="Times New Roman"/>
          <w:b/>
          <w:color w:val="auto"/>
          <w:sz w:val="32"/>
          <w:szCs w:val="32"/>
          <w:highlight w:val="none"/>
        </w:rPr>
        <w:t>电子邮件：</w:t>
      </w:r>
      <w:r>
        <w:rPr>
          <w:rFonts w:hint="eastAsia" w:ascii="Times New Roman" w:hAnsi="Times New Roman" w:cs="Times New Roman"/>
          <w:b/>
          <w:color w:val="auto"/>
          <w:sz w:val="32"/>
          <w:szCs w:val="32"/>
          <w:highlight w:val="none"/>
          <w:lang w:val="en-US" w:eastAsia="zh-CN"/>
        </w:rPr>
        <w:t>***</w:t>
      </w:r>
      <w:r>
        <w:rPr>
          <w:rFonts w:ascii="Times New Roman" w:hAnsi="Times New Roman" w:cs="Times New Roman"/>
          <w:b/>
          <w:color w:val="auto"/>
          <w:sz w:val="32"/>
          <w:szCs w:val="32"/>
          <w:highlight w:val="none"/>
        </w:rPr>
        <w:t xml:space="preserve">  </w:t>
      </w:r>
      <w:r>
        <w:rPr>
          <w:rFonts w:hint="eastAsia" w:ascii="Times New Roman" w:hAnsi="Times New Roman" w:cs="Times New Roman"/>
          <w:b/>
          <w:color w:val="auto"/>
          <w:sz w:val="32"/>
          <w:szCs w:val="32"/>
          <w:highlight w:val="none"/>
          <w:lang w:val="en-US" w:eastAsia="zh-CN"/>
        </w:rPr>
        <w:t xml:space="preserve">             </w:t>
      </w:r>
      <w:r>
        <w:rPr>
          <w:rFonts w:ascii="Times New Roman" w:hAnsi="Times New Roman" w:cs="Times New Roman"/>
          <w:b/>
          <w:color w:val="auto"/>
          <w:sz w:val="32"/>
          <w:szCs w:val="32"/>
          <w:highlight w:val="none"/>
        </w:rPr>
        <w:t>联系电话：</w:t>
      </w:r>
      <w:r>
        <w:rPr>
          <w:rFonts w:hint="eastAsia" w:ascii="Times New Roman" w:hAnsi="Times New Roman" w:cs="Times New Roman"/>
          <w:b/>
          <w:color w:val="auto"/>
          <w:sz w:val="32"/>
          <w:szCs w:val="32"/>
          <w:highlight w:val="none"/>
          <w:lang w:val="en-US" w:eastAsia="zh-CN"/>
        </w:rPr>
        <w:t>***</w:t>
      </w:r>
      <w:r>
        <w:rPr>
          <w:rFonts w:ascii="Times New Roman" w:hAnsi="Times New Roman" w:eastAsia="黑体"/>
          <w:bCs/>
          <w:color w:val="auto"/>
          <w:spacing w:val="20"/>
          <w:sz w:val="36"/>
          <w:szCs w:val="36"/>
        </w:rPr>
        <w:br w:type="page"/>
      </w:r>
    </w:p>
    <w:p>
      <w:pPr>
        <w:spacing w:line="360" w:lineRule="auto"/>
        <w:jc w:val="center"/>
        <w:rPr>
          <w:rFonts w:ascii="Times New Roman" w:hAnsi="Times New Roman" w:eastAsia="黑体"/>
          <w:bCs/>
          <w:color w:val="auto"/>
          <w:spacing w:val="20"/>
          <w:sz w:val="36"/>
          <w:szCs w:val="36"/>
        </w:rPr>
      </w:pPr>
      <w:r>
        <w:rPr>
          <w:rFonts w:ascii="Times New Roman" w:hAnsi="Times New Roman" w:eastAsia="黑体"/>
          <w:bCs/>
          <w:color w:val="auto"/>
          <w:spacing w:val="20"/>
          <w:sz w:val="36"/>
          <w:szCs w:val="36"/>
        </w:rPr>
        <w:br w:type="page"/>
      </w:r>
      <w:r>
        <w:rPr>
          <w:rFonts w:ascii="Times New Roman" w:hAnsi="Times New Roman" w:eastAsia="黑体"/>
          <w:bCs/>
          <w:color w:val="auto"/>
          <w:spacing w:val="20"/>
          <w:sz w:val="36"/>
          <w:szCs w:val="36"/>
        </w:rPr>
        <w:t>目     录</w:t>
      </w:r>
    </w:p>
    <w:p>
      <w:pPr>
        <w:pStyle w:val="13"/>
        <w:tabs>
          <w:tab w:val="right" w:leader="dot" w:pos="8306"/>
          <w:tab w:val="clear" w:pos="8312"/>
        </w:tabs>
        <w:spacing w:line="480" w:lineRule="auto"/>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TOC \o "1-3" \h \z \u </w:instrText>
      </w:r>
      <w:r>
        <w:rPr>
          <w:rFonts w:ascii="Times New Roman" w:hAnsi="Times New Roman"/>
          <w:color w:val="auto"/>
          <w:sz w:val="28"/>
          <w:szCs w:val="28"/>
        </w:rPr>
        <w:fldChar w:fldCharType="separate"/>
      </w: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_Toc15914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表1  项目基本情况</w:t>
      </w:r>
      <w:r>
        <w:rPr>
          <w:color w:val="auto"/>
          <w:sz w:val="28"/>
          <w:szCs w:val="28"/>
        </w:rPr>
        <w:tab/>
      </w:r>
      <w:r>
        <w:rPr>
          <w:color w:val="auto"/>
          <w:sz w:val="28"/>
          <w:szCs w:val="28"/>
        </w:rPr>
        <w:fldChar w:fldCharType="begin"/>
      </w:r>
      <w:r>
        <w:rPr>
          <w:color w:val="auto"/>
          <w:sz w:val="28"/>
          <w:szCs w:val="28"/>
        </w:rPr>
        <w:instrText xml:space="preserve"> PAGEREF _Toc15914 </w:instrText>
      </w:r>
      <w:r>
        <w:rPr>
          <w:color w:val="auto"/>
          <w:sz w:val="28"/>
          <w:szCs w:val="28"/>
        </w:rPr>
        <w:fldChar w:fldCharType="separate"/>
      </w:r>
      <w:r>
        <w:rPr>
          <w:color w:val="auto"/>
          <w:sz w:val="28"/>
          <w:szCs w:val="28"/>
        </w:rPr>
        <w:t>1</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_Toc20865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表2  放射源</w:t>
      </w:r>
      <w:r>
        <w:rPr>
          <w:color w:val="auto"/>
          <w:sz w:val="28"/>
          <w:szCs w:val="28"/>
        </w:rPr>
        <w:tab/>
      </w:r>
      <w:r>
        <w:rPr>
          <w:color w:val="auto"/>
          <w:sz w:val="28"/>
          <w:szCs w:val="28"/>
        </w:rPr>
        <w:fldChar w:fldCharType="begin"/>
      </w:r>
      <w:r>
        <w:rPr>
          <w:color w:val="auto"/>
          <w:sz w:val="28"/>
          <w:szCs w:val="28"/>
        </w:rPr>
        <w:instrText xml:space="preserve"> PAGEREF _Toc20865 </w:instrText>
      </w:r>
      <w:r>
        <w:rPr>
          <w:color w:val="auto"/>
          <w:sz w:val="28"/>
          <w:szCs w:val="28"/>
        </w:rPr>
        <w:fldChar w:fldCharType="separate"/>
      </w:r>
      <w:r>
        <w:rPr>
          <w:color w:val="auto"/>
          <w:sz w:val="28"/>
          <w:szCs w:val="28"/>
        </w:rPr>
        <w:t>10</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_Toc30844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表3  非密封放射性物质</w:t>
      </w:r>
      <w:r>
        <w:rPr>
          <w:color w:val="auto"/>
          <w:sz w:val="28"/>
          <w:szCs w:val="28"/>
        </w:rPr>
        <w:tab/>
      </w:r>
      <w:r>
        <w:rPr>
          <w:color w:val="auto"/>
          <w:sz w:val="28"/>
          <w:szCs w:val="28"/>
        </w:rPr>
        <w:fldChar w:fldCharType="begin"/>
      </w:r>
      <w:r>
        <w:rPr>
          <w:color w:val="auto"/>
          <w:sz w:val="28"/>
          <w:szCs w:val="28"/>
        </w:rPr>
        <w:instrText xml:space="preserve"> PAGEREF _Toc30844 </w:instrText>
      </w:r>
      <w:r>
        <w:rPr>
          <w:color w:val="auto"/>
          <w:sz w:val="28"/>
          <w:szCs w:val="28"/>
        </w:rPr>
        <w:fldChar w:fldCharType="separate"/>
      </w:r>
      <w:r>
        <w:rPr>
          <w:color w:val="auto"/>
          <w:sz w:val="28"/>
          <w:szCs w:val="28"/>
        </w:rPr>
        <w:t>10</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_Toc8819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表4  射线装置</w:t>
      </w:r>
      <w:r>
        <w:rPr>
          <w:color w:val="auto"/>
          <w:sz w:val="28"/>
          <w:szCs w:val="28"/>
        </w:rPr>
        <w:tab/>
      </w:r>
      <w:r>
        <w:rPr>
          <w:color w:val="auto"/>
          <w:sz w:val="28"/>
          <w:szCs w:val="28"/>
        </w:rPr>
        <w:fldChar w:fldCharType="begin"/>
      </w:r>
      <w:r>
        <w:rPr>
          <w:color w:val="auto"/>
          <w:sz w:val="28"/>
          <w:szCs w:val="28"/>
        </w:rPr>
        <w:instrText xml:space="preserve"> PAGEREF _Toc8819 </w:instrText>
      </w:r>
      <w:r>
        <w:rPr>
          <w:color w:val="auto"/>
          <w:sz w:val="28"/>
          <w:szCs w:val="28"/>
        </w:rPr>
        <w:fldChar w:fldCharType="separate"/>
      </w:r>
      <w:r>
        <w:rPr>
          <w:color w:val="auto"/>
          <w:sz w:val="28"/>
          <w:szCs w:val="28"/>
        </w:rPr>
        <w:t>11</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_Toc25227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表5  废弃物（重点是放射性废弃物）</w:t>
      </w:r>
      <w:r>
        <w:rPr>
          <w:color w:val="auto"/>
          <w:sz w:val="28"/>
          <w:szCs w:val="28"/>
        </w:rPr>
        <w:tab/>
      </w:r>
      <w:r>
        <w:rPr>
          <w:color w:val="auto"/>
          <w:sz w:val="28"/>
          <w:szCs w:val="28"/>
        </w:rPr>
        <w:fldChar w:fldCharType="begin"/>
      </w:r>
      <w:r>
        <w:rPr>
          <w:color w:val="auto"/>
          <w:sz w:val="28"/>
          <w:szCs w:val="28"/>
        </w:rPr>
        <w:instrText xml:space="preserve"> PAGEREF _Toc25227 </w:instrText>
      </w:r>
      <w:r>
        <w:rPr>
          <w:color w:val="auto"/>
          <w:sz w:val="28"/>
          <w:szCs w:val="28"/>
        </w:rPr>
        <w:fldChar w:fldCharType="separate"/>
      </w:r>
      <w:r>
        <w:rPr>
          <w:color w:val="auto"/>
          <w:sz w:val="28"/>
          <w:szCs w:val="28"/>
        </w:rPr>
        <w:t>13</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_Toc22593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表6  评价依据</w:t>
      </w:r>
      <w:r>
        <w:rPr>
          <w:color w:val="auto"/>
          <w:sz w:val="28"/>
          <w:szCs w:val="28"/>
        </w:rPr>
        <w:tab/>
      </w:r>
      <w:r>
        <w:rPr>
          <w:color w:val="auto"/>
          <w:sz w:val="28"/>
          <w:szCs w:val="28"/>
        </w:rPr>
        <w:fldChar w:fldCharType="begin"/>
      </w:r>
      <w:r>
        <w:rPr>
          <w:color w:val="auto"/>
          <w:sz w:val="28"/>
          <w:szCs w:val="28"/>
        </w:rPr>
        <w:instrText xml:space="preserve"> PAGEREF _Toc22593 </w:instrText>
      </w:r>
      <w:r>
        <w:rPr>
          <w:color w:val="auto"/>
          <w:sz w:val="28"/>
          <w:szCs w:val="28"/>
        </w:rPr>
        <w:fldChar w:fldCharType="separate"/>
      </w:r>
      <w:r>
        <w:rPr>
          <w:color w:val="auto"/>
          <w:sz w:val="28"/>
          <w:szCs w:val="28"/>
        </w:rPr>
        <w:t>14</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_Toc17747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表7  保护目标与评价标准</w:t>
      </w:r>
      <w:r>
        <w:rPr>
          <w:color w:val="auto"/>
          <w:sz w:val="28"/>
          <w:szCs w:val="28"/>
        </w:rPr>
        <w:tab/>
      </w:r>
      <w:r>
        <w:rPr>
          <w:color w:val="auto"/>
          <w:sz w:val="28"/>
          <w:szCs w:val="28"/>
        </w:rPr>
        <w:fldChar w:fldCharType="begin"/>
      </w:r>
      <w:r>
        <w:rPr>
          <w:color w:val="auto"/>
          <w:sz w:val="28"/>
          <w:szCs w:val="28"/>
        </w:rPr>
        <w:instrText xml:space="preserve"> PAGEREF _Toc17747 </w:instrText>
      </w:r>
      <w:r>
        <w:rPr>
          <w:color w:val="auto"/>
          <w:sz w:val="28"/>
          <w:szCs w:val="28"/>
        </w:rPr>
        <w:fldChar w:fldCharType="separate"/>
      </w:r>
      <w:r>
        <w:rPr>
          <w:color w:val="auto"/>
          <w:sz w:val="28"/>
          <w:szCs w:val="28"/>
        </w:rPr>
        <w:t>16</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_Toc750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lang w:val="en-US" w:eastAsia="zh-CN"/>
        </w:rPr>
        <w:t>表8  环境质量和辐射现状</w:t>
      </w:r>
      <w:r>
        <w:rPr>
          <w:color w:val="auto"/>
          <w:sz w:val="28"/>
          <w:szCs w:val="28"/>
        </w:rPr>
        <w:tab/>
      </w:r>
      <w:r>
        <w:rPr>
          <w:color w:val="auto"/>
          <w:sz w:val="28"/>
          <w:szCs w:val="28"/>
        </w:rPr>
        <w:fldChar w:fldCharType="begin"/>
      </w:r>
      <w:r>
        <w:rPr>
          <w:color w:val="auto"/>
          <w:sz w:val="28"/>
          <w:szCs w:val="28"/>
        </w:rPr>
        <w:instrText xml:space="preserve"> PAGEREF _Toc750 </w:instrText>
      </w:r>
      <w:r>
        <w:rPr>
          <w:color w:val="auto"/>
          <w:sz w:val="28"/>
          <w:szCs w:val="28"/>
        </w:rPr>
        <w:fldChar w:fldCharType="separate"/>
      </w:r>
      <w:r>
        <w:rPr>
          <w:color w:val="auto"/>
          <w:sz w:val="28"/>
          <w:szCs w:val="28"/>
        </w:rPr>
        <w:t>19</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_Toc11610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表9  项目工程分析与源项</w:t>
      </w:r>
      <w:r>
        <w:rPr>
          <w:color w:val="auto"/>
          <w:sz w:val="28"/>
          <w:szCs w:val="28"/>
        </w:rPr>
        <w:tab/>
      </w:r>
      <w:r>
        <w:rPr>
          <w:color w:val="auto"/>
          <w:sz w:val="28"/>
          <w:szCs w:val="28"/>
        </w:rPr>
        <w:fldChar w:fldCharType="begin"/>
      </w:r>
      <w:r>
        <w:rPr>
          <w:color w:val="auto"/>
          <w:sz w:val="28"/>
          <w:szCs w:val="28"/>
        </w:rPr>
        <w:instrText xml:space="preserve"> PAGEREF _Toc11610 </w:instrText>
      </w:r>
      <w:r>
        <w:rPr>
          <w:color w:val="auto"/>
          <w:sz w:val="28"/>
          <w:szCs w:val="28"/>
        </w:rPr>
        <w:fldChar w:fldCharType="separate"/>
      </w:r>
      <w:r>
        <w:rPr>
          <w:color w:val="auto"/>
          <w:sz w:val="28"/>
          <w:szCs w:val="28"/>
        </w:rPr>
        <w:t>22</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_Toc25859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表10  辐射安全与防护</w:t>
      </w:r>
      <w:r>
        <w:rPr>
          <w:color w:val="auto"/>
          <w:sz w:val="28"/>
          <w:szCs w:val="28"/>
        </w:rPr>
        <w:tab/>
      </w:r>
      <w:r>
        <w:rPr>
          <w:color w:val="auto"/>
          <w:sz w:val="28"/>
          <w:szCs w:val="28"/>
        </w:rPr>
        <w:fldChar w:fldCharType="begin"/>
      </w:r>
      <w:r>
        <w:rPr>
          <w:color w:val="auto"/>
          <w:sz w:val="28"/>
          <w:szCs w:val="28"/>
        </w:rPr>
        <w:instrText xml:space="preserve"> PAGEREF _Toc25859 </w:instrText>
      </w:r>
      <w:r>
        <w:rPr>
          <w:color w:val="auto"/>
          <w:sz w:val="28"/>
          <w:szCs w:val="28"/>
        </w:rPr>
        <w:fldChar w:fldCharType="separate"/>
      </w:r>
      <w:r>
        <w:rPr>
          <w:color w:val="auto"/>
          <w:sz w:val="28"/>
          <w:szCs w:val="28"/>
        </w:rPr>
        <w:t>32</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_Toc5030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表11  环境影响分析</w:t>
      </w:r>
      <w:r>
        <w:rPr>
          <w:color w:val="auto"/>
          <w:sz w:val="28"/>
          <w:szCs w:val="28"/>
        </w:rPr>
        <w:tab/>
      </w:r>
      <w:r>
        <w:rPr>
          <w:color w:val="auto"/>
          <w:sz w:val="28"/>
          <w:szCs w:val="28"/>
        </w:rPr>
        <w:fldChar w:fldCharType="begin"/>
      </w:r>
      <w:r>
        <w:rPr>
          <w:color w:val="auto"/>
          <w:sz w:val="28"/>
          <w:szCs w:val="28"/>
        </w:rPr>
        <w:instrText xml:space="preserve"> PAGEREF _Toc5030 </w:instrText>
      </w:r>
      <w:r>
        <w:rPr>
          <w:color w:val="auto"/>
          <w:sz w:val="28"/>
          <w:szCs w:val="28"/>
        </w:rPr>
        <w:fldChar w:fldCharType="separate"/>
      </w:r>
      <w:r>
        <w:rPr>
          <w:color w:val="auto"/>
          <w:sz w:val="28"/>
          <w:szCs w:val="28"/>
        </w:rPr>
        <w:t>45</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_Toc20762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表12  辐射安全管理</w:t>
      </w:r>
      <w:r>
        <w:rPr>
          <w:color w:val="auto"/>
          <w:sz w:val="28"/>
          <w:szCs w:val="28"/>
        </w:rPr>
        <w:tab/>
      </w:r>
      <w:r>
        <w:rPr>
          <w:color w:val="auto"/>
          <w:sz w:val="28"/>
          <w:szCs w:val="28"/>
        </w:rPr>
        <w:fldChar w:fldCharType="begin"/>
      </w:r>
      <w:r>
        <w:rPr>
          <w:color w:val="auto"/>
          <w:sz w:val="28"/>
          <w:szCs w:val="28"/>
        </w:rPr>
        <w:instrText xml:space="preserve"> PAGEREF _Toc20762 </w:instrText>
      </w:r>
      <w:r>
        <w:rPr>
          <w:color w:val="auto"/>
          <w:sz w:val="28"/>
          <w:szCs w:val="28"/>
        </w:rPr>
        <w:fldChar w:fldCharType="separate"/>
      </w:r>
      <w:r>
        <w:rPr>
          <w:color w:val="auto"/>
          <w:sz w:val="28"/>
          <w:szCs w:val="28"/>
        </w:rPr>
        <w:t>94</w:t>
      </w:r>
      <w:r>
        <w:rPr>
          <w:color w:val="auto"/>
          <w:sz w:val="28"/>
          <w:szCs w:val="28"/>
        </w:rPr>
        <w:fldChar w:fldCharType="end"/>
      </w:r>
      <w:r>
        <w:rPr>
          <w:rFonts w:ascii="Times New Roman" w:hAnsi="Times New Roman"/>
          <w:color w:val="auto"/>
          <w:sz w:val="28"/>
          <w:szCs w:val="28"/>
        </w:rPr>
        <w:fldChar w:fldCharType="end"/>
      </w:r>
    </w:p>
    <w:p>
      <w:pPr>
        <w:pStyle w:val="13"/>
        <w:tabs>
          <w:tab w:val="right" w:leader="dot" w:pos="8306"/>
          <w:tab w:val="clear" w:pos="8312"/>
        </w:tabs>
        <w:rPr>
          <w:color w:val="auto"/>
          <w:sz w:val="28"/>
          <w:szCs w:val="28"/>
        </w:rPr>
      </w:pPr>
      <w:r>
        <w:rPr>
          <w:rFonts w:ascii="Times New Roman" w:hAnsi="Times New Roman"/>
          <w:color w:val="auto"/>
          <w:sz w:val="28"/>
          <w:szCs w:val="28"/>
        </w:rPr>
        <w:fldChar w:fldCharType="begin"/>
      </w:r>
      <w:r>
        <w:rPr>
          <w:rFonts w:ascii="Times New Roman" w:hAnsi="Times New Roman"/>
          <w:color w:val="auto"/>
          <w:sz w:val="28"/>
          <w:szCs w:val="28"/>
        </w:rPr>
        <w:instrText xml:space="preserve"> HYPERLINK \l _Toc13772 </w:instrText>
      </w:r>
      <w:r>
        <w:rPr>
          <w:rFonts w:ascii="Times New Roman" w:hAnsi="Times New Roman"/>
          <w:color w:val="auto"/>
          <w:sz w:val="28"/>
          <w:szCs w:val="28"/>
        </w:rPr>
        <w:fldChar w:fldCharType="separate"/>
      </w:r>
      <w:r>
        <w:rPr>
          <w:rFonts w:hint="default" w:ascii="Times New Roman" w:hAnsi="Times New Roman" w:eastAsia="宋体" w:cs="Times New Roman"/>
          <w:bCs w:val="0"/>
          <w:color w:val="auto"/>
          <w:kern w:val="0"/>
          <w:sz w:val="28"/>
          <w:szCs w:val="28"/>
        </w:rPr>
        <w:t>表13  结论与建议</w:t>
      </w:r>
      <w:r>
        <w:rPr>
          <w:color w:val="auto"/>
          <w:sz w:val="28"/>
          <w:szCs w:val="28"/>
        </w:rPr>
        <w:tab/>
      </w:r>
      <w:r>
        <w:rPr>
          <w:color w:val="auto"/>
          <w:sz w:val="28"/>
          <w:szCs w:val="28"/>
        </w:rPr>
        <w:fldChar w:fldCharType="begin"/>
      </w:r>
      <w:r>
        <w:rPr>
          <w:color w:val="auto"/>
          <w:sz w:val="28"/>
          <w:szCs w:val="28"/>
        </w:rPr>
        <w:instrText xml:space="preserve"> PAGEREF _Toc13772 </w:instrText>
      </w:r>
      <w:r>
        <w:rPr>
          <w:color w:val="auto"/>
          <w:sz w:val="28"/>
          <w:szCs w:val="28"/>
        </w:rPr>
        <w:fldChar w:fldCharType="separate"/>
      </w:r>
      <w:r>
        <w:rPr>
          <w:color w:val="auto"/>
          <w:sz w:val="28"/>
          <w:szCs w:val="28"/>
        </w:rPr>
        <w:t>101</w:t>
      </w:r>
      <w:r>
        <w:rPr>
          <w:color w:val="auto"/>
          <w:sz w:val="28"/>
          <w:szCs w:val="28"/>
        </w:rPr>
        <w:fldChar w:fldCharType="end"/>
      </w:r>
      <w:r>
        <w:rPr>
          <w:rFonts w:ascii="Times New Roman" w:hAnsi="Times New Roman"/>
          <w:color w:val="auto"/>
          <w:sz w:val="28"/>
          <w:szCs w:val="28"/>
        </w:rPr>
        <w:fldChar w:fldCharType="end"/>
      </w:r>
    </w:p>
    <w:p>
      <w:pPr>
        <w:spacing w:line="360" w:lineRule="auto"/>
        <w:rPr>
          <w:rFonts w:ascii="Times New Roman" w:hAnsi="Times New Roman"/>
          <w:color w:val="auto"/>
          <w:sz w:val="28"/>
          <w:szCs w:val="28"/>
        </w:rPr>
      </w:pPr>
      <w:r>
        <w:rPr>
          <w:rFonts w:ascii="Times New Roman" w:hAnsi="Times New Roman"/>
          <w:color w:val="auto"/>
          <w:sz w:val="28"/>
          <w:szCs w:val="28"/>
        </w:rPr>
        <w:fldChar w:fldCharType="end"/>
      </w:r>
    </w:p>
    <w:p>
      <w:pPr>
        <w:spacing w:line="360" w:lineRule="auto"/>
        <w:jc w:val="center"/>
        <w:rPr>
          <w:rFonts w:ascii="Times New Roman" w:hAnsi="Times New Roman" w:eastAsia="黑体"/>
          <w:bCs/>
          <w:color w:val="auto"/>
          <w:spacing w:val="20"/>
          <w:sz w:val="28"/>
          <w:szCs w:val="28"/>
        </w:rPr>
      </w:pPr>
    </w:p>
    <w:p>
      <w:pPr>
        <w:snapToGrid w:val="0"/>
        <w:spacing w:line="360" w:lineRule="auto"/>
        <w:rPr>
          <w:rFonts w:ascii="Times New Roman" w:hAnsi="Times New Roman"/>
          <w:b/>
          <w:bCs/>
          <w:color w:val="auto"/>
          <w:sz w:val="24"/>
        </w:rPr>
      </w:pPr>
    </w:p>
    <w:p>
      <w:pPr>
        <w:snapToGrid w:val="0"/>
        <w:spacing w:line="360" w:lineRule="auto"/>
        <w:rPr>
          <w:rFonts w:ascii="Times New Roman" w:hAnsi="Times New Roman"/>
          <w:b/>
          <w:bCs/>
          <w:color w:val="auto"/>
          <w:sz w:val="24"/>
        </w:rPr>
      </w:pPr>
    </w:p>
    <w:p>
      <w:pPr>
        <w:snapToGrid w:val="0"/>
        <w:spacing w:line="360" w:lineRule="auto"/>
        <w:rPr>
          <w:rFonts w:ascii="Times New Roman" w:hAnsi="Times New Roman"/>
          <w:b/>
          <w:bCs/>
          <w:color w:val="auto"/>
          <w:sz w:val="24"/>
        </w:rPr>
      </w:pPr>
    </w:p>
    <w:p>
      <w:pPr>
        <w:snapToGrid w:val="0"/>
        <w:spacing w:line="360" w:lineRule="auto"/>
        <w:rPr>
          <w:rFonts w:ascii="Times New Roman" w:hAnsi="Times New Roman"/>
          <w:b/>
          <w:bCs/>
          <w:color w:val="auto"/>
          <w:sz w:val="24"/>
        </w:rPr>
      </w:pPr>
    </w:p>
    <w:p>
      <w:pPr>
        <w:snapToGrid w:val="0"/>
        <w:spacing w:line="360" w:lineRule="auto"/>
        <w:rPr>
          <w:rFonts w:ascii="Times New Roman" w:hAnsi="Times New Roman"/>
          <w:b/>
          <w:bCs/>
          <w:color w:val="auto"/>
          <w:sz w:val="24"/>
        </w:rPr>
      </w:pPr>
    </w:p>
    <w:p>
      <w:pPr>
        <w:snapToGrid w:val="0"/>
        <w:spacing w:line="360" w:lineRule="auto"/>
        <w:rPr>
          <w:rFonts w:ascii="Times New Roman" w:hAnsi="Times New Roman"/>
          <w:b/>
          <w:bCs/>
          <w:color w:val="auto"/>
          <w:sz w:val="24"/>
        </w:rPr>
      </w:pPr>
    </w:p>
    <w:p>
      <w:pPr>
        <w:pStyle w:val="2"/>
        <w:rPr>
          <w:rFonts w:ascii="Times New Roman" w:hAnsi="Times New Roman"/>
          <w:b/>
          <w:bCs/>
          <w:color w:val="auto"/>
          <w:sz w:val="24"/>
        </w:rPr>
      </w:pPr>
    </w:p>
    <w:p>
      <w:pPr>
        <w:pStyle w:val="2"/>
        <w:rPr>
          <w:rFonts w:ascii="Times New Roman" w:hAnsi="Times New Roman"/>
          <w:b/>
          <w:bCs/>
          <w:color w:val="auto"/>
          <w:sz w:val="24"/>
        </w:rPr>
      </w:pPr>
    </w:p>
    <w:p>
      <w:pPr>
        <w:snapToGrid w:val="0"/>
        <w:spacing w:line="360" w:lineRule="auto"/>
        <w:rPr>
          <w:rFonts w:ascii="Times New Roman" w:hAnsi="Times New Roman"/>
          <w:b/>
          <w:bCs/>
          <w:color w:val="auto"/>
          <w:sz w:val="24"/>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auto"/>
          <w:lang w:eastAsia="zh-CN"/>
        </w:rPr>
      </w:pPr>
    </w:p>
    <w:p>
      <w:pPr>
        <w:snapToGrid w:val="0"/>
        <w:spacing w:line="360" w:lineRule="auto"/>
        <w:ind w:firstLine="843" w:firstLineChars="300"/>
        <w:rPr>
          <w:rFonts w:ascii="Times New Roman" w:hAnsi="Times New Roman"/>
          <w:b/>
          <w:bCs/>
          <w:color w:val="auto"/>
          <w:sz w:val="28"/>
          <w:szCs w:val="28"/>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0" w:name="_Toc15914"/>
      <w:r>
        <w:rPr>
          <w:rFonts w:hint="default" w:ascii="Times New Roman" w:hAnsi="Times New Roman" w:eastAsia="宋体" w:cs="Times New Roman"/>
          <w:b/>
          <w:bCs w:val="0"/>
          <w:color w:val="auto"/>
          <w:kern w:val="0"/>
          <w:sz w:val="30"/>
          <w:szCs w:val="30"/>
        </w:rPr>
        <w:t>表1  项目基本情况</w:t>
      </w:r>
      <w:bookmarkEnd w:id="0"/>
    </w:p>
    <w:tbl>
      <w:tblPr>
        <w:tblStyle w:val="17"/>
        <w:tblW w:w="900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1"/>
        <w:gridCol w:w="1360"/>
        <w:gridCol w:w="1064"/>
        <w:gridCol w:w="115"/>
        <w:gridCol w:w="1676"/>
        <w:gridCol w:w="408"/>
        <w:gridCol w:w="768"/>
        <w:gridCol w:w="385"/>
        <w:gridCol w:w="797"/>
        <w:gridCol w:w="73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trPr>
        <w:tc>
          <w:tcPr>
            <w:tcW w:w="1921" w:type="dxa"/>
            <w:gridSpan w:val="2"/>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建设项目名称</w:t>
            </w:r>
          </w:p>
        </w:tc>
        <w:tc>
          <w:tcPr>
            <w:tcW w:w="7079" w:type="dxa"/>
            <w:gridSpan w:val="9"/>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eastAsia" w:ascii="宋体" w:hAnsi="宋体" w:cs="宋体"/>
                <w:b w:val="0"/>
                <w:bCs w:val="0"/>
                <w:color w:val="auto"/>
                <w:sz w:val="24"/>
                <w:szCs w:val="24"/>
                <w:highlight w:val="none"/>
                <w:lang w:val="en-US" w:eastAsia="zh-CN"/>
              </w:rPr>
              <w:t>新增放射性同位素及医用射线装置项目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trPr>
        <w:tc>
          <w:tcPr>
            <w:tcW w:w="1921" w:type="dxa"/>
            <w:gridSpan w:val="2"/>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建设单位</w:t>
            </w:r>
          </w:p>
        </w:tc>
        <w:tc>
          <w:tcPr>
            <w:tcW w:w="7079" w:type="dxa"/>
            <w:gridSpan w:val="9"/>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eastAsia"/>
                <w:color w:val="auto"/>
                <w:sz w:val="24"/>
                <w:szCs w:val="24"/>
                <w:highlight w:val="none"/>
                <w:lang w:eastAsia="zh-CN"/>
              </w:rPr>
              <w:t>成都市第五人民医院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trPr>
        <w:tc>
          <w:tcPr>
            <w:tcW w:w="1921" w:type="dxa"/>
            <w:gridSpan w:val="2"/>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法人代表</w:t>
            </w:r>
          </w:p>
        </w:tc>
        <w:tc>
          <w:tcPr>
            <w:tcW w:w="106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bCs/>
                <w:color w:val="auto"/>
                <w:sz w:val="24"/>
              </w:rPr>
            </w:pPr>
            <w:r>
              <w:rPr>
                <w:rFonts w:hint="eastAsia" w:ascii="Times New Roman" w:hAnsi="Times New Roman" w:eastAsia="仿宋" w:cs="Times New Roman"/>
                <w:color w:val="auto"/>
                <w:kern w:val="0"/>
                <w:sz w:val="24"/>
                <w:szCs w:val="24"/>
                <w:lang w:val="en-US" w:eastAsia="zh-CN" w:bidi="ar"/>
              </w:rPr>
              <w:t>***</w:t>
            </w:r>
          </w:p>
        </w:tc>
        <w:tc>
          <w:tcPr>
            <w:tcW w:w="1791"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bCs/>
                <w:color w:val="auto"/>
                <w:sz w:val="24"/>
              </w:rPr>
            </w:pPr>
            <w:r>
              <w:rPr>
                <w:rFonts w:hint="default" w:ascii="Times New Roman" w:hAnsi="Times New Roman" w:cs="Times New Roman"/>
                <w:color w:val="auto"/>
                <w:kern w:val="0"/>
                <w:sz w:val="24"/>
                <w:szCs w:val="24"/>
                <w:highlight w:val="none"/>
              </w:rPr>
              <w:t>联系人</w:t>
            </w:r>
          </w:p>
        </w:tc>
        <w:tc>
          <w:tcPr>
            <w:tcW w:w="1176"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bCs/>
                <w:color w:val="auto"/>
                <w:sz w:val="24"/>
              </w:rPr>
            </w:pPr>
            <w:r>
              <w:rPr>
                <w:rFonts w:hint="eastAsia" w:ascii="Times New Roman" w:hAnsi="Times New Roman" w:eastAsia="仿宋" w:cs="Times New Roman"/>
                <w:color w:val="auto"/>
                <w:kern w:val="0"/>
                <w:sz w:val="24"/>
                <w:szCs w:val="24"/>
                <w:lang w:val="en-US" w:eastAsia="zh-CN" w:bidi="ar"/>
              </w:rPr>
              <w:t>***</w:t>
            </w:r>
          </w:p>
        </w:tc>
        <w:tc>
          <w:tcPr>
            <w:tcW w:w="1182"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bCs/>
                <w:color w:val="auto"/>
                <w:sz w:val="24"/>
              </w:rPr>
            </w:pPr>
            <w:r>
              <w:rPr>
                <w:rFonts w:hint="default" w:ascii="Times New Roman" w:hAnsi="Times New Roman" w:cs="Times New Roman"/>
                <w:color w:val="auto"/>
                <w:sz w:val="24"/>
                <w:szCs w:val="24"/>
                <w:highlight w:val="none"/>
              </w:rPr>
              <w:t>联系电话</w:t>
            </w:r>
          </w:p>
        </w:tc>
        <w:tc>
          <w:tcPr>
            <w:tcW w:w="1866" w:type="dxa"/>
            <w:gridSpan w:val="2"/>
            <w:vAlign w:val="center"/>
          </w:tcPr>
          <w:p>
            <w:pPr>
              <w:keepNext w:val="0"/>
              <w:keepLines w:val="0"/>
              <w:widowControl/>
              <w:suppressLineNumbers w:val="0"/>
              <w:spacing w:before="0" w:beforeAutospacing="0" w:after="0" w:afterAutospacing="0"/>
              <w:ind w:left="0" w:right="0"/>
              <w:jc w:val="center"/>
              <w:rPr>
                <w:rFonts w:hint="default" w:ascii="Times New Roman" w:hAnsi="Times New Roman"/>
                <w:bCs/>
                <w:color w:val="auto"/>
                <w:sz w:val="24"/>
              </w:rPr>
            </w:pPr>
            <w:r>
              <w:rPr>
                <w:rFonts w:hint="eastAsia" w:ascii="Times New Roman" w:hAnsi="Times New Roman" w:eastAsia="仿宋" w:cs="Times New Roman"/>
                <w:color w:val="auto"/>
                <w:kern w:val="0"/>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921" w:type="dxa"/>
            <w:gridSpan w:val="2"/>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注册地址</w:t>
            </w:r>
          </w:p>
        </w:tc>
        <w:tc>
          <w:tcPr>
            <w:tcW w:w="7079" w:type="dxa"/>
            <w:gridSpan w:val="9"/>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s="Times New Roman"/>
                <w:color w:val="auto"/>
                <w:sz w:val="24"/>
                <w:szCs w:val="24"/>
                <w:highlight w:val="none"/>
              </w:rPr>
              <w:t>四川省成都市温江区柳城镇麻市街33号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trPr>
        <w:tc>
          <w:tcPr>
            <w:tcW w:w="1921"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项目建设地点</w:t>
            </w:r>
          </w:p>
        </w:tc>
        <w:tc>
          <w:tcPr>
            <w:tcW w:w="7079" w:type="dxa"/>
            <w:gridSpan w:val="9"/>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四川省成都市温江区柳城镇麻市街33号</w:t>
            </w:r>
          </w:p>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4"/>
                <w:lang w:val="en-US"/>
              </w:rPr>
            </w:pPr>
            <w:r>
              <w:rPr>
                <w:rFonts w:hint="eastAsia" w:ascii="Times New Roman" w:hAnsi="Times New Roman" w:cs="Times New Roman"/>
                <w:color w:val="auto"/>
                <w:sz w:val="24"/>
                <w:szCs w:val="24"/>
                <w:highlight w:val="none"/>
                <w:lang w:eastAsia="zh-CN"/>
              </w:rPr>
              <w:t>成都市第五人民医院门急诊住院综合楼配套工程（三期）负三层放疗中心内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trPr>
        <w:tc>
          <w:tcPr>
            <w:tcW w:w="1921"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立项审批部门</w:t>
            </w:r>
          </w:p>
        </w:tc>
        <w:tc>
          <w:tcPr>
            <w:tcW w:w="3263"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4"/>
              </w:rPr>
            </w:pPr>
            <w:r>
              <w:rPr>
                <w:rFonts w:hint="eastAsia" w:ascii="Times New Roman" w:hAnsi="Times New Roman"/>
                <w:color w:val="auto"/>
                <w:sz w:val="24"/>
              </w:rPr>
              <w:t>/</w:t>
            </w:r>
          </w:p>
        </w:tc>
        <w:tc>
          <w:tcPr>
            <w:tcW w:w="1153"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批准文号</w:t>
            </w:r>
          </w:p>
        </w:tc>
        <w:tc>
          <w:tcPr>
            <w:tcW w:w="2663"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4"/>
              </w:rPr>
            </w:pPr>
            <w:r>
              <w:rPr>
                <w:rFonts w:hint="eastAsia"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trPr>
        <w:tc>
          <w:tcPr>
            <w:tcW w:w="1921"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4"/>
              </w:rPr>
            </w:pPr>
            <w:r>
              <w:rPr>
                <w:rFonts w:hint="default" w:ascii="Times New Roman" w:hAnsi="Times New Roman"/>
                <w:color w:val="auto"/>
                <w:sz w:val="24"/>
              </w:rPr>
              <w:t>建设项目总投资</w:t>
            </w:r>
          </w:p>
          <w:p>
            <w:pPr>
              <w:keepNext w:val="0"/>
              <w:keepLines w:val="0"/>
              <w:suppressLineNumbers w:val="0"/>
              <w:spacing w:before="0" w:beforeAutospacing="0" w:after="0" w:afterAutospacing="0"/>
              <w:ind w:left="0" w:right="0"/>
              <w:jc w:val="center"/>
              <w:rPr>
                <w:rFonts w:hint="default" w:ascii="Times New Roman" w:hAnsi="Times New Roman"/>
                <w:color w:val="auto"/>
                <w:sz w:val="24"/>
              </w:rPr>
            </w:pPr>
            <w:r>
              <w:rPr>
                <w:rFonts w:hint="default" w:ascii="Times New Roman" w:hAnsi="Times New Roman"/>
                <w:color w:val="auto"/>
                <w:sz w:val="24"/>
              </w:rPr>
              <w:t>（万元）</w:t>
            </w:r>
          </w:p>
        </w:tc>
        <w:tc>
          <w:tcPr>
            <w:tcW w:w="1179"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eastAsia" w:ascii="Times New Roman" w:hAnsi="Times New Roman" w:eastAsia="仿宋" w:cs="Times New Roman"/>
                <w:color w:val="auto"/>
                <w:kern w:val="0"/>
                <w:sz w:val="24"/>
                <w:szCs w:val="24"/>
                <w:lang w:val="en-US" w:eastAsia="zh-CN" w:bidi="ar"/>
              </w:rPr>
              <w:t>***</w:t>
            </w:r>
          </w:p>
        </w:tc>
        <w:tc>
          <w:tcPr>
            <w:tcW w:w="208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4"/>
              </w:rPr>
            </w:pPr>
            <w:r>
              <w:rPr>
                <w:rFonts w:hint="default" w:ascii="Times New Roman" w:hAnsi="Times New Roman"/>
                <w:color w:val="auto"/>
                <w:sz w:val="24"/>
              </w:rPr>
              <w:t>项目环保投资</w:t>
            </w:r>
          </w:p>
          <w:p>
            <w:pPr>
              <w:keepNext w:val="0"/>
              <w:keepLines w:val="0"/>
              <w:suppressLineNumbers w:val="0"/>
              <w:spacing w:before="0" w:beforeAutospacing="0" w:after="0" w:afterAutospacing="0"/>
              <w:ind w:left="0" w:right="0"/>
              <w:jc w:val="center"/>
              <w:rPr>
                <w:rFonts w:hint="default" w:ascii="Times New Roman" w:hAnsi="Times New Roman"/>
                <w:color w:val="auto"/>
                <w:sz w:val="24"/>
              </w:rPr>
            </w:pPr>
            <w:r>
              <w:rPr>
                <w:rFonts w:hint="default" w:ascii="Times New Roman" w:hAnsi="Times New Roman"/>
                <w:color w:val="auto"/>
                <w:sz w:val="24"/>
              </w:rPr>
              <w:t>（万元）</w:t>
            </w:r>
          </w:p>
        </w:tc>
        <w:tc>
          <w:tcPr>
            <w:tcW w:w="1153"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w:t>
            </w:r>
          </w:p>
        </w:tc>
        <w:tc>
          <w:tcPr>
            <w:tcW w:w="1529"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投资比例</w:t>
            </w:r>
          </w:p>
        </w:tc>
        <w:tc>
          <w:tcPr>
            <w:tcW w:w="113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eastAsia" w:ascii="Times New Roman" w:hAnsi="Times New Roman"/>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21" w:type="dxa"/>
            <w:gridSpan w:val="2"/>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项目性质</w:t>
            </w:r>
          </w:p>
        </w:tc>
        <w:tc>
          <w:tcPr>
            <w:tcW w:w="4416" w:type="dxa"/>
            <w:gridSpan w:val="6"/>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eastAsia" w:ascii="MS Gothic" w:hAnsi="MS Gothic" w:eastAsia="MS Gothic" w:cs="MS Gothic"/>
                <w:color w:val="auto"/>
                <w:sz w:val="24"/>
              </w:rPr>
              <w:t>☑</w:t>
            </w:r>
            <w:r>
              <w:rPr>
                <w:rFonts w:hint="default" w:ascii="Times New Roman" w:hAnsi="Times New Roman"/>
                <w:color w:val="auto"/>
                <w:sz w:val="24"/>
              </w:rPr>
              <w:t>新建</w:t>
            </w:r>
            <w:r>
              <w:rPr>
                <w:rFonts w:hint="eastAsia" w:ascii="Times New Roman" w:hAnsi="Times New Roman"/>
                <w:color w:val="auto"/>
                <w:sz w:val="24"/>
              </w:rPr>
              <w:t xml:space="preserve"> </w:t>
            </w:r>
            <w:r>
              <w:rPr>
                <w:rFonts w:hint="default" w:ascii="Times New Roman" w:hAnsi="Times New Roman"/>
                <w:color w:val="auto"/>
                <w:sz w:val="24"/>
              </w:rPr>
              <w:t>□改建</w:t>
            </w:r>
            <w:r>
              <w:rPr>
                <w:rFonts w:hint="eastAsia" w:ascii="Times New Roman" w:hAnsi="Times New Roman"/>
                <w:color w:val="auto"/>
                <w:sz w:val="24"/>
              </w:rPr>
              <w:t xml:space="preserve"> </w:t>
            </w:r>
            <w:r>
              <w:rPr>
                <w:rFonts w:hint="default" w:ascii="Times New Roman" w:hAnsi="Times New Roman"/>
                <w:color w:val="auto"/>
                <w:sz w:val="24"/>
              </w:rPr>
              <w:t>□扩建</w:t>
            </w:r>
            <w:r>
              <w:rPr>
                <w:rFonts w:hint="eastAsia" w:ascii="Times New Roman" w:hAnsi="Times New Roman"/>
                <w:color w:val="auto"/>
                <w:sz w:val="24"/>
              </w:rPr>
              <w:t xml:space="preserve"> </w:t>
            </w:r>
            <w:r>
              <w:rPr>
                <w:rFonts w:hint="default" w:ascii="Times New Roman" w:hAnsi="Times New Roman"/>
                <w:color w:val="auto"/>
                <w:sz w:val="24"/>
              </w:rPr>
              <w:t>□其它</w:t>
            </w:r>
          </w:p>
        </w:tc>
        <w:tc>
          <w:tcPr>
            <w:tcW w:w="1529" w:type="dxa"/>
            <w:gridSpan w:val="2"/>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default" w:ascii="Times New Roman" w:hAnsi="Times New Roman"/>
                <w:color w:val="auto"/>
                <w:sz w:val="24"/>
              </w:rPr>
              <w:t>占地面积m</w:t>
            </w:r>
            <w:r>
              <w:rPr>
                <w:rFonts w:hint="default" w:ascii="Times New Roman" w:hAnsi="Times New Roman"/>
                <w:color w:val="auto"/>
                <w:sz w:val="24"/>
                <w:vertAlign w:val="superscript"/>
              </w:rPr>
              <w:t>2</w:t>
            </w:r>
          </w:p>
        </w:tc>
        <w:tc>
          <w:tcPr>
            <w:tcW w:w="1134" w:type="dxa"/>
          </w:tcPr>
          <w:p>
            <w:pPr>
              <w:keepNext w:val="0"/>
              <w:keepLines w:val="0"/>
              <w:suppressLineNumbers w:val="0"/>
              <w:spacing w:before="0" w:beforeAutospacing="0" w:after="0" w:afterAutospacing="0" w:line="360" w:lineRule="auto"/>
              <w:ind w:left="0" w:right="0"/>
              <w:rPr>
                <w:rFonts w:hint="default" w:ascii="Times New Roman" w:hAnsi="Times New Roman" w:eastAsia="宋体"/>
                <w:color w:val="auto"/>
                <w:sz w:val="24"/>
                <w:lang w:val="en-US" w:eastAsia="zh-CN"/>
              </w:rPr>
            </w:pPr>
            <w:r>
              <w:rPr>
                <w:rFonts w:hint="default" w:ascii="Times New Roman" w:hAnsi="Times New Roman"/>
                <w:color w:val="auto"/>
                <w:sz w:val="24"/>
              </w:rPr>
              <w:t xml:space="preserve">  </w:t>
            </w:r>
            <w:r>
              <w:rPr>
                <w:rFonts w:hint="eastAsia" w:ascii="Times New Roman" w:hAnsi="Times New Roman" w:cs="Times New Roman"/>
                <w:color w:val="auto"/>
                <w:sz w:val="24"/>
                <w:lang w:val="en-US" w:eastAsia="zh-CN"/>
              </w:rPr>
              <w:t>208.67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trPr>
        <w:tc>
          <w:tcPr>
            <w:tcW w:w="561" w:type="dxa"/>
            <w:vMerge w:val="restar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应用类型</w:t>
            </w:r>
          </w:p>
        </w:tc>
        <w:tc>
          <w:tcPr>
            <w:tcW w:w="1360" w:type="dxa"/>
            <w:vMerge w:val="restar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放射源</w:t>
            </w:r>
          </w:p>
        </w:tc>
        <w:tc>
          <w:tcPr>
            <w:tcW w:w="1179" w:type="dxa"/>
            <w:gridSpan w:val="2"/>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default" w:ascii="Times New Roman" w:hAnsi="Times New Roman"/>
                <w:color w:val="auto"/>
                <w:sz w:val="24"/>
              </w:rPr>
              <w:t>□销售</w:t>
            </w:r>
          </w:p>
        </w:tc>
        <w:tc>
          <w:tcPr>
            <w:tcW w:w="5900" w:type="dxa"/>
            <w:gridSpan w:val="7"/>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w:t>
            </w:r>
            <w:r>
              <w:rPr>
                <w:rFonts w:hint="default" w:ascii="Times New Roman" w:hAnsi="Times New Roman"/>
                <w:color w:val="auto"/>
                <w:sz w:val="24"/>
              </w:rPr>
              <w:fldChar w:fldCharType="begin"/>
            </w:r>
            <w:r>
              <w:rPr>
                <w:rFonts w:hint="default" w:ascii="Times New Roman" w:hAnsi="Times New Roman"/>
                <w:color w:val="auto"/>
                <w:sz w:val="24"/>
              </w:rPr>
              <w:instrText xml:space="preserve"> = 1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w:t>
            </w:r>
            <w:r>
              <w:rPr>
                <w:rFonts w:hint="default" w:ascii="Times New Roman" w:hAnsi="Times New Roman"/>
                <w:color w:val="auto"/>
                <w:sz w:val="24"/>
              </w:rPr>
              <w:fldChar w:fldCharType="end"/>
            </w:r>
            <w:r>
              <w:rPr>
                <w:rFonts w:hint="default" w:ascii="Times New Roman" w:hAnsi="Times New Roman"/>
                <w:color w:val="auto"/>
                <w:sz w:val="24"/>
              </w:rPr>
              <w:t>类□</w:t>
            </w:r>
            <w:r>
              <w:rPr>
                <w:rFonts w:hint="default" w:ascii="Times New Roman" w:hAnsi="Times New Roman"/>
                <w:color w:val="auto"/>
                <w:sz w:val="24"/>
              </w:rPr>
              <w:fldChar w:fldCharType="begin"/>
            </w:r>
            <w:r>
              <w:rPr>
                <w:rFonts w:hint="default" w:ascii="Times New Roman" w:hAnsi="Times New Roman"/>
                <w:color w:val="auto"/>
                <w:sz w:val="24"/>
              </w:rPr>
              <w:instrText xml:space="preserve"> = 2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w:t>
            </w:r>
            <w:r>
              <w:rPr>
                <w:rFonts w:hint="default" w:ascii="Times New Roman" w:hAnsi="Times New Roman"/>
                <w:color w:val="auto"/>
                <w:sz w:val="24"/>
              </w:rPr>
              <w:fldChar w:fldCharType="end"/>
            </w:r>
            <w:r>
              <w:rPr>
                <w:rFonts w:hint="default" w:ascii="Times New Roman" w:hAnsi="Times New Roman"/>
                <w:color w:val="auto"/>
                <w:sz w:val="24"/>
              </w:rPr>
              <w:t>类□</w:t>
            </w:r>
            <w:r>
              <w:rPr>
                <w:rFonts w:hint="default" w:ascii="Times New Roman" w:hAnsi="Times New Roman"/>
                <w:color w:val="auto"/>
                <w:sz w:val="24"/>
              </w:rPr>
              <w:fldChar w:fldCharType="begin"/>
            </w:r>
            <w:r>
              <w:rPr>
                <w:rFonts w:hint="default" w:ascii="Times New Roman" w:hAnsi="Times New Roman"/>
                <w:color w:val="auto"/>
                <w:sz w:val="24"/>
              </w:rPr>
              <w:instrText xml:space="preserve"> = 3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III</w:t>
            </w:r>
            <w:r>
              <w:rPr>
                <w:rFonts w:hint="default" w:ascii="Times New Roman" w:hAnsi="Times New Roman"/>
                <w:color w:val="auto"/>
                <w:sz w:val="24"/>
              </w:rPr>
              <w:fldChar w:fldCharType="end"/>
            </w:r>
            <w:r>
              <w:rPr>
                <w:rFonts w:hint="default" w:ascii="Times New Roman" w:hAnsi="Times New Roman"/>
                <w:color w:val="auto"/>
                <w:sz w:val="24"/>
              </w:rPr>
              <w:t>类□</w:t>
            </w:r>
            <w:r>
              <w:rPr>
                <w:rFonts w:hint="default" w:ascii="Times New Roman" w:hAnsi="Times New Roman"/>
                <w:color w:val="auto"/>
                <w:sz w:val="24"/>
              </w:rPr>
              <w:fldChar w:fldCharType="begin"/>
            </w:r>
            <w:r>
              <w:rPr>
                <w:rFonts w:hint="default" w:ascii="Times New Roman" w:hAnsi="Times New Roman"/>
                <w:color w:val="auto"/>
                <w:sz w:val="24"/>
              </w:rPr>
              <w:instrText xml:space="preserve"> = 4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IV</w:t>
            </w:r>
            <w:r>
              <w:rPr>
                <w:rFonts w:hint="default" w:ascii="Times New Roman" w:hAnsi="Times New Roman"/>
                <w:color w:val="auto"/>
                <w:sz w:val="24"/>
              </w:rPr>
              <w:fldChar w:fldCharType="end"/>
            </w:r>
            <w:r>
              <w:rPr>
                <w:rFonts w:hint="default" w:ascii="Times New Roman" w:hAnsi="Times New Roman"/>
                <w:color w:val="auto"/>
                <w:sz w:val="24"/>
              </w:rPr>
              <w:t>类□</w:t>
            </w:r>
            <w:r>
              <w:rPr>
                <w:rFonts w:hint="default" w:ascii="Times New Roman" w:hAnsi="Times New Roman"/>
                <w:color w:val="auto"/>
                <w:sz w:val="24"/>
              </w:rPr>
              <w:fldChar w:fldCharType="begin"/>
            </w:r>
            <w:r>
              <w:rPr>
                <w:rFonts w:hint="default" w:ascii="Times New Roman" w:hAnsi="Times New Roman"/>
                <w:color w:val="auto"/>
                <w:sz w:val="24"/>
              </w:rPr>
              <w:instrText xml:space="preserve"> = 5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V</w:t>
            </w:r>
            <w:r>
              <w:rPr>
                <w:rFonts w:hint="default" w:ascii="Times New Roman" w:hAnsi="Times New Roman"/>
                <w:color w:val="auto"/>
                <w:sz w:val="24"/>
              </w:rPr>
              <w:fldChar w:fldCharType="end"/>
            </w:r>
            <w:r>
              <w:rPr>
                <w:rFonts w:hint="default" w:ascii="Times New Roman" w:hAnsi="Times New Roman"/>
                <w:color w:val="auto"/>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561"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360"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179" w:type="dxa"/>
            <w:gridSpan w:val="2"/>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eastAsia" w:ascii="MS Gothic" w:hAnsi="MS Gothic" w:eastAsia="MS Gothic" w:cs="MS Gothic"/>
                <w:color w:val="auto"/>
                <w:sz w:val="24"/>
              </w:rPr>
              <w:t>☑</w:t>
            </w:r>
            <w:r>
              <w:rPr>
                <w:rFonts w:hint="default" w:ascii="Times New Roman" w:hAnsi="Times New Roman"/>
                <w:color w:val="auto"/>
                <w:sz w:val="24"/>
              </w:rPr>
              <w:t>使用</w:t>
            </w:r>
          </w:p>
        </w:tc>
        <w:tc>
          <w:tcPr>
            <w:tcW w:w="5900" w:type="dxa"/>
            <w:gridSpan w:val="7"/>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default" w:ascii="Times New Roman" w:hAnsi="Times New Roman"/>
                <w:color w:val="auto"/>
                <w:sz w:val="24"/>
              </w:rPr>
              <w:t>□</w:t>
            </w:r>
            <w:r>
              <w:rPr>
                <w:rFonts w:hint="default" w:ascii="Times New Roman" w:hAnsi="Times New Roman"/>
                <w:color w:val="auto"/>
                <w:sz w:val="24"/>
              </w:rPr>
              <w:fldChar w:fldCharType="begin"/>
            </w:r>
            <w:r>
              <w:rPr>
                <w:rFonts w:hint="default" w:ascii="Times New Roman" w:hAnsi="Times New Roman"/>
                <w:color w:val="auto"/>
                <w:sz w:val="24"/>
              </w:rPr>
              <w:instrText xml:space="preserve"> = 1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w:t>
            </w:r>
            <w:r>
              <w:rPr>
                <w:rFonts w:hint="default" w:ascii="Times New Roman" w:hAnsi="Times New Roman"/>
                <w:color w:val="auto"/>
                <w:sz w:val="24"/>
              </w:rPr>
              <w:fldChar w:fldCharType="end"/>
            </w:r>
            <w:r>
              <w:rPr>
                <w:rFonts w:hint="default" w:ascii="Times New Roman" w:hAnsi="Times New Roman"/>
                <w:color w:val="auto"/>
                <w:sz w:val="24"/>
              </w:rPr>
              <w:t>类（医疗使用）□</w:t>
            </w:r>
            <w:r>
              <w:rPr>
                <w:rFonts w:hint="default" w:ascii="Times New Roman" w:hAnsi="Times New Roman"/>
                <w:color w:val="auto"/>
                <w:sz w:val="24"/>
              </w:rPr>
              <w:fldChar w:fldCharType="begin"/>
            </w:r>
            <w:r>
              <w:rPr>
                <w:rFonts w:hint="default" w:ascii="Times New Roman" w:hAnsi="Times New Roman"/>
                <w:color w:val="auto"/>
                <w:sz w:val="24"/>
              </w:rPr>
              <w:instrText xml:space="preserve"> = 2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w:t>
            </w:r>
            <w:r>
              <w:rPr>
                <w:rFonts w:hint="default" w:ascii="Times New Roman" w:hAnsi="Times New Roman"/>
                <w:color w:val="auto"/>
                <w:sz w:val="24"/>
              </w:rPr>
              <w:fldChar w:fldCharType="end"/>
            </w:r>
            <w:r>
              <w:rPr>
                <w:rFonts w:hint="default" w:ascii="Times New Roman" w:hAnsi="Times New Roman"/>
                <w:color w:val="auto"/>
                <w:sz w:val="24"/>
              </w:rPr>
              <w:t>类</w:t>
            </w:r>
            <w:r>
              <w:rPr>
                <w:rFonts w:hint="eastAsia" w:ascii="MS Gothic" w:hAnsi="MS Gothic" w:cs="MS Gothic"/>
                <w:color w:val="auto"/>
                <w:sz w:val="24"/>
                <w:lang w:eastAsia="zh-CN"/>
              </w:rPr>
              <w:t>☑</w:t>
            </w:r>
            <w:r>
              <w:rPr>
                <w:rFonts w:hint="default" w:ascii="Times New Roman" w:hAnsi="Times New Roman"/>
                <w:color w:val="auto"/>
                <w:sz w:val="24"/>
              </w:rPr>
              <w:fldChar w:fldCharType="begin"/>
            </w:r>
            <w:r>
              <w:rPr>
                <w:rFonts w:hint="default" w:ascii="Times New Roman" w:hAnsi="Times New Roman"/>
                <w:color w:val="auto"/>
                <w:sz w:val="24"/>
              </w:rPr>
              <w:instrText xml:space="preserve"> = 3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III</w:t>
            </w:r>
            <w:r>
              <w:rPr>
                <w:rFonts w:hint="default" w:ascii="Times New Roman" w:hAnsi="Times New Roman"/>
                <w:color w:val="auto"/>
                <w:sz w:val="24"/>
              </w:rPr>
              <w:fldChar w:fldCharType="end"/>
            </w:r>
            <w:r>
              <w:rPr>
                <w:rFonts w:hint="default" w:ascii="Times New Roman" w:hAnsi="Times New Roman"/>
                <w:color w:val="auto"/>
                <w:sz w:val="24"/>
              </w:rPr>
              <w:t>类□</w:t>
            </w:r>
            <w:r>
              <w:rPr>
                <w:rFonts w:hint="default" w:ascii="Times New Roman" w:hAnsi="Times New Roman"/>
                <w:color w:val="auto"/>
                <w:sz w:val="24"/>
              </w:rPr>
              <w:fldChar w:fldCharType="begin"/>
            </w:r>
            <w:r>
              <w:rPr>
                <w:rFonts w:hint="default" w:ascii="Times New Roman" w:hAnsi="Times New Roman"/>
                <w:color w:val="auto"/>
                <w:sz w:val="24"/>
              </w:rPr>
              <w:instrText xml:space="preserve"> = 4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IV</w:t>
            </w:r>
            <w:r>
              <w:rPr>
                <w:rFonts w:hint="default" w:ascii="Times New Roman" w:hAnsi="Times New Roman"/>
                <w:color w:val="auto"/>
                <w:sz w:val="24"/>
              </w:rPr>
              <w:fldChar w:fldCharType="end"/>
            </w:r>
            <w:r>
              <w:rPr>
                <w:rFonts w:hint="default" w:ascii="Times New Roman" w:hAnsi="Times New Roman"/>
                <w:color w:val="auto"/>
                <w:sz w:val="24"/>
              </w:rPr>
              <w:t>类□</w:t>
            </w:r>
            <w:r>
              <w:rPr>
                <w:rFonts w:hint="default" w:ascii="Times New Roman" w:hAnsi="Times New Roman"/>
                <w:color w:val="auto"/>
                <w:sz w:val="24"/>
              </w:rPr>
              <w:fldChar w:fldCharType="begin"/>
            </w:r>
            <w:r>
              <w:rPr>
                <w:rFonts w:hint="default" w:ascii="Times New Roman" w:hAnsi="Times New Roman"/>
                <w:color w:val="auto"/>
                <w:sz w:val="24"/>
              </w:rPr>
              <w:instrText xml:space="preserve"> = 5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V</w:t>
            </w:r>
            <w:r>
              <w:rPr>
                <w:rFonts w:hint="default" w:ascii="Times New Roman" w:hAnsi="Times New Roman"/>
                <w:color w:val="auto"/>
                <w:sz w:val="24"/>
              </w:rPr>
              <w:fldChar w:fldCharType="end"/>
            </w:r>
            <w:r>
              <w:rPr>
                <w:rFonts w:hint="default" w:ascii="Times New Roman" w:hAnsi="Times New Roman"/>
                <w:color w:val="auto"/>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trPr>
        <w:tc>
          <w:tcPr>
            <w:tcW w:w="561"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36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4"/>
              </w:rPr>
            </w:pPr>
            <w:r>
              <w:rPr>
                <w:rFonts w:hint="default" w:ascii="Times New Roman" w:hAnsi="Times New Roman"/>
                <w:color w:val="auto"/>
                <w:sz w:val="24"/>
              </w:rPr>
              <w:t>非密封放射性物质</w:t>
            </w:r>
          </w:p>
        </w:tc>
        <w:tc>
          <w:tcPr>
            <w:tcW w:w="1179" w:type="dxa"/>
            <w:gridSpan w:val="2"/>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default" w:ascii="Times New Roman" w:hAnsi="Times New Roman"/>
                <w:color w:val="auto"/>
                <w:sz w:val="24"/>
              </w:rPr>
              <w:t>□生产</w:t>
            </w:r>
          </w:p>
        </w:tc>
        <w:tc>
          <w:tcPr>
            <w:tcW w:w="5900" w:type="dxa"/>
            <w:gridSpan w:val="7"/>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□制备PET用放射性药物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trPr>
        <w:tc>
          <w:tcPr>
            <w:tcW w:w="561"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360"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179" w:type="dxa"/>
            <w:gridSpan w:val="2"/>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default" w:ascii="Times New Roman" w:hAnsi="Times New Roman"/>
                <w:color w:val="auto"/>
                <w:sz w:val="24"/>
              </w:rPr>
              <w:t>□销售</w:t>
            </w:r>
          </w:p>
        </w:tc>
        <w:tc>
          <w:tcPr>
            <w:tcW w:w="5900" w:type="dxa"/>
            <w:gridSpan w:val="7"/>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61"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360"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179" w:type="dxa"/>
            <w:gridSpan w:val="2"/>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default" w:ascii="Times New Roman" w:hAnsi="Times New Roman"/>
                <w:color w:val="auto"/>
                <w:sz w:val="24"/>
              </w:rPr>
              <w:t>□使用</w:t>
            </w:r>
          </w:p>
        </w:tc>
        <w:tc>
          <w:tcPr>
            <w:tcW w:w="5900" w:type="dxa"/>
            <w:gridSpan w:val="7"/>
          </w:tcPr>
          <w:p>
            <w:pPr>
              <w:keepNext w:val="0"/>
              <w:keepLines w:val="0"/>
              <w:suppressLineNumbers w:val="0"/>
              <w:spacing w:before="0" w:beforeAutospacing="0" w:after="0" w:afterAutospacing="0" w:line="360" w:lineRule="auto"/>
              <w:ind w:left="0" w:right="0" w:firstLine="2280" w:firstLineChars="950"/>
              <w:rPr>
                <w:rFonts w:hint="default" w:ascii="Times New Roman" w:hAnsi="Times New Roman"/>
                <w:color w:val="auto"/>
                <w:sz w:val="24"/>
              </w:rPr>
            </w:pPr>
            <w:r>
              <w:rPr>
                <w:rFonts w:hint="default" w:ascii="Times New Roman" w:hAnsi="Times New Roman"/>
                <w:color w:val="auto"/>
                <w:sz w:val="24"/>
              </w:rPr>
              <w:t>□乙 □丙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 w:hRule="atLeast"/>
        </w:trPr>
        <w:tc>
          <w:tcPr>
            <w:tcW w:w="561"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360" w:type="dxa"/>
            <w:vMerge w:val="restart"/>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射线装置</w:t>
            </w:r>
          </w:p>
        </w:tc>
        <w:tc>
          <w:tcPr>
            <w:tcW w:w="1179" w:type="dxa"/>
            <w:gridSpan w:val="2"/>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default" w:ascii="Times New Roman" w:hAnsi="Times New Roman"/>
                <w:color w:val="auto"/>
                <w:sz w:val="24"/>
              </w:rPr>
              <w:t>□生产</w:t>
            </w:r>
          </w:p>
        </w:tc>
        <w:tc>
          <w:tcPr>
            <w:tcW w:w="5900" w:type="dxa"/>
            <w:gridSpan w:val="7"/>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w:t>
            </w:r>
            <w:r>
              <w:rPr>
                <w:rFonts w:hint="default" w:ascii="Times New Roman" w:hAnsi="Times New Roman"/>
                <w:color w:val="auto"/>
                <w:sz w:val="24"/>
              </w:rPr>
              <w:fldChar w:fldCharType="begin"/>
            </w:r>
            <w:r>
              <w:rPr>
                <w:rFonts w:hint="default" w:ascii="Times New Roman" w:hAnsi="Times New Roman"/>
                <w:color w:val="auto"/>
                <w:sz w:val="24"/>
              </w:rPr>
              <w:instrText xml:space="preserve"> = 2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w:t>
            </w:r>
            <w:r>
              <w:rPr>
                <w:rFonts w:hint="default" w:ascii="Times New Roman" w:hAnsi="Times New Roman"/>
                <w:color w:val="auto"/>
                <w:sz w:val="24"/>
              </w:rPr>
              <w:fldChar w:fldCharType="end"/>
            </w:r>
            <w:r>
              <w:rPr>
                <w:rFonts w:hint="default" w:ascii="Times New Roman" w:hAnsi="Times New Roman"/>
                <w:color w:val="auto"/>
                <w:sz w:val="24"/>
              </w:rPr>
              <w:t>类□</w:t>
            </w:r>
            <w:r>
              <w:rPr>
                <w:rFonts w:hint="default" w:ascii="Times New Roman" w:hAnsi="Times New Roman"/>
                <w:color w:val="auto"/>
                <w:sz w:val="24"/>
              </w:rPr>
              <w:fldChar w:fldCharType="begin"/>
            </w:r>
            <w:r>
              <w:rPr>
                <w:rFonts w:hint="default" w:ascii="Times New Roman" w:hAnsi="Times New Roman"/>
                <w:color w:val="auto"/>
                <w:sz w:val="24"/>
              </w:rPr>
              <w:instrText xml:space="preserve"> = 3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III</w:t>
            </w:r>
            <w:r>
              <w:rPr>
                <w:rFonts w:hint="default" w:ascii="Times New Roman" w:hAnsi="Times New Roman"/>
                <w:color w:val="auto"/>
                <w:sz w:val="24"/>
              </w:rPr>
              <w:fldChar w:fldCharType="end"/>
            </w:r>
            <w:r>
              <w:rPr>
                <w:rFonts w:hint="default" w:ascii="Times New Roman" w:hAnsi="Times New Roman"/>
                <w:color w:val="auto"/>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trPr>
        <w:tc>
          <w:tcPr>
            <w:tcW w:w="561"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360"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179" w:type="dxa"/>
            <w:gridSpan w:val="2"/>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default" w:ascii="Times New Roman" w:hAnsi="Times New Roman"/>
                <w:color w:val="auto"/>
                <w:sz w:val="24"/>
              </w:rPr>
              <w:t>□销售</w:t>
            </w:r>
          </w:p>
        </w:tc>
        <w:tc>
          <w:tcPr>
            <w:tcW w:w="5900" w:type="dxa"/>
            <w:gridSpan w:val="7"/>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w:t>
            </w:r>
            <w:r>
              <w:rPr>
                <w:rFonts w:hint="default" w:ascii="Times New Roman" w:hAnsi="Times New Roman"/>
                <w:color w:val="auto"/>
                <w:sz w:val="24"/>
              </w:rPr>
              <w:fldChar w:fldCharType="begin"/>
            </w:r>
            <w:r>
              <w:rPr>
                <w:rFonts w:hint="default" w:ascii="Times New Roman" w:hAnsi="Times New Roman"/>
                <w:color w:val="auto"/>
                <w:sz w:val="24"/>
              </w:rPr>
              <w:instrText xml:space="preserve"> = 2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w:t>
            </w:r>
            <w:r>
              <w:rPr>
                <w:rFonts w:hint="default" w:ascii="Times New Roman" w:hAnsi="Times New Roman"/>
                <w:color w:val="auto"/>
                <w:sz w:val="24"/>
              </w:rPr>
              <w:fldChar w:fldCharType="end"/>
            </w:r>
            <w:r>
              <w:rPr>
                <w:rFonts w:hint="default" w:ascii="Times New Roman" w:hAnsi="Times New Roman"/>
                <w:color w:val="auto"/>
                <w:sz w:val="24"/>
              </w:rPr>
              <w:t>类□</w:t>
            </w:r>
            <w:r>
              <w:rPr>
                <w:rFonts w:hint="default" w:ascii="Times New Roman" w:hAnsi="Times New Roman"/>
                <w:color w:val="auto"/>
                <w:sz w:val="24"/>
              </w:rPr>
              <w:fldChar w:fldCharType="begin"/>
            </w:r>
            <w:r>
              <w:rPr>
                <w:rFonts w:hint="default" w:ascii="Times New Roman" w:hAnsi="Times New Roman"/>
                <w:color w:val="auto"/>
                <w:sz w:val="24"/>
              </w:rPr>
              <w:instrText xml:space="preserve"> = 3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III</w:t>
            </w:r>
            <w:r>
              <w:rPr>
                <w:rFonts w:hint="default" w:ascii="Times New Roman" w:hAnsi="Times New Roman"/>
                <w:color w:val="auto"/>
                <w:sz w:val="24"/>
              </w:rPr>
              <w:fldChar w:fldCharType="end"/>
            </w:r>
            <w:r>
              <w:rPr>
                <w:rFonts w:hint="default" w:ascii="Times New Roman" w:hAnsi="Times New Roman"/>
                <w:color w:val="auto"/>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trPr>
        <w:tc>
          <w:tcPr>
            <w:tcW w:w="561"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360"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179" w:type="dxa"/>
            <w:gridSpan w:val="2"/>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eastAsia" w:ascii="MS Gothic" w:hAnsi="MS Gothic" w:eastAsia="MS Gothic" w:cs="MS Gothic"/>
                <w:color w:val="auto"/>
                <w:sz w:val="24"/>
              </w:rPr>
              <w:t>☑</w:t>
            </w:r>
            <w:r>
              <w:rPr>
                <w:rFonts w:hint="default" w:ascii="Times New Roman" w:hAnsi="Times New Roman"/>
                <w:color w:val="auto"/>
                <w:sz w:val="24"/>
              </w:rPr>
              <w:t>使用</w:t>
            </w:r>
          </w:p>
        </w:tc>
        <w:tc>
          <w:tcPr>
            <w:tcW w:w="5900" w:type="dxa"/>
            <w:gridSpan w:val="7"/>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eastAsia" w:ascii="MS Gothic" w:hAnsi="MS Gothic" w:eastAsia="MS Gothic" w:cs="MS Gothic"/>
                <w:color w:val="auto"/>
                <w:sz w:val="24"/>
              </w:rPr>
              <w:t>☑</w:t>
            </w:r>
            <w:r>
              <w:rPr>
                <w:rFonts w:hint="default" w:ascii="Times New Roman" w:hAnsi="Times New Roman"/>
                <w:color w:val="auto"/>
                <w:sz w:val="24"/>
              </w:rPr>
              <w:fldChar w:fldCharType="begin"/>
            </w:r>
            <w:r>
              <w:rPr>
                <w:rFonts w:hint="default" w:ascii="Times New Roman" w:hAnsi="Times New Roman"/>
                <w:color w:val="auto"/>
                <w:sz w:val="24"/>
              </w:rPr>
              <w:instrText xml:space="preserve"> = 2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w:t>
            </w:r>
            <w:r>
              <w:rPr>
                <w:rFonts w:hint="default" w:ascii="Times New Roman" w:hAnsi="Times New Roman"/>
                <w:color w:val="auto"/>
                <w:sz w:val="24"/>
              </w:rPr>
              <w:fldChar w:fldCharType="end"/>
            </w:r>
            <w:r>
              <w:rPr>
                <w:rFonts w:hint="default" w:ascii="Times New Roman" w:hAnsi="Times New Roman"/>
                <w:color w:val="auto"/>
                <w:sz w:val="24"/>
              </w:rPr>
              <w:t>类□</w:t>
            </w:r>
            <w:r>
              <w:rPr>
                <w:rFonts w:hint="default" w:ascii="Times New Roman" w:hAnsi="Times New Roman"/>
                <w:color w:val="auto"/>
                <w:sz w:val="24"/>
              </w:rPr>
              <w:fldChar w:fldCharType="begin"/>
            </w:r>
            <w:r>
              <w:rPr>
                <w:rFonts w:hint="default" w:ascii="Times New Roman" w:hAnsi="Times New Roman"/>
                <w:color w:val="auto"/>
                <w:sz w:val="24"/>
              </w:rPr>
              <w:instrText xml:space="preserve"> = 3 \* ROMAN \* MERGEFORMAT </w:instrText>
            </w:r>
            <w:r>
              <w:rPr>
                <w:rFonts w:hint="default" w:ascii="Times New Roman" w:hAnsi="Times New Roman"/>
                <w:color w:val="auto"/>
                <w:sz w:val="24"/>
              </w:rPr>
              <w:fldChar w:fldCharType="separate"/>
            </w:r>
            <w:r>
              <w:rPr>
                <w:rFonts w:hint="default" w:ascii="Times New Roman" w:hAnsi="Times New Roman"/>
                <w:color w:val="auto"/>
                <w:sz w:val="24"/>
              </w:rPr>
              <w:t>III</w:t>
            </w:r>
            <w:r>
              <w:rPr>
                <w:rFonts w:hint="default" w:ascii="Times New Roman" w:hAnsi="Times New Roman"/>
                <w:color w:val="auto"/>
                <w:sz w:val="24"/>
              </w:rPr>
              <w:fldChar w:fldCharType="end"/>
            </w:r>
            <w:r>
              <w:rPr>
                <w:rFonts w:hint="default" w:ascii="Times New Roman" w:hAnsi="Times New Roman"/>
                <w:color w:val="auto"/>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561"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p>
        </w:tc>
        <w:tc>
          <w:tcPr>
            <w:tcW w:w="136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olor w:val="auto"/>
                <w:sz w:val="24"/>
              </w:rPr>
            </w:pPr>
            <w:r>
              <w:rPr>
                <w:rFonts w:hint="default" w:ascii="Times New Roman" w:hAnsi="Times New Roman"/>
                <w:color w:val="auto"/>
                <w:sz w:val="24"/>
              </w:rPr>
              <w:t>其他</w:t>
            </w:r>
          </w:p>
        </w:tc>
        <w:tc>
          <w:tcPr>
            <w:tcW w:w="7079" w:type="dxa"/>
            <w:gridSpan w:val="9"/>
          </w:tcPr>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default" w:ascii="Times New Roman" w:hAnsi="Times New Roman"/>
                <w:color w:val="auto"/>
                <w:sz w:val="24"/>
              </w:rPr>
              <w:t xml:space="preserve">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rPr>
        <w:tc>
          <w:tcPr>
            <w:tcW w:w="9000" w:type="dxa"/>
            <w:gridSpan w:val="11"/>
            <w:tcBorders>
              <w:bottom w:val="single" w:color="auto" w:sz="12" w:space="0"/>
            </w:tcBorders>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黑体"/>
                <w:color w:val="auto"/>
                <w:sz w:val="28"/>
                <w:szCs w:val="28"/>
              </w:rPr>
            </w:pPr>
            <w:r>
              <w:rPr>
                <w:rFonts w:hint="default" w:ascii="Times New Roman" w:hAnsi="Times New Roman" w:eastAsia="黑体"/>
                <w:color w:val="auto"/>
                <w:sz w:val="28"/>
                <w:szCs w:val="28"/>
              </w:rPr>
              <w:t>项目概述</w:t>
            </w:r>
          </w:p>
          <w:p>
            <w:pPr>
              <w:keepNext w:val="0"/>
              <w:keepLines w:val="0"/>
              <w:suppressLineNumbers w:val="0"/>
              <w:spacing w:before="0" w:beforeAutospacing="0" w:after="0" w:afterAutospacing="0" w:line="360" w:lineRule="auto"/>
              <w:ind w:left="0" w:right="0"/>
              <w:rPr>
                <w:rFonts w:hint="default" w:ascii="Times New Roman" w:hAnsi="Times New Roman"/>
                <w:b/>
                <w:bCs/>
                <w:color w:val="auto"/>
                <w:sz w:val="28"/>
                <w:szCs w:val="28"/>
              </w:rPr>
            </w:pPr>
            <w:r>
              <w:rPr>
                <w:rFonts w:hint="default" w:ascii="Times New Roman" w:hAnsi="Times New Roman"/>
                <w:b/>
                <w:bCs/>
                <w:color w:val="auto"/>
                <w:sz w:val="28"/>
                <w:szCs w:val="28"/>
              </w:rPr>
              <w:t>一、企业概况及项目由来</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rPr>
              <w:t>成都市第五人民医院</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统一社会信用代码：</w:t>
            </w:r>
            <w:r>
              <w:rPr>
                <w:rFonts w:hint="eastAsia" w:ascii="Times New Roman" w:hAnsi="Times New Roman" w:eastAsia="仿宋" w:cs="Times New Roman"/>
                <w:color w:val="auto"/>
                <w:kern w:val="0"/>
                <w:sz w:val="24"/>
                <w:szCs w:val="24"/>
                <w:lang w:val="en-US" w:eastAsia="zh-CN" w:bidi="ar"/>
              </w:rPr>
              <w:t>***</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始建于1938年，是一所历史悠久、文化底蕴丰厚，以微创技术和老年病综合治疗为特色的集医疗、教学、科研、预防、康复、急救于一体的国家三级甲等综合医院,是成都中医药大学附属第五人民医院/第二临床医学院。医院包含三区（综合医疗区、老年健康产业园区、教学园区），一所（中国成都—法国蒙彼利埃医疗中心老年疾病研究所)。</w:t>
            </w:r>
          </w:p>
          <w:p>
            <w:pPr>
              <w:keepNext w:val="0"/>
              <w:keepLines w:val="0"/>
              <w:suppressLineNumbers w:val="0"/>
              <w:spacing w:before="0" w:beforeAutospacing="0" w:after="0" w:afterAutospacing="0" w:line="360" w:lineRule="auto"/>
              <w:ind w:left="0" w:right="0" w:firstLine="480"/>
              <w:rPr>
                <w:rFonts w:hint="eastAsia"/>
                <w:color w:val="auto"/>
                <w:sz w:val="24"/>
                <w:szCs w:val="24"/>
                <w:highlight w:val="none"/>
              </w:rPr>
            </w:pPr>
            <w:r>
              <w:rPr>
                <w:rFonts w:hint="default" w:ascii="Times New Roman" w:hAnsi="Times New Roman" w:cs="Times New Roman"/>
                <w:color w:val="auto"/>
                <w:sz w:val="24"/>
                <w:szCs w:val="24"/>
              </w:rPr>
              <w:t>医院拥有临床科室30个，医技及辅助科室17个，职能部门29个，一级学科24个、二级学科62个。省级医学重点专科7个（老年病科、泌尿外科、心血管内科、妇产科、重症医学科、呼吸与危重症医学科、肿瘤科），市医学重点学科10个（老年病科、重症医学科、普外科、肝胆外科、神经内科、内分泌科、临床药学、骨科、消化内科、医学影像科），是国家药物临床试验机构（GCP）（包括老年病、内分泌、肿瘤、呼吸四个专业）。</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ascii="宋体" w:hAnsi="宋体" w:cs="宋体"/>
                <w:color w:val="auto"/>
                <w:kern w:val="0"/>
                <w:sz w:val="24"/>
                <w:szCs w:val="24"/>
                <w:lang w:val="en-US" w:eastAsia="zh-CN" w:bidi="ar"/>
              </w:rPr>
              <w:t>为了更好的</w:t>
            </w:r>
            <w:r>
              <w:rPr>
                <w:rFonts w:hint="eastAsia" w:ascii="宋体" w:hAnsi="宋体" w:eastAsia="宋体" w:cs="宋体"/>
                <w:color w:val="auto"/>
                <w:kern w:val="0"/>
                <w:sz w:val="24"/>
                <w:szCs w:val="24"/>
                <w:lang w:val="en-US" w:eastAsia="zh-CN" w:bidi="ar"/>
              </w:rPr>
              <w:t>建设</w:t>
            </w:r>
            <w:r>
              <w:rPr>
                <w:rFonts w:hint="eastAsia" w:ascii="宋体" w:hAnsi="宋体" w:cs="宋体"/>
                <w:color w:val="auto"/>
                <w:kern w:val="0"/>
                <w:sz w:val="24"/>
                <w:szCs w:val="24"/>
                <w:lang w:val="en-US" w:eastAsia="zh-CN" w:bidi="ar"/>
              </w:rPr>
              <w:t>与</w:t>
            </w:r>
            <w:r>
              <w:rPr>
                <w:rFonts w:hint="eastAsia" w:ascii="宋体" w:hAnsi="宋体" w:eastAsia="宋体" w:cs="宋体"/>
                <w:color w:val="auto"/>
                <w:kern w:val="0"/>
                <w:sz w:val="24"/>
                <w:szCs w:val="24"/>
                <w:lang w:val="en-US" w:eastAsia="zh-CN" w:bidi="ar"/>
              </w:rPr>
              <w:t>发展成都市第五人民医院，</w:t>
            </w:r>
            <w:r>
              <w:rPr>
                <w:rFonts w:hint="eastAsia" w:ascii="宋体" w:hAnsi="宋体" w:cs="宋体"/>
                <w:color w:val="auto"/>
                <w:kern w:val="0"/>
                <w:sz w:val="24"/>
                <w:szCs w:val="24"/>
                <w:lang w:val="en-US" w:eastAsia="zh-CN" w:bidi="ar"/>
              </w:rPr>
              <w:t>故</w:t>
            </w:r>
            <w:r>
              <w:rPr>
                <w:rFonts w:hint="eastAsia" w:ascii="宋体" w:hAnsi="宋体" w:eastAsia="宋体" w:cs="宋体"/>
                <w:color w:val="auto"/>
                <w:kern w:val="0"/>
                <w:sz w:val="24"/>
                <w:szCs w:val="24"/>
                <w:lang w:val="en-US" w:eastAsia="zh-CN" w:bidi="ar"/>
              </w:rPr>
              <w:t>需配置先进</w:t>
            </w:r>
            <w:r>
              <w:rPr>
                <w:rFonts w:hint="eastAsia" w:ascii="宋体" w:hAnsi="宋体" w:cs="宋体"/>
                <w:color w:val="auto"/>
                <w:kern w:val="0"/>
                <w:sz w:val="24"/>
                <w:szCs w:val="24"/>
                <w:lang w:val="en-US" w:eastAsia="zh-CN" w:bidi="ar"/>
              </w:rPr>
              <w:t>的</w:t>
            </w:r>
            <w:r>
              <w:rPr>
                <w:rFonts w:hint="eastAsia" w:ascii="宋体" w:hAnsi="宋体" w:eastAsia="宋体" w:cs="宋体"/>
                <w:color w:val="auto"/>
                <w:kern w:val="0"/>
                <w:sz w:val="24"/>
                <w:szCs w:val="24"/>
                <w:lang w:val="en-US" w:eastAsia="zh-CN" w:bidi="ar"/>
              </w:rPr>
              <w:t>医疗设施及设备。</w:t>
            </w:r>
            <w:r>
              <w:rPr>
                <w:rFonts w:hint="default" w:ascii="Times New Roman" w:hAnsi="Times New Roman" w:eastAsia="宋体" w:cs="Times New Roman"/>
                <w:color w:val="auto"/>
                <w:sz w:val="24"/>
                <w:szCs w:val="24"/>
                <w:highlight w:val="none"/>
              </w:rPr>
              <w:t>医院拟</w:t>
            </w:r>
            <w:r>
              <w:rPr>
                <w:rFonts w:hint="default"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kern w:val="0"/>
                <w:sz w:val="24"/>
                <w:szCs w:val="24"/>
                <w:lang w:val="en-US" w:eastAsia="zh-CN" w:bidi="ar"/>
              </w:rPr>
              <w:t>门急诊住</w:t>
            </w:r>
            <w:r>
              <w:rPr>
                <w:rFonts w:hint="default" w:ascii="Times New Roman" w:hAnsi="Times New Roman" w:eastAsia="宋体" w:cs="Times New Roman"/>
                <w:color w:val="auto"/>
                <w:sz w:val="24"/>
                <w:szCs w:val="24"/>
                <w:highlight w:val="none"/>
                <w:lang w:val="en-US" w:eastAsia="zh-CN"/>
              </w:rPr>
              <w:t>院综合楼</w:t>
            </w:r>
            <w:r>
              <w:rPr>
                <w:rFonts w:hint="eastAsia" w:ascii="Times New Roman" w:hAnsi="Times New Roman" w:cs="Times New Roman"/>
                <w:color w:val="auto"/>
                <w:sz w:val="24"/>
                <w:szCs w:val="24"/>
                <w:highlight w:val="none"/>
                <w:lang w:eastAsia="zh-CN"/>
              </w:rPr>
              <w:t>配套工程（三期）</w:t>
            </w:r>
            <w:r>
              <w:rPr>
                <w:rFonts w:hint="eastAsia" w:ascii="Times New Roman" w:hAnsi="Times New Roman" w:cs="Times New Roman"/>
                <w:color w:val="auto"/>
                <w:sz w:val="24"/>
                <w:szCs w:val="24"/>
                <w:highlight w:val="none"/>
                <w:lang w:val="en-US" w:eastAsia="zh-CN"/>
              </w:rPr>
              <w:t>负三层</w:t>
            </w:r>
            <w:r>
              <w:rPr>
                <w:rFonts w:hint="default" w:ascii="Times New Roman" w:hAnsi="Times New Roman" w:cs="Times New Roman"/>
                <w:color w:val="auto"/>
                <w:sz w:val="24"/>
                <w:szCs w:val="24"/>
                <w:highlight w:val="none"/>
                <w:lang w:val="en-US" w:eastAsia="zh-CN"/>
              </w:rPr>
              <w:t>放疗中心使用</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台1</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MV医用直线加速器（</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II</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类射线装置</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、1台</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MV医用直线加速器（</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II</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类射线装置</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1台</w:t>
            </w:r>
            <w:r>
              <w:rPr>
                <w:rFonts w:hint="default" w:ascii="Times New Roman" w:hAnsi="Times New Roman" w:cs="Times New Roman"/>
                <w:color w:val="auto"/>
                <w:sz w:val="24"/>
                <w:szCs w:val="24"/>
                <w:highlight w:val="none"/>
                <w:lang w:val="en-US" w:eastAsia="zh-CN"/>
              </w:rPr>
              <w:t>后装机（</w:t>
            </w:r>
            <w:r>
              <w:rPr>
                <w:rFonts w:hint="default" w:ascii="Times New Roman" w:hAnsi="Times New Roman" w:cs="Times New Roman"/>
                <w:color w:val="auto"/>
                <w:sz w:val="24"/>
                <w:szCs w:val="24"/>
                <w:highlight w:val="none"/>
              </w:rPr>
              <w:t>1枚</w:t>
            </w:r>
            <w:r>
              <w:rPr>
                <w:rFonts w:hint="default" w:ascii="Times New Roman" w:hAnsi="Times New Roman" w:cs="Times New Roman"/>
                <w:color w:val="auto"/>
                <w:sz w:val="24"/>
                <w:szCs w:val="24"/>
                <w:highlight w:val="none"/>
                <w:vertAlign w:val="superscript"/>
                <w:lang w:val="en-US" w:eastAsia="zh-CN"/>
              </w:rPr>
              <w:t>192</w:t>
            </w:r>
            <w:r>
              <w:rPr>
                <w:rFonts w:hint="default" w:ascii="Times New Roman" w:hAnsi="Times New Roman" w:cs="Times New Roman"/>
                <w:color w:val="auto"/>
                <w:sz w:val="24"/>
                <w:szCs w:val="24"/>
                <w:highlight w:val="none"/>
                <w:lang w:val="en-US" w:eastAsia="zh-CN"/>
              </w:rPr>
              <w:t>Ir</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装源</w:t>
            </w:r>
            <w:r>
              <w:rPr>
                <w:rFonts w:hint="default" w:ascii="Times New Roman" w:hAnsi="Times New Roman" w:cs="Times New Roman"/>
                <w:color w:val="auto"/>
                <w:sz w:val="24"/>
                <w:szCs w:val="24"/>
                <w:highlight w:val="none"/>
              </w:rPr>
              <w:t>活度为3.7×10</w:t>
            </w:r>
            <w:r>
              <w:rPr>
                <w:rFonts w:hint="default" w:ascii="Times New Roman" w:hAnsi="Times New Roman" w:cs="Times New Roman"/>
                <w:color w:val="auto"/>
                <w:sz w:val="24"/>
                <w:szCs w:val="24"/>
                <w:highlight w:val="none"/>
                <w:vertAlign w:val="superscript"/>
              </w:rPr>
              <w:t>11</w:t>
            </w:r>
            <w:r>
              <w:rPr>
                <w:rFonts w:hint="default" w:ascii="Times New Roman" w:hAnsi="Times New Roman" w:cs="Times New Roman"/>
                <w:color w:val="auto"/>
                <w:sz w:val="24"/>
                <w:szCs w:val="24"/>
                <w:highlight w:val="none"/>
              </w:rPr>
              <w:t>Bq</w:t>
            </w:r>
            <w:r>
              <w:rPr>
                <w:rFonts w:hint="eastAsia" w:ascii="宋体" w:hAnsi="宋体"/>
                <w:color w:val="auto"/>
                <w:szCs w:val="21"/>
                <w:lang w:eastAsia="zh-CN"/>
              </w:rPr>
              <w:t>，</w:t>
            </w:r>
            <w:r>
              <w:rPr>
                <w:rFonts w:hint="eastAsia" w:ascii="宋体" w:hAnsi="宋体"/>
                <w:color w:val="auto"/>
                <w:szCs w:val="21"/>
                <w:lang w:val="en-US" w:eastAsia="zh-CN"/>
              </w:rPr>
              <w:t>属</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3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cs="Times New Roman"/>
                <w:color w:val="auto"/>
                <w:sz w:val="24"/>
                <w:szCs w:val="24"/>
                <w:highlight w:val="none"/>
              </w:rPr>
              <w:t>III</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类放射源</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项目所在的</w:t>
            </w:r>
            <w:r>
              <w:rPr>
                <w:rFonts w:hint="default" w:ascii="Times New Roman" w:hAnsi="Times New Roman" w:eastAsia="宋体" w:cs="Times New Roman"/>
                <w:color w:val="auto"/>
                <w:kern w:val="0"/>
                <w:sz w:val="24"/>
                <w:szCs w:val="24"/>
                <w:lang w:val="en-US" w:eastAsia="zh-CN" w:bidi="ar"/>
              </w:rPr>
              <w:t>门急诊住</w:t>
            </w:r>
            <w:r>
              <w:rPr>
                <w:rFonts w:hint="default" w:ascii="Times New Roman" w:hAnsi="Times New Roman" w:eastAsia="宋体" w:cs="Times New Roman"/>
                <w:color w:val="auto"/>
                <w:sz w:val="24"/>
                <w:szCs w:val="24"/>
                <w:highlight w:val="none"/>
                <w:lang w:val="en-US" w:eastAsia="zh-CN"/>
              </w:rPr>
              <w:t>院综合楼</w:t>
            </w:r>
            <w:r>
              <w:rPr>
                <w:rFonts w:hint="eastAsia" w:ascii="Times New Roman" w:hAnsi="Times New Roman" w:cs="Times New Roman"/>
                <w:color w:val="auto"/>
                <w:sz w:val="24"/>
                <w:szCs w:val="24"/>
                <w:highlight w:val="none"/>
                <w:lang w:val="en-US" w:eastAsia="zh-CN"/>
              </w:rPr>
              <w:t>配套工程（三期）</w:t>
            </w:r>
            <w:r>
              <w:rPr>
                <w:rFonts w:hint="default" w:ascii="Times New Roman" w:hAnsi="Times New Roman" w:eastAsia="宋体" w:cs="Times New Roman"/>
                <w:color w:val="auto"/>
                <w:sz w:val="24"/>
                <w:szCs w:val="24"/>
                <w:highlight w:val="none"/>
                <w:lang w:val="en-US" w:eastAsia="zh-CN"/>
              </w:rPr>
              <w:t>已于2020年10月12日在建设项目备案登记网已完成备案登记，备案号：202051011500000496（具体见附件</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pPr>
              <w:keepNext w:val="0"/>
              <w:keepLines w:val="0"/>
              <w:suppressLineNumbers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lang w:val="en-US" w:eastAsia="zh-CN"/>
              </w:rPr>
              <w:t>按照《中华人民共和国环境保护法》、《中华人民共和国环境影响评价法》、《中华人民共和国放射性污染防治法》、《放射性同位素和射线装置安全和防护条例》（国务院令第449号）和《放射性同位素与射线装置安全和防护管理办法》（</w:t>
            </w:r>
            <w:r>
              <w:rPr>
                <w:rFonts w:hint="eastAsia" w:ascii="Times New Roman" w:hAnsi="Times New Roman" w:cs="Times New Roman"/>
                <w:bCs/>
                <w:color w:val="auto"/>
                <w:sz w:val="24"/>
                <w:szCs w:val="24"/>
                <w:highlight w:val="none"/>
                <w:lang w:val="en-US" w:eastAsia="zh-CN"/>
              </w:rPr>
              <w:t>原</w:t>
            </w:r>
            <w:r>
              <w:rPr>
                <w:rFonts w:hint="default" w:ascii="Times New Roman" w:hAnsi="Times New Roman" w:cs="Times New Roman"/>
                <w:bCs/>
                <w:color w:val="auto"/>
                <w:sz w:val="24"/>
                <w:szCs w:val="24"/>
                <w:highlight w:val="none"/>
                <w:lang w:val="en-US" w:eastAsia="zh-CN"/>
              </w:rPr>
              <w:t>国家环保部令第18号）的规定和要求，本项目需进行环境影响评价。</w:t>
            </w:r>
            <w:r>
              <w:rPr>
                <w:rFonts w:hint="default" w:ascii="Times New Roman" w:hAnsi="Times New Roman" w:eastAsia="宋体" w:cs="Times New Roman"/>
                <w:color w:val="auto"/>
                <w:sz w:val="24"/>
                <w:szCs w:val="24"/>
                <w:highlight w:val="none"/>
              </w:rPr>
              <w:t>根据《建设项目环境影响评价分类管理名录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2021年版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》（生态环境部 部令第16号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2021年1月1日起施行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highlight w:val="none"/>
              </w:rPr>
              <w:t>第五十</w:t>
            </w:r>
            <w:r>
              <w:rPr>
                <w:rFonts w:hint="default" w:ascii="Times New Roman" w:hAnsi="Times New Roman" w:eastAsia="宋体" w:cs="Times New Roman"/>
                <w:color w:val="auto"/>
                <w:sz w:val="24"/>
                <w:szCs w:val="24"/>
                <w:highlight w:val="none"/>
                <w:lang w:val="en-US" w:eastAsia="zh-CN"/>
              </w:rPr>
              <w:t>五</w:t>
            </w:r>
            <w:r>
              <w:rPr>
                <w:rFonts w:hint="default" w:ascii="Times New Roman" w:hAnsi="Times New Roman" w:eastAsia="宋体" w:cs="Times New Roman"/>
                <w:color w:val="auto"/>
                <w:sz w:val="24"/>
                <w:szCs w:val="24"/>
                <w:highlight w:val="none"/>
              </w:rPr>
              <w:t>项</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72</w:t>
            </w:r>
            <w:r>
              <w:rPr>
                <w:rFonts w:hint="default" w:ascii="Times New Roman" w:hAnsi="Times New Roman" w:eastAsia="宋体" w:cs="Times New Roman"/>
                <w:color w:val="auto"/>
                <w:sz w:val="24"/>
                <w:szCs w:val="24"/>
                <w:highlight w:val="none"/>
              </w:rPr>
              <w:t>条核技术利用建设项目</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使用Ⅱ类射线装置</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，应编制环境影响报告表</w:t>
            </w:r>
            <w:r>
              <w:rPr>
                <w:rFonts w:hint="default" w:ascii="Times New Roman" w:hAnsi="Times New Roman" w:cs="Times New Roman"/>
                <w:color w:val="auto"/>
                <w:sz w:val="24"/>
                <w:highlight w:val="none"/>
              </w:rPr>
              <w:t>，报四川省</w:t>
            </w:r>
            <w:r>
              <w:rPr>
                <w:rFonts w:hint="default" w:ascii="Times New Roman" w:hAnsi="Times New Roman" w:cs="Times New Roman"/>
                <w:color w:val="auto"/>
                <w:sz w:val="24"/>
                <w:highlight w:val="none"/>
                <w:lang w:eastAsia="zh-CN"/>
              </w:rPr>
              <w:t>生态环境</w:t>
            </w:r>
            <w:r>
              <w:rPr>
                <w:rFonts w:hint="default" w:ascii="Times New Roman" w:hAnsi="Times New Roman" w:cs="Times New Roman"/>
                <w:color w:val="auto"/>
                <w:sz w:val="24"/>
                <w:highlight w:val="none"/>
              </w:rPr>
              <w:t>厅审查批准。</w:t>
            </w:r>
          </w:p>
          <w:p>
            <w:pPr>
              <w:keepNext w:val="0"/>
              <w:keepLines w:val="0"/>
              <w:widowControl/>
              <w:suppressLineNumbers w:val="0"/>
              <w:spacing w:before="0" w:beforeAutospacing="0" w:after="0" w:afterAutospacing="0" w:line="360" w:lineRule="auto"/>
              <w:ind w:left="0" w:right="0" w:firstLine="480" w:firstLineChars="200"/>
              <w:jc w:val="both"/>
              <w:rPr>
                <w:rFonts w:hint="eastAsia" w:hAnsi="宋体"/>
                <w:color w:val="auto"/>
                <w:sz w:val="24"/>
                <w:szCs w:val="24"/>
                <w:highlight w:val="none"/>
              </w:rPr>
            </w:pPr>
            <w:r>
              <w:rPr>
                <w:rFonts w:hint="eastAsia" w:ascii="Times New Roman" w:hAnsi="Times New Roman" w:cs="Times New Roman"/>
                <w:color w:val="auto"/>
                <w:sz w:val="24"/>
                <w:szCs w:val="24"/>
                <w:highlight w:val="none"/>
                <w:lang w:eastAsia="zh-CN"/>
              </w:rPr>
              <w:t>成都市第五人民医院</w:t>
            </w:r>
            <w:r>
              <w:rPr>
                <w:rFonts w:hint="default" w:ascii="Times New Roman" w:hAnsi="Times New Roman" w:cs="Times New Roman"/>
                <w:color w:val="auto"/>
                <w:sz w:val="24"/>
                <w:szCs w:val="24"/>
                <w:highlight w:val="none"/>
              </w:rPr>
              <w:t>委托四川省中栎环保科技有限公司编制该项目的环境影响报告表（委托书见附件1）。</w:t>
            </w:r>
            <w:r>
              <w:rPr>
                <w:rFonts w:hint="default" w:hAnsi="宋体"/>
                <w:color w:val="auto"/>
                <w:sz w:val="24"/>
                <w:szCs w:val="24"/>
                <w:highlight w:val="none"/>
              </w:rPr>
              <w:t>四川省</w:t>
            </w:r>
            <w:r>
              <w:rPr>
                <w:rFonts w:hint="eastAsia" w:hAnsi="宋体"/>
                <w:color w:val="auto"/>
                <w:sz w:val="24"/>
                <w:szCs w:val="24"/>
                <w:highlight w:val="none"/>
              </w:rPr>
              <w:t>中栎环保科技有限</w:t>
            </w:r>
            <w:r>
              <w:rPr>
                <w:rFonts w:hint="default" w:hAnsi="宋体"/>
                <w:color w:val="auto"/>
                <w:sz w:val="24"/>
                <w:szCs w:val="24"/>
                <w:highlight w:val="none"/>
              </w:rPr>
              <w:t>公司</w:t>
            </w:r>
            <w:r>
              <w:rPr>
                <w:rFonts w:hint="eastAsia"/>
                <w:color w:val="auto"/>
                <w:sz w:val="24"/>
                <w:szCs w:val="24"/>
                <w:highlight w:val="none"/>
              </w:rPr>
              <w:t>接受本项目环境报告表编制工作的委托后，在进行现场踏勘、实地调查了解项目所在地环境条件和充分研读相关法律法规、规章制度、技术资料后，在项目区域环境质量现状评价的基础上，对项目的环境影响进行了预测，并按相应标准进行评价。同时，对项目对环境可能造成的影响、项目单位从事相应辐射活动的能力、拟采取的辐射安全和防护措施及相关管理制度等进行了评价分析，在此基础上提出合理可行的对策和建议，编制完成</w:t>
            </w:r>
            <w:r>
              <w:rPr>
                <w:rFonts w:hint="default" w:hAnsi="宋体"/>
                <w:color w:val="auto"/>
                <w:sz w:val="24"/>
                <w:szCs w:val="24"/>
                <w:highlight w:val="none"/>
              </w:rPr>
              <w:t>本报告表</w:t>
            </w:r>
            <w:r>
              <w:rPr>
                <w:rFonts w:hint="eastAsia" w:hAnsi="宋体"/>
                <w:color w:val="auto"/>
                <w:sz w:val="24"/>
                <w:szCs w:val="24"/>
                <w:highlight w:val="none"/>
              </w:rPr>
              <w:t>。</w:t>
            </w:r>
          </w:p>
          <w:p>
            <w:pPr>
              <w:pStyle w:val="4"/>
              <w:numPr>
                <w:ilvl w:val="2"/>
                <w:numId w:val="0"/>
              </w:numPr>
              <w:suppressLineNumbers w:val="0"/>
              <w:spacing w:before="0" w:beforeAutospacing="0" w:after="0" w:afterAutospacing="0" w:line="360" w:lineRule="auto"/>
              <w:ind w:left="0" w:right="0"/>
              <w:outlineLvl w:val="2"/>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二、产业政策符合性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s="Times New Roman"/>
                <w:color w:val="auto"/>
                <w:sz w:val="24"/>
                <w:szCs w:val="24"/>
                <w:highlight w:val="none"/>
              </w:rPr>
              <w:t>本项目系核和辐射技术用于医学领域，属高新技术。根据《国家发展改革委关于修改&lt;</w:t>
            </w:r>
            <w:r>
              <w:rPr>
                <w:rFonts w:hint="default" w:ascii="Times New Roman" w:hAnsi="Times New Roman" w:cs="Times New Roman"/>
                <w:bCs/>
                <w:color w:val="auto"/>
                <w:sz w:val="24"/>
                <w:szCs w:val="24"/>
                <w:highlight w:val="none"/>
              </w:rPr>
              <w:t>产业结构调整指导目录（2019年本）</w:t>
            </w:r>
            <w:r>
              <w:rPr>
                <w:rFonts w:hint="default" w:ascii="Times New Roman" w:hAnsi="Times New Roman" w:cs="Times New Roman"/>
                <w:color w:val="auto"/>
                <w:sz w:val="24"/>
                <w:szCs w:val="24"/>
                <w:highlight w:val="none"/>
              </w:rPr>
              <w:t>有关条款的决定》</w:t>
            </w:r>
            <w:r>
              <w:rPr>
                <w:rFonts w:hint="default"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相关规定，本项目属</w:t>
            </w:r>
            <w:r>
              <w:rPr>
                <w:rFonts w:hint="default" w:ascii="Times New Roman" w:hAnsi="Times New Roman" w:cs="Times New Roman"/>
                <w:color w:val="auto"/>
                <w:sz w:val="24"/>
                <w:szCs w:val="24"/>
                <w:highlight w:val="none"/>
                <w:lang w:val="en-US" w:eastAsia="zh-CN"/>
              </w:rPr>
              <w:t>第一类鼓励类项目的</w:t>
            </w:r>
            <w:r>
              <w:rPr>
                <w:rFonts w:hint="default" w:ascii="Times New Roman" w:hAnsi="Times New Roman" w:cs="Times New Roman"/>
                <w:color w:val="auto"/>
                <w:sz w:val="24"/>
                <w:szCs w:val="24"/>
                <w:highlight w:val="none"/>
              </w:rPr>
              <w:t>第六项</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核能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第6条</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同位素、加速器及辐照应用技术开发</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，属于国家鼓励类产业，符合国家产业政策</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本项目的运营可为</w:t>
            </w:r>
            <w:r>
              <w:rPr>
                <w:rFonts w:hint="eastAsia" w:ascii="Times New Roman" w:hAnsi="Times New Roman" w:cs="Times New Roman"/>
                <w:color w:val="auto"/>
                <w:sz w:val="24"/>
                <w:szCs w:val="24"/>
                <w:highlight w:val="none"/>
                <w:lang w:val="en-US" w:eastAsia="zh-CN"/>
              </w:rPr>
              <w:t>成都市</w:t>
            </w:r>
            <w:r>
              <w:rPr>
                <w:rFonts w:hint="default" w:ascii="Times New Roman" w:hAnsi="Times New Roman" w:cs="Times New Roman"/>
                <w:color w:val="auto"/>
                <w:sz w:val="24"/>
                <w:szCs w:val="24"/>
                <w:highlight w:val="none"/>
                <w:lang w:eastAsia="zh-CN"/>
              </w:rPr>
              <w:t>及周边</w:t>
            </w:r>
            <w:r>
              <w:rPr>
                <w:rFonts w:hint="default" w:ascii="Times New Roman" w:hAnsi="Times New Roman" w:cs="Times New Roman"/>
                <w:color w:val="auto"/>
                <w:sz w:val="24"/>
                <w:szCs w:val="24"/>
                <w:highlight w:val="none"/>
              </w:rPr>
              <w:t>病人提供诊疗服务，是提高人民群众生活质量，提高</w:t>
            </w:r>
            <w:r>
              <w:rPr>
                <w:rFonts w:hint="eastAsia" w:ascii="Times New Roman" w:hAnsi="Times New Roman" w:cs="Times New Roman"/>
                <w:color w:val="auto"/>
                <w:sz w:val="24"/>
                <w:szCs w:val="24"/>
                <w:highlight w:val="none"/>
                <w:lang w:val="en-US" w:eastAsia="zh-CN"/>
              </w:rPr>
              <w:t>全市</w:t>
            </w:r>
            <w:r>
              <w:rPr>
                <w:rFonts w:hint="default" w:ascii="Times New Roman" w:hAnsi="Times New Roman" w:cs="Times New Roman"/>
                <w:color w:val="auto"/>
                <w:sz w:val="24"/>
                <w:szCs w:val="24"/>
                <w:highlight w:val="none"/>
              </w:rPr>
              <w:t>医疗卫生水平和建设小康社会的重要内容，本项目具有放射性实践的正当性。</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三、本项目建设内容</w:t>
            </w:r>
          </w:p>
          <w:p>
            <w:pPr>
              <w:pStyle w:val="4"/>
              <w:keepNext w:val="0"/>
              <w:keepLines w:val="0"/>
              <w:numPr>
                <w:ilvl w:val="2"/>
                <w:numId w:val="0"/>
              </w:numPr>
              <w:suppressLineNumbers w:val="0"/>
              <w:spacing w:before="0" w:beforeAutospacing="0" w:after="0" w:afterAutospacing="0" w:line="360" w:lineRule="auto"/>
              <w:ind w:left="0" w:right="0"/>
              <w:outlineLvl w:val="2"/>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（一）项目名称、性质、地点</w:t>
            </w:r>
          </w:p>
          <w:p>
            <w:pPr>
              <w:keepNext w:val="0"/>
              <w:keepLines w:val="0"/>
              <w:suppressLineNumbers w:val="0"/>
              <w:spacing w:before="0" w:beforeAutospacing="0" w:after="0" w:afterAutospacing="0" w:line="360" w:lineRule="auto"/>
              <w:ind w:left="0" w:right="0" w:firstLine="500"/>
              <w:rPr>
                <w:rFonts w:hint="eastAsia" w:ascii="宋体" w:hAnsi="宋体" w:cs="宋体"/>
                <w:b w:val="0"/>
                <w:bCs w:val="0"/>
                <w:color w:val="auto"/>
                <w:sz w:val="24"/>
                <w:szCs w:val="24"/>
                <w:highlight w:val="none"/>
                <w:lang w:val="en-US" w:eastAsia="zh-CN"/>
              </w:rPr>
            </w:pPr>
            <w:r>
              <w:rPr>
                <w:rFonts w:hint="default" w:ascii="Times New Roman" w:hAnsi="Times New Roman" w:cs="Times New Roman"/>
                <w:color w:val="auto"/>
                <w:sz w:val="24"/>
                <w:szCs w:val="24"/>
                <w:highlight w:val="none"/>
              </w:rPr>
              <w:t>项目名称：</w:t>
            </w:r>
            <w:r>
              <w:rPr>
                <w:rFonts w:hint="eastAsia" w:ascii="宋体" w:hAnsi="宋体" w:cs="宋体"/>
                <w:b w:val="0"/>
                <w:bCs w:val="0"/>
                <w:color w:val="auto"/>
                <w:sz w:val="24"/>
                <w:szCs w:val="24"/>
                <w:highlight w:val="none"/>
                <w:lang w:val="en-US" w:eastAsia="zh-CN"/>
              </w:rPr>
              <w:t>新增放射性同位素及医用射线装置项目</w:t>
            </w:r>
          </w:p>
          <w:p>
            <w:pPr>
              <w:keepNext w:val="0"/>
              <w:keepLines w:val="0"/>
              <w:suppressLineNumbers w:val="0"/>
              <w:spacing w:before="0" w:beforeAutospacing="0" w:after="0" w:afterAutospacing="0" w:line="360" w:lineRule="auto"/>
              <w:ind w:left="0" w:right="0"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建设性质：新建</w:t>
            </w:r>
          </w:p>
          <w:p>
            <w:pPr>
              <w:keepNext w:val="0"/>
              <w:keepLines w:val="0"/>
              <w:suppressLineNumbers w:val="0"/>
              <w:spacing w:before="0" w:beforeAutospacing="0" w:after="0" w:afterAutospacing="0" w:line="360" w:lineRule="auto"/>
              <w:ind w:left="0" w:right="0" w:firstLine="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建设地点：</w:t>
            </w:r>
            <w:r>
              <w:rPr>
                <w:rFonts w:hint="eastAsia" w:ascii="Times New Roman" w:hAnsi="Times New Roman" w:cs="Times New Roman"/>
                <w:color w:val="auto"/>
                <w:sz w:val="24"/>
                <w:szCs w:val="24"/>
                <w:highlight w:val="none"/>
                <w:lang w:eastAsia="zh-CN"/>
              </w:rPr>
              <w:t>四川省成都市温江区柳城镇麻市街33号成都市第五人民医院门急诊住院综合楼配套工程（三期）负三层放疗中心内</w:t>
            </w:r>
          </w:p>
          <w:p>
            <w:pPr>
              <w:keepNext w:val="0"/>
              <w:keepLines w:val="0"/>
              <w:suppressLineNumbers w:val="0"/>
              <w:spacing w:before="0" w:beforeAutospacing="0" w:after="0" w:afterAutospacing="0" w:line="360" w:lineRule="auto"/>
              <w:ind w:left="0" w:right="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（二）建设内容与规模</w:t>
            </w:r>
          </w:p>
          <w:p>
            <w:pPr>
              <w:keepNext w:val="0"/>
              <w:keepLines w:val="0"/>
              <w:suppressLineNumbers w:val="0"/>
              <w:spacing w:before="0" w:beforeAutospacing="0" w:after="0" w:afterAutospacing="0" w:line="360" w:lineRule="auto"/>
              <w:ind w:left="0" w:right="0" w:firstLine="480" w:firstLineChars="200"/>
              <w:rPr>
                <w:rFonts w:hint="eastAsia" w:ascii="黑体" w:hAnsi="黑体" w:eastAsia="黑体" w:cs="黑体"/>
                <w:b w:val="0"/>
                <w:bCs w:val="0"/>
                <w:i w:val="0"/>
                <w:iCs w:val="0"/>
                <w:color w:val="auto"/>
                <w:sz w:val="24"/>
                <w:szCs w:val="24"/>
                <w:highlight w:val="none"/>
              </w:rPr>
            </w:pPr>
            <w:r>
              <w:rPr>
                <w:rFonts w:hint="eastAsia" w:ascii="黑体" w:hAnsi="黑体" w:eastAsia="黑体" w:cs="黑体"/>
                <w:b w:val="0"/>
                <w:bCs w:val="0"/>
                <w:i w:val="0"/>
                <w:iCs w:val="0"/>
                <w:color w:val="auto"/>
                <w:sz w:val="24"/>
                <w:szCs w:val="24"/>
                <w:highlight w:val="none"/>
                <w:lang w:val="en-US" w:eastAsia="zh-CN"/>
              </w:rPr>
              <w:t>本项目建设内容及规模综述为</w:t>
            </w:r>
            <w:r>
              <w:rPr>
                <w:rFonts w:hint="eastAsia" w:ascii="黑体" w:hAnsi="黑体" w:eastAsia="黑体" w:cs="黑体"/>
                <w:b w:val="0"/>
                <w:bCs w:val="0"/>
                <w:i w:val="0"/>
                <w:iCs w:val="0"/>
                <w:color w:val="auto"/>
                <w:sz w:val="24"/>
                <w:szCs w:val="24"/>
                <w:highlight w:val="none"/>
              </w:rPr>
              <w:t>：</w:t>
            </w:r>
          </w:p>
          <w:p>
            <w:pPr>
              <w:keepNext w:val="0"/>
              <w:keepLines w:val="0"/>
              <w:suppressLineNumbers w:val="0"/>
              <w:spacing w:before="0" w:beforeAutospacing="0" w:after="0" w:afterAutospacing="0" w:line="360" w:lineRule="auto"/>
              <w:ind w:left="0" w:right="0" w:firstLine="5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医院</w:t>
            </w:r>
            <w:r>
              <w:rPr>
                <w:rFonts w:hint="eastAsia" w:ascii="Times New Roman" w:hAnsi="Times New Roman" w:cs="Times New Roman"/>
                <w:color w:val="auto"/>
                <w:sz w:val="24"/>
                <w:szCs w:val="24"/>
                <w:highlight w:val="none"/>
                <w:lang w:eastAsia="zh-CN"/>
              </w:rPr>
              <w:t>拟在门急诊住院综合楼配套工程（三期）（在建，-3F/8F，高约33m）负三层</w:t>
            </w:r>
            <w:r>
              <w:rPr>
                <w:rFonts w:hint="default" w:ascii="Times New Roman" w:hAnsi="Times New Roman" w:cs="Times New Roman"/>
                <w:color w:val="auto"/>
                <w:sz w:val="24"/>
                <w:szCs w:val="24"/>
                <w:highlight w:val="none"/>
                <w:lang w:val="en-US" w:eastAsia="zh-CN"/>
              </w:rPr>
              <w:t>放疗中心使用</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台1</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MV医用直线加速器</w:t>
            </w:r>
            <w:r>
              <w:rPr>
                <w:rFonts w:hint="eastAsia" w:ascii="Times New Roman" w:hAnsi="Times New Roman" w:cs="Times New Roman"/>
                <w:color w:val="auto"/>
                <w:sz w:val="24"/>
                <w:szCs w:val="24"/>
                <w:highlight w:val="none"/>
                <w:lang w:val="en-US" w:eastAsia="zh-CN"/>
              </w:rPr>
              <w:t>及1台</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MV医用直线加速器</w:t>
            </w:r>
            <w:r>
              <w:rPr>
                <w:rFonts w:hint="eastAsia" w:ascii="Times New Roman" w:hAnsi="Times New Roman" w:eastAsia="宋体" w:cs="Times New Roman"/>
                <w:color w:val="auto"/>
                <w:sz w:val="24"/>
                <w:szCs w:val="24"/>
                <w:highlight w:val="none"/>
                <w:lang w:val="en-US" w:eastAsia="zh-CN"/>
              </w:rPr>
              <w:t>，属</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II</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类射线装置</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拟在</w:t>
            </w:r>
            <w:r>
              <w:rPr>
                <w:rFonts w:hint="eastAsia" w:ascii="Times New Roman" w:hAnsi="Times New Roman" w:cs="Times New Roman"/>
                <w:color w:val="auto"/>
                <w:sz w:val="24"/>
                <w:szCs w:val="24"/>
                <w:highlight w:val="none"/>
                <w:lang w:eastAsia="zh-CN"/>
              </w:rPr>
              <w:t>门急诊住院综合楼配套工程（三期）负三层</w:t>
            </w:r>
            <w:r>
              <w:rPr>
                <w:rFonts w:hint="eastAsia" w:ascii="Times New Roman" w:hAnsi="Times New Roman" w:cs="Times New Roman"/>
                <w:color w:val="auto"/>
                <w:sz w:val="24"/>
                <w:szCs w:val="24"/>
                <w:highlight w:val="none"/>
                <w:lang w:val="en-US" w:eastAsia="zh-CN"/>
              </w:rPr>
              <w:t>后装治疗室使用</w:t>
            </w:r>
            <w:r>
              <w:rPr>
                <w:rFonts w:hint="default" w:ascii="Times New Roman" w:hAnsi="Times New Roman" w:cs="Times New Roman"/>
                <w:color w:val="auto"/>
                <w:sz w:val="24"/>
                <w:szCs w:val="24"/>
                <w:highlight w:val="none"/>
              </w:rPr>
              <w:t>1台后装机，使用</w:t>
            </w:r>
            <w:r>
              <w:rPr>
                <w:rFonts w:hint="default" w:ascii="Times New Roman" w:hAnsi="Times New Roman" w:cs="Times New Roman"/>
                <w:color w:val="auto"/>
                <w:sz w:val="24"/>
                <w:szCs w:val="24"/>
                <w:highlight w:val="none"/>
                <w:vertAlign w:val="superscript"/>
              </w:rPr>
              <w:t>192</w:t>
            </w:r>
            <w:r>
              <w:rPr>
                <w:rFonts w:hint="default" w:ascii="Times New Roman" w:hAnsi="Times New Roman" w:cs="Times New Roman"/>
                <w:color w:val="auto"/>
                <w:sz w:val="24"/>
                <w:szCs w:val="24"/>
                <w:highlight w:val="none"/>
              </w:rPr>
              <w:t>Ir放射源1枚，活度为3.7×10</w:t>
            </w:r>
            <w:r>
              <w:rPr>
                <w:rFonts w:hint="default" w:ascii="Times New Roman" w:hAnsi="Times New Roman" w:cs="Times New Roman"/>
                <w:color w:val="auto"/>
                <w:sz w:val="24"/>
                <w:szCs w:val="24"/>
                <w:highlight w:val="none"/>
                <w:vertAlign w:val="superscript"/>
              </w:rPr>
              <w:t>11</w:t>
            </w:r>
            <w:r>
              <w:rPr>
                <w:rFonts w:hint="default" w:ascii="Times New Roman" w:hAnsi="Times New Roman" w:cs="Times New Roman"/>
                <w:color w:val="auto"/>
                <w:sz w:val="24"/>
                <w:szCs w:val="24"/>
                <w:highlight w:val="none"/>
              </w:rPr>
              <w:t>Bq</w:t>
            </w:r>
            <w:r>
              <w:rPr>
                <w:rFonts w:hint="eastAsia" w:ascii="宋体" w:hAnsi="宋体"/>
                <w:color w:val="auto"/>
                <w:szCs w:val="21"/>
                <w:lang w:eastAsia="zh-CN"/>
              </w:rPr>
              <w:t>，</w:t>
            </w:r>
            <w:r>
              <w:rPr>
                <w:rFonts w:hint="default" w:ascii="Times New Roman" w:hAnsi="Times New Roman" w:cs="Times New Roman"/>
                <w:color w:val="auto"/>
                <w:sz w:val="24"/>
                <w:szCs w:val="24"/>
                <w:highlight w:val="none"/>
              </w:rPr>
              <w:t>属</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3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cs="Times New Roman"/>
                <w:color w:val="auto"/>
                <w:sz w:val="24"/>
                <w:szCs w:val="24"/>
                <w:highlight w:val="none"/>
              </w:rPr>
              <w:t>III</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类放射源</w:t>
            </w:r>
            <w:r>
              <w:rPr>
                <w:rFonts w:hint="eastAsia" w:ascii="Times New Roman" w:hAnsi="Times New Roman" w:cs="Times New Roman"/>
                <w:color w:val="auto"/>
                <w:sz w:val="24"/>
                <w:szCs w:val="24"/>
                <w:highlight w:val="none"/>
                <w:lang w:eastAsia="zh-CN"/>
              </w:rPr>
              <w:t>。</w:t>
            </w:r>
          </w:p>
          <w:p>
            <w:pPr>
              <w:keepNext w:val="0"/>
              <w:keepLines w:val="0"/>
              <w:numPr>
                <w:ilvl w:val="0"/>
                <w:numId w:val="0"/>
              </w:numPr>
              <w:suppressLineNumbers w:val="0"/>
              <w:spacing w:before="0" w:beforeAutospacing="0" w:after="0" w:afterAutospacing="0" w:line="360" w:lineRule="auto"/>
              <w:ind w:left="420" w:leftChars="200" w:right="0"/>
              <w:rPr>
                <w:rFonts w:hint="default" w:ascii="Times New Roman" w:hAnsi="Times New Roman" w:cs="Times New Roman"/>
                <w:b/>
                <w:bCs/>
                <w:i/>
                <w:iCs/>
                <w:color w:val="auto"/>
                <w:sz w:val="24"/>
                <w:szCs w:val="24"/>
                <w:highlight w:val="none"/>
                <w:lang w:val="en-US"/>
              </w:rPr>
            </w:pPr>
            <w:r>
              <w:rPr>
                <w:rFonts w:hint="eastAsia" w:ascii="黑体" w:hAnsi="黑体" w:eastAsia="黑体" w:cs="黑体"/>
                <w:b w:val="0"/>
                <w:bCs w:val="0"/>
                <w:i w:val="0"/>
                <w:iCs w:val="0"/>
                <w:color w:val="auto"/>
                <w:sz w:val="24"/>
                <w:szCs w:val="24"/>
                <w:highlight w:val="none"/>
                <w:lang w:val="en-US" w:eastAsia="zh-CN"/>
              </w:rPr>
              <w:t>本项目建设内容及规模详述为：</w:t>
            </w:r>
          </w:p>
          <w:p>
            <w:pPr>
              <w:keepNext w:val="0"/>
              <w:keepLines w:val="0"/>
              <w:suppressLineNumbers w:val="0"/>
              <w:tabs>
                <w:tab w:val="left" w:pos="6300"/>
              </w:tabs>
              <w:autoSpaceDN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拟将原放疗中心直线加速器治疗室搬迁1台10MV直线加速器</w:t>
            </w:r>
            <w:r>
              <w:rPr>
                <w:rFonts w:hint="default" w:ascii="Times New Roman" w:hAnsi="Times New Roman" w:cs="Times New Roman"/>
                <w:color w:val="auto"/>
                <w:sz w:val="24"/>
                <w:szCs w:val="24"/>
                <w:highlight w:val="none"/>
              </w:rPr>
              <w:t>（属Ⅱ类射线装置，型号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ClincCX</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至</w:t>
            </w:r>
            <w:r>
              <w:rPr>
                <w:rFonts w:hint="eastAsia" w:ascii="Times New Roman" w:hAnsi="Times New Roman" w:cs="Times New Roman"/>
                <w:color w:val="auto"/>
                <w:sz w:val="24"/>
                <w:szCs w:val="24"/>
                <w:highlight w:val="none"/>
                <w:lang w:eastAsia="zh-CN"/>
              </w:rPr>
              <w:t>门急诊住院综合楼</w:t>
            </w:r>
            <w:r>
              <w:rPr>
                <w:rFonts w:hint="eastAsia" w:ascii="Times New Roman" w:hAnsi="Times New Roman" w:cs="Times New Roman"/>
                <w:color w:val="auto"/>
                <w:sz w:val="24"/>
                <w:szCs w:val="24"/>
                <w:highlight w:val="none"/>
                <w:lang w:val="en-US" w:eastAsia="zh-CN"/>
              </w:rPr>
              <w:t>配套工程（三期）</w:t>
            </w:r>
            <w:r>
              <w:rPr>
                <w:rFonts w:hint="eastAsia" w:ascii="Times New Roman" w:hAnsi="Times New Roman" w:cs="Times New Roman"/>
                <w:color w:val="auto"/>
                <w:sz w:val="24"/>
                <w:szCs w:val="24"/>
                <w:highlight w:val="none"/>
                <w:lang w:eastAsia="zh-CN"/>
              </w:rPr>
              <w:t>负三层</w:t>
            </w:r>
            <w:r>
              <w:rPr>
                <w:rFonts w:hint="eastAsia" w:ascii="Times New Roman" w:hAnsi="Times New Roman" w:cs="Times New Roman"/>
                <w:color w:val="auto"/>
                <w:sz w:val="24"/>
                <w:szCs w:val="24"/>
                <w:highlight w:val="none"/>
                <w:lang w:val="en-US" w:eastAsia="zh-CN"/>
              </w:rPr>
              <w:t>放疗中心1#加速器治疗室</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加速器</w:t>
            </w:r>
            <w:r>
              <w:rPr>
                <w:rFonts w:hint="default" w:ascii="Times New Roman" w:hAnsi="Times New Roman" w:cs="Times New Roman"/>
                <w:color w:val="auto"/>
                <w:sz w:val="24"/>
                <w:szCs w:val="24"/>
                <w:highlight w:val="none"/>
              </w:rPr>
              <w:t>用于全身肿瘤诊疗</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highlight w:val="none"/>
              </w:rPr>
              <w:t>治疗时X射线最大能量为10MV，1m处剂量率为6Gy/min</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电子</w:t>
            </w:r>
            <w:r>
              <w:rPr>
                <w:rFonts w:hint="default" w:ascii="Times New Roman" w:hAnsi="Times New Roman" w:cs="Times New Roman"/>
                <w:color w:val="auto"/>
                <w:sz w:val="24"/>
                <w:highlight w:val="none"/>
                <w:lang w:val="en-US" w:eastAsia="zh-CN"/>
              </w:rPr>
              <w:t>线</w:t>
            </w:r>
            <w:r>
              <w:rPr>
                <w:rFonts w:hint="default" w:ascii="Times New Roman" w:hAnsi="Times New Roman" w:cs="Times New Roman"/>
                <w:color w:val="auto"/>
                <w:sz w:val="24"/>
                <w:highlight w:val="none"/>
              </w:rPr>
              <w:t>最大能量为</w:t>
            </w:r>
            <w:r>
              <w:rPr>
                <w:rFonts w:hint="eastAsia" w:ascii="Times New Roman" w:hAnsi="Times New Roman" w:cs="Times New Roman"/>
                <w:color w:val="auto"/>
                <w:sz w:val="24"/>
                <w:highlight w:val="none"/>
                <w:lang w:val="en-US" w:eastAsia="zh-CN"/>
              </w:rPr>
              <w:t>21MeV</w:t>
            </w:r>
            <w:r>
              <w:rPr>
                <w:rFonts w:hint="eastAsia" w:ascii="Times New Roman" w:hAnsi="Times New Roman" w:cs="Times New Roman"/>
                <w:color w:val="auto"/>
                <w:sz w:val="24"/>
                <w:szCs w:val="24"/>
                <w:highlight w:val="none"/>
                <w:lang w:val="en-US" w:eastAsia="zh-CN"/>
              </w:rPr>
              <w:t>；2#加速器治疗室内新增使用1台</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MV医用直线加速器</w:t>
            </w:r>
            <w:r>
              <w:rPr>
                <w:rFonts w:hint="default" w:ascii="Times New Roman" w:hAnsi="Times New Roman" w:cs="Times New Roman"/>
                <w:color w:val="auto"/>
                <w:sz w:val="24"/>
                <w:szCs w:val="24"/>
                <w:highlight w:val="none"/>
              </w:rPr>
              <w:t>（属Ⅱ类射线装置，型号</w:t>
            </w:r>
            <w:r>
              <w:rPr>
                <w:rFonts w:hint="eastAsia" w:ascii="Times New Roman" w:hAnsi="Times New Roman" w:cs="Times New Roman"/>
                <w:color w:val="auto"/>
                <w:sz w:val="24"/>
                <w:szCs w:val="24"/>
                <w:highlight w:val="none"/>
                <w:lang w:val="en-US" w:eastAsia="zh-CN"/>
              </w:rPr>
              <w:t>待定</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加速器</w:t>
            </w:r>
            <w:r>
              <w:rPr>
                <w:rFonts w:hint="default" w:ascii="Times New Roman" w:hAnsi="Times New Roman" w:cs="Times New Roman"/>
                <w:color w:val="auto"/>
                <w:sz w:val="24"/>
                <w:szCs w:val="24"/>
                <w:highlight w:val="none"/>
              </w:rPr>
              <w:t>治疗时X射线最大能量为</w:t>
            </w:r>
            <w:r>
              <w:rPr>
                <w:rFonts w:hint="eastAsia"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MV，1m处剂量率为</w:t>
            </w:r>
            <w:r>
              <w:rPr>
                <w:rFonts w:hint="eastAsia"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Gy/min</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电子束最大能量为22MeV；</w:t>
            </w:r>
            <w:r>
              <w:rPr>
                <w:rFonts w:hint="eastAsia" w:ascii="Times New Roman" w:hAnsi="Times New Roman" w:cs="Times New Roman"/>
                <w:color w:val="auto"/>
                <w:sz w:val="24"/>
                <w:szCs w:val="24"/>
                <w:highlight w:val="none"/>
                <w:lang w:val="en-US" w:eastAsia="zh-CN"/>
              </w:rPr>
              <w:t>3#加速器治疗室新增使用1台10</w:t>
            </w:r>
            <w:r>
              <w:rPr>
                <w:rFonts w:hint="default" w:ascii="Times New Roman" w:hAnsi="Times New Roman" w:cs="Times New Roman"/>
                <w:color w:val="auto"/>
                <w:sz w:val="24"/>
                <w:szCs w:val="24"/>
                <w:highlight w:val="none"/>
                <w:lang w:val="en-US" w:eastAsia="zh-CN"/>
              </w:rPr>
              <w:t>MV医用直线加速器</w:t>
            </w:r>
            <w:r>
              <w:rPr>
                <w:rFonts w:hint="default" w:ascii="Times New Roman" w:hAnsi="Times New Roman" w:cs="Times New Roman"/>
                <w:color w:val="auto"/>
                <w:sz w:val="24"/>
                <w:szCs w:val="24"/>
                <w:highlight w:val="none"/>
              </w:rPr>
              <w:t>（属Ⅱ类射线装置，型号</w:t>
            </w:r>
            <w:r>
              <w:rPr>
                <w:rFonts w:hint="eastAsia" w:ascii="Times New Roman" w:hAnsi="Times New Roman" w:cs="Times New Roman"/>
                <w:color w:val="auto"/>
                <w:sz w:val="24"/>
                <w:szCs w:val="24"/>
                <w:highlight w:val="none"/>
                <w:lang w:val="en-US" w:eastAsia="zh-CN"/>
              </w:rPr>
              <w:t>待定</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其</w:t>
            </w:r>
            <w:r>
              <w:rPr>
                <w:rFonts w:hint="default" w:ascii="Times New Roman" w:hAnsi="Times New Roman" w:cs="Times New Roman"/>
                <w:color w:val="auto"/>
                <w:sz w:val="24"/>
                <w:highlight w:val="none"/>
              </w:rPr>
              <w:t>1m处剂量率为6Gy/min</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电子</w:t>
            </w:r>
            <w:r>
              <w:rPr>
                <w:rFonts w:hint="default" w:ascii="Times New Roman" w:hAnsi="Times New Roman" w:cs="Times New Roman"/>
                <w:color w:val="auto"/>
                <w:sz w:val="24"/>
                <w:highlight w:val="none"/>
                <w:lang w:val="en-US" w:eastAsia="zh-CN"/>
              </w:rPr>
              <w:t>线</w:t>
            </w:r>
            <w:r>
              <w:rPr>
                <w:rFonts w:hint="default" w:ascii="Times New Roman" w:hAnsi="Times New Roman" w:cs="Times New Roman"/>
                <w:color w:val="auto"/>
                <w:sz w:val="24"/>
                <w:highlight w:val="none"/>
              </w:rPr>
              <w:t>最大能量为</w:t>
            </w:r>
            <w:r>
              <w:rPr>
                <w:rFonts w:hint="eastAsia" w:ascii="Times New Roman" w:hAnsi="Times New Roman" w:cs="Times New Roman"/>
                <w:color w:val="auto"/>
                <w:sz w:val="24"/>
                <w:highlight w:val="none"/>
                <w:lang w:val="en-US" w:eastAsia="zh-CN"/>
              </w:rPr>
              <w:t>21MeV</w:t>
            </w:r>
            <w:r>
              <w:rPr>
                <w:rFonts w:hint="default" w:ascii="Times New Roman" w:hAnsi="Times New Roman" w:cs="Times New Roman"/>
                <w:color w:val="auto"/>
                <w:sz w:val="24"/>
                <w:szCs w:val="24"/>
                <w:highlight w:val="none"/>
              </w:rPr>
              <w:t>。</w:t>
            </w:r>
          </w:p>
          <w:p>
            <w:pPr>
              <w:keepNext w:val="0"/>
              <w:keepLines w:val="0"/>
              <w:suppressLineNumbers w:val="0"/>
              <w:tabs>
                <w:tab w:val="left" w:pos="6300"/>
              </w:tabs>
              <w:autoSpaceDN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highlight w:val="none"/>
              </w:rPr>
              <w:t>本项目医用直线加速器的</w:t>
            </w:r>
            <w:r>
              <w:rPr>
                <w:rFonts w:hint="default" w:ascii="Times New Roman" w:hAnsi="Times New Roman" w:cs="Times New Roman"/>
                <w:color w:val="auto"/>
                <w:sz w:val="24"/>
                <w:highlight w:val="none"/>
                <w:lang w:val="en-US" w:eastAsia="zh-CN"/>
              </w:rPr>
              <w:t>曝光时间</w:t>
            </w:r>
            <w:r>
              <w:rPr>
                <w:rFonts w:hint="default" w:ascii="Times New Roman" w:hAnsi="Times New Roman" w:cs="Times New Roman"/>
                <w:color w:val="auto"/>
                <w:sz w:val="24"/>
                <w:highlight w:val="none"/>
                <w:lang w:eastAsia="zh-CN"/>
              </w:rPr>
              <w:t>：</w:t>
            </w:r>
            <w:r>
              <w:rPr>
                <w:rFonts w:hint="default" w:ascii="Times New Roman" w:hAnsi="Times New Roman" w:cs="Times New Roman"/>
                <w:b w:val="0"/>
                <w:bCs w:val="0"/>
                <w:color w:val="auto"/>
                <w:sz w:val="24"/>
                <w:szCs w:val="24"/>
                <w:highlight w:val="none"/>
                <w:lang w:val="en-US" w:eastAsia="zh-CN"/>
              </w:rPr>
              <w:t>根据医院提供的资料，每台设备每天治疗工作量为60人，每周5</w:t>
            </w:r>
            <w:r>
              <w:rPr>
                <w:rFonts w:hint="eastAsia" w:ascii="Times New Roman" w:hAnsi="Times New Roman" w:cs="Times New Roman"/>
                <w:b w:val="0"/>
                <w:bCs w:val="0"/>
                <w:color w:val="auto"/>
                <w:sz w:val="24"/>
                <w:szCs w:val="24"/>
                <w:highlight w:val="none"/>
                <w:lang w:val="en-US" w:eastAsia="zh-CN"/>
              </w:rPr>
              <w:t>天</w:t>
            </w:r>
            <w:r>
              <w:rPr>
                <w:rFonts w:hint="default" w:ascii="Times New Roman" w:hAnsi="Times New Roman" w:cs="Times New Roman"/>
                <w:b w:val="0"/>
                <w:bCs w:val="0"/>
                <w:color w:val="auto"/>
                <w:sz w:val="24"/>
                <w:szCs w:val="24"/>
                <w:highlight w:val="none"/>
                <w:lang w:val="en-US" w:eastAsia="zh-CN"/>
              </w:rPr>
              <w:t>，每年工作50周，患者治疗照射出束时间为2~3min，年治疗出束时间为</w:t>
            </w:r>
            <w:r>
              <w:rPr>
                <w:rFonts w:hint="eastAsia" w:ascii="Times New Roman" w:hAnsi="Times New Roman" w:cs="Times New Roman"/>
                <w:b w:val="0"/>
                <w:bCs w:val="0"/>
                <w:color w:val="auto"/>
                <w:sz w:val="24"/>
                <w:szCs w:val="24"/>
                <w:highlight w:val="none"/>
                <w:lang w:val="en-US" w:eastAsia="zh-CN"/>
              </w:rPr>
              <w:t>750</w:t>
            </w:r>
            <w:r>
              <w:rPr>
                <w:rFonts w:hint="default" w:ascii="Times New Roman" w:hAnsi="Times New Roman" w:cs="Times New Roman"/>
                <w:b w:val="0"/>
                <w:bCs w:val="0"/>
                <w:color w:val="auto"/>
                <w:sz w:val="24"/>
                <w:szCs w:val="24"/>
                <w:highlight w:val="none"/>
                <w:lang w:val="en-US" w:eastAsia="zh-CN"/>
              </w:rPr>
              <w:t>h。医生对患者进行摆位的时间为2min/人。</w:t>
            </w:r>
          </w:p>
          <w:p>
            <w:pPr>
              <w:keepNext w:val="0"/>
              <w:keepLines w:val="0"/>
              <w:suppressLineNumbers w:val="0"/>
              <w:tabs>
                <w:tab w:val="left" w:pos="6300"/>
              </w:tabs>
              <w:autoSpaceDN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1#、2#、3#加速器治疗室加速器治疗室有效面积均为60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其西北部设有水冷机房</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空调机房、共用辅助水冷机房、补风机房；东北部设有融铅室、热疗室；东南部设有候诊区、1#、2#、3#加速器控制室</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1#、2#加速器患者准备区、3#加速器患者准备区</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注射抢救室。</w:t>
            </w:r>
          </w:p>
          <w:p>
            <w:pPr>
              <w:keepNext w:val="0"/>
              <w:keepLines w:val="0"/>
              <w:suppressLineNumbers w:val="0"/>
              <w:tabs>
                <w:tab w:val="left" w:pos="6300"/>
              </w:tabs>
              <w:autoSpaceDN w:val="0"/>
              <w:spacing w:before="0" w:beforeAutospacing="0" w:after="0" w:afterAutospacing="0" w:line="360" w:lineRule="auto"/>
              <w:ind w:left="0" w:right="0"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1#、2#、3#加速器治疗室结构均为钢筋混凝土，加速器</w:t>
            </w:r>
            <w:r>
              <w:rPr>
                <w:rFonts w:hint="default" w:ascii="Times New Roman" w:hAnsi="Times New Roman" w:cs="Times New Roman"/>
                <w:color w:val="auto"/>
                <w:sz w:val="24"/>
                <w:szCs w:val="24"/>
                <w:highlight w:val="none"/>
              </w:rPr>
              <w:t>主射方向</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rPr>
              <w:t>朝向</w:t>
            </w:r>
            <w:r>
              <w:rPr>
                <w:rFonts w:hint="eastAsia" w:ascii="Times New Roman" w:hAnsi="Times New Roman" w:cs="Times New Roman"/>
                <w:color w:val="auto"/>
                <w:sz w:val="24"/>
                <w:szCs w:val="24"/>
                <w:highlight w:val="none"/>
                <w:lang w:val="en-US" w:eastAsia="zh-CN"/>
              </w:rPr>
              <w:t>东北部、西南部、顶部、底部</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1#、2#、3#加速器治疗室东南部均设有</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L</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型迷路，迷路内墙厚1200mm，外墙厚1700mm；1#加速器治疗室东北部、2#加速器治疗室东北部及西南部、3#加速器治疗室西南部</w:t>
            </w:r>
            <w:r>
              <w:rPr>
                <w:rFonts w:hint="default" w:ascii="Times New Roman" w:hAnsi="Times New Roman" w:cs="Times New Roman"/>
                <w:color w:val="auto"/>
                <w:sz w:val="24"/>
                <w:szCs w:val="24"/>
                <w:highlight w:val="none"/>
              </w:rPr>
              <w:t>主屏蔽墙</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rPr>
              <w:t>厚</w:t>
            </w:r>
            <w:r>
              <w:rPr>
                <w:rFonts w:hint="eastAsia" w:ascii="Times New Roman" w:hAnsi="Times New Roman" w:cs="Times New Roman"/>
                <w:color w:val="auto"/>
                <w:sz w:val="24"/>
                <w:szCs w:val="24"/>
                <w:highlight w:val="none"/>
                <w:lang w:val="en-US" w:eastAsia="zh-CN"/>
              </w:rPr>
              <w:t>3000</w:t>
            </w:r>
            <w:r>
              <w:rPr>
                <w:rFonts w:hint="default" w:ascii="Times New Roman" w:hAnsi="Times New Roman" w:cs="Times New Roman"/>
                <w:color w:val="auto"/>
                <w:sz w:val="24"/>
                <w:szCs w:val="24"/>
                <w:highlight w:val="none"/>
              </w:rPr>
              <w:t>mm、宽4</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00mm，次屏蔽墙厚</w:t>
            </w:r>
            <w:r>
              <w:rPr>
                <w:rFonts w:hint="eastAsia" w:ascii="Times New Roman" w:hAnsi="Times New Roman" w:cs="Times New Roman"/>
                <w:color w:val="auto"/>
                <w:sz w:val="24"/>
                <w:szCs w:val="24"/>
                <w:highlight w:val="none"/>
                <w:lang w:val="en-US" w:eastAsia="zh-CN"/>
              </w:rPr>
              <w:t>1800</w:t>
            </w:r>
            <w:r>
              <w:rPr>
                <w:rFonts w:hint="default" w:ascii="Times New Roman" w:hAnsi="Times New Roman" w:cs="Times New Roman"/>
                <w:color w:val="auto"/>
                <w:sz w:val="24"/>
                <w:szCs w:val="24"/>
                <w:highlight w:val="none"/>
              </w:rPr>
              <w:t>mm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1#加速器治疗室西南部及顶部、2#加速器治疗室顶部、3#加速器治疗室东北部及顶部</w:t>
            </w:r>
            <w:r>
              <w:rPr>
                <w:rFonts w:hint="default" w:ascii="Times New Roman" w:hAnsi="Times New Roman" w:cs="Times New Roman"/>
                <w:color w:val="auto"/>
                <w:sz w:val="24"/>
                <w:szCs w:val="24"/>
                <w:highlight w:val="none"/>
              </w:rPr>
              <w:t>主屏蔽墙</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rPr>
              <w:t>厚</w:t>
            </w:r>
            <w:r>
              <w:rPr>
                <w:rFonts w:hint="eastAsia" w:ascii="Times New Roman" w:hAnsi="Times New Roman" w:cs="Times New Roman"/>
                <w:color w:val="auto"/>
                <w:sz w:val="24"/>
                <w:szCs w:val="24"/>
                <w:highlight w:val="none"/>
                <w:lang w:val="en-US" w:eastAsia="zh-CN"/>
              </w:rPr>
              <w:t>3000</w:t>
            </w:r>
            <w:r>
              <w:rPr>
                <w:rFonts w:hint="default" w:ascii="Times New Roman" w:hAnsi="Times New Roman" w:cs="Times New Roman"/>
                <w:color w:val="auto"/>
                <w:sz w:val="24"/>
                <w:szCs w:val="24"/>
                <w:highlight w:val="none"/>
              </w:rPr>
              <w:t>mm、宽4000mm，次屏蔽墙厚</w:t>
            </w:r>
            <w:r>
              <w:rPr>
                <w:rFonts w:hint="eastAsia" w:ascii="Times New Roman" w:hAnsi="Times New Roman" w:cs="Times New Roman"/>
                <w:color w:val="auto"/>
                <w:sz w:val="24"/>
                <w:szCs w:val="24"/>
                <w:highlight w:val="none"/>
                <w:lang w:val="en-US" w:eastAsia="zh-CN"/>
              </w:rPr>
              <w:t>1700</w:t>
            </w:r>
            <w:r>
              <w:rPr>
                <w:rFonts w:hint="default" w:ascii="Times New Roman" w:hAnsi="Times New Roman" w:cs="Times New Roman"/>
                <w:color w:val="auto"/>
                <w:sz w:val="24"/>
                <w:szCs w:val="24"/>
                <w:highlight w:val="none"/>
              </w:rPr>
              <w:t>mm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1#加速器治疗室、2#加速器治疗室、3#加速器治疗室西北部</w:t>
            </w:r>
            <w:r>
              <w:rPr>
                <w:rFonts w:hint="default" w:ascii="Times New Roman" w:hAnsi="Times New Roman" w:cs="Times New Roman"/>
                <w:color w:val="auto"/>
                <w:sz w:val="24"/>
                <w:szCs w:val="24"/>
                <w:highlight w:val="none"/>
              </w:rPr>
              <w:t>屏蔽墙</w:t>
            </w:r>
            <w:r>
              <w:rPr>
                <w:rFonts w:hint="eastAsia" w:ascii="Times New Roman" w:hAnsi="Times New Roman" w:cs="Times New Roman"/>
                <w:color w:val="auto"/>
                <w:sz w:val="24"/>
                <w:szCs w:val="24"/>
                <w:highlight w:val="none"/>
                <w:lang w:val="en-US" w:eastAsia="zh-CN"/>
              </w:rPr>
              <w:t>均厚1700</w:t>
            </w:r>
            <w:r>
              <w:rPr>
                <w:rFonts w:hint="default" w:ascii="Times New Roman" w:hAnsi="Times New Roman" w:cs="Times New Roman"/>
                <w:color w:val="auto"/>
                <w:sz w:val="24"/>
                <w:szCs w:val="24"/>
                <w:highlight w:val="none"/>
              </w:rPr>
              <w:t>mm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1#加速器治疗室、3#加速器治疗室防护门均为15</w:t>
            </w:r>
            <w:r>
              <w:rPr>
                <w:rFonts w:hint="default" w:ascii="Times New Roman" w:hAnsi="Times New Roman" w:cs="Times New Roman"/>
                <w:color w:val="auto"/>
                <w:sz w:val="24"/>
                <w:szCs w:val="24"/>
                <w:highlight w:val="none"/>
              </w:rPr>
              <w:t>mm铅当量</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2#加速器治疗室</w:t>
            </w:r>
            <w:r>
              <w:rPr>
                <w:rFonts w:hint="default" w:ascii="Times New Roman" w:hAnsi="Times New Roman" w:cs="Times New Roman"/>
                <w:color w:val="auto"/>
                <w:sz w:val="24"/>
                <w:szCs w:val="24"/>
                <w:highlight w:val="none"/>
              </w:rPr>
              <w:t>防护门为</w:t>
            </w:r>
            <w:r>
              <w:rPr>
                <w:rFonts w:hint="eastAsia"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mm铅当量</w:t>
            </w:r>
            <w:r>
              <w:rPr>
                <w:rFonts w:hint="eastAsia" w:ascii="Times New Roman" w:hAnsi="Times New Roman" w:cs="Times New Roman"/>
                <w:color w:val="auto"/>
                <w:sz w:val="24"/>
                <w:highlight w:val="none"/>
                <w:lang w:val="en-US" w:eastAsia="zh-CN"/>
              </w:rPr>
              <w:t>+80mm含硼聚乙烯。</w:t>
            </w:r>
          </w:p>
          <w:p>
            <w:pPr>
              <w:pStyle w:val="16"/>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拟在</w:t>
            </w:r>
            <w:r>
              <w:rPr>
                <w:rFonts w:hint="eastAsia" w:ascii="Times New Roman" w:hAnsi="Times New Roman" w:cs="Times New Roman"/>
                <w:color w:val="auto"/>
                <w:sz w:val="24"/>
                <w:szCs w:val="24"/>
                <w:highlight w:val="none"/>
                <w:lang w:eastAsia="zh-CN"/>
              </w:rPr>
              <w:t>门急诊住院综合楼配套工程（三期）负三层</w:t>
            </w:r>
            <w:r>
              <w:rPr>
                <w:rFonts w:hint="eastAsia" w:ascii="Times New Roman" w:hAnsi="Times New Roman" w:cs="Times New Roman"/>
                <w:color w:val="auto"/>
                <w:sz w:val="24"/>
                <w:szCs w:val="24"/>
                <w:highlight w:val="none"/>
                <w:lang w:val="en-US" w:eastAsia="zh-CN"/>
              </w:rPr>
              <w:t>放疗中心</w:t>
            </w:r>
            <w:r>
              <w:rPr>
                <w:rFonts w:hint="eastAsia" w:ascii="Times New Roman" w:hAnsi="Times New Roman" w:eastAsia="宋体" w:cs="Times New Roman"/>
                <w:color w:val="auto"/>
                <w:kern w:val="2"/>
                <w:sz w:val="24"/>
                <w:szCs w:val="24"/>
                <w:highlight w:val="none"/>
                <w:lang w:val="en-US" w:eastAsia="zh-CN" w:bidi="ar-SA"/>
              </w:rPr>
              <w:t>后装治疗室</w:t>
            </w:r>
            <w:r>
              <w:rPr>
                <w:rFonts w:hint="default" w:ascii="Times New Roman" w:hAnsi="Times New Roman" w:eastAsia="宋体" w:cs="Times New Roman"/>
                <w:color w:val="auto"/>
                <w:kern w:val="2"/>
                <w:sz w:val="24"/>
                <w:szCs w:val="24"/>
                <w:highlight w:val="none"/>
                <w:lang w:val="en-US" w:eastAsia="zh-CN" w:bidi="ar-SA"/>
              </w:rPr>
              <w:t>（净空面积</w:t>
            </w:r>
            <w:r>
              <w:rPr>
                <w:rFonts w:hint="eastAsia" w:ascii="Times New Roman" w:cs="Times New Roman"/>
                <w:color w:val="auto"/>
                <w:kern w:val="2"/>
                <w:sz w:val="24"/>
                <w:szCs w:val="24"/>
                <w:highlight w:val="none"/>
                <w:lang w:val="en-US" w:eastAsia="zh-CN" w:bidi="ar-SA"/>
              </w:rPr>
              <w:t>28.67</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）新增</w:t>
            </w:r>
            <w:r>
              <w:rPr>
                <w:rFonts w:hint="eastAsia" w:ascii="Times New Roman" w:hAnsi="Times New Roman" w:eastAsia="宋体" w:cs="Times New Roman"/>
                <w:color w:val="auto"/>
                <w:kern w:val="2"/>
                <w:sz w:val="24"/>
                <w:szCs w:val="24"/>
                <w:highlight w:val="none"/>
                <w:lang w:val="en-US" w:eastAsia="zh-CN" w:bidi="ar-SA"/>
              </w:rPr>
              <w:t>使用</w:t>
            </w:r>
            <w:r>
              <w:rPr>
                <w:rFonts w:hint="default" w:ascii="Times New Roman" w:hAnsi="Times New Roman" w:eastAsia="宋体" w:cs="Times New Roman"/>
                <w:color w:val="auto"/>
                <w:kern w:val="2"/>
                <w:sz w:val="24"/>
                <w:szCs w:val="24"/>
                <w:highlight w:val="none"/>
                <w:lang w:val="en-US" w:eastAsia="zh-CN" w:bidi="ar-SA"/>
              </w:rPr>
              <w:t>1台</w:t>
            </w:r>
            <w:r>
              <w:rPr>
                <w:rFonts w:hint="default" w:ascii="Times New Roman" w:hAnsi="Times New Roman" w:eastAsia="宋体" w:cs="Times New Roman"/>
                <w:color w:val="auto"/>
                <w:kern w:val="2"/>
                <w:sz w:val="24"/>
                <w:szCs w:val="24"/>
                <w:highlight w:val="none"/>
                <w:vertAlign w:val="superscript"/>
                <w:lang w:val="en-US" w:eastAsia="zh-CN" w:bidi="ar-SA"/>
              </w:rPr>
              <w:t>192</w:t>
            </w:r>
            <w:r>
              <w:rPr>
                <w:rFonts w:hint="default" w:ascii="Times New Roman" w:hAnsi="Times New Roman" w:eastAsia="宋体" w:cs="Times New Roman"/>
                <w:color w:val="auto"/>
                <w:kern w:val="2"/>
                <w:sz w:val="24"/>
                <w:szCs w:val="24"/>
                <w:highlight w:val="none"/>
                <w:lang w:val="en-US" w:eastAsia="zh-CN" w:bidi="ar-SA"/>
              </w:rPr>
              <w:t>Ir后装机</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后装机使用1枚</w:t>
            </w:r>
            <w:r>
              <w:rPr>
                <w:rFonts w:hint="default" w:ascii="Times New Roman" w:hAnsi="Times New Roman" w:eastAsia="宋体" w:cs="Times New Roman"/>
                <w:color w:val="auto"/>
                <w:kern w:val="2"/>
                <w:sz w:val="24"/>
                <w:szCs w:val="24"/>
                <w:highlight w:val="none"/>
                <w:vertAlign w:val="superscript"/>
                <w:lang w:val="en-US" w:eastAsia="zh-CN" w:bidi="ar-SA"/>
              </w:rPr>
              <w:t>192</w:t>
            </w:r>
            <w:r>
              <w:rPr>
                <w:rFonts w:hint="default" w:ascii="Times New Roman" w:hAnsi="Times New Roman" w:eastAsia="宋体" w:cs="Times New Roman"/>
                <w:color w:val="auto"/>
                <w:kern w:val="2"/>
                <w:sz w:val="24"/>
                <w:szCs w:val="24"/>
                <w:highlight w:val="none"/>
                <w:lang w:val="en-US" w:eastAsia="zh-CN" w:bidi="ar-SA"/>
              </w:rPr>
              <w:t>Ir放射源，额定装源活度为3.7×10</w:t>
            </w:r>
            <w:r>
              <w:rPr>
                <w:rFonts w:hint="default" w:ascii="Times New Roman" w:hAnsi="Times New Roman" w:eastAsia="宋体" w:cs="Times New Roman"/>
                <w:color w:val="auto"/>
                <w:kern w:val="2"/>
                <w:sz w:val="24"/>
                <w:szCs w:val="24"/>
                <w:highlight w:val="none"/>
                <w:vertAlign w:val="superscript"/>
                <w:lang w:val="en-US" w:eastAsia="zh-CN" w:bidi="ar-SA"/>
              </w:rPr>
              <w:t>11</w:t>
            </w:r>
            <w:r>
              <w:rPr>
                <w:rFonts w:hint="default" w:ascii="Times New Roman" w:hAnsi="Times New Roman" w:eastAsia="宋体" w:cs="Times New Roman"/>
                <w:color w:val="auto"/>
                <w:kern w:val="2"/>
                <w:sz w:val="24"/>
                <w:szCs w:val="24"/>
                <w:highlight w:val="none"/>
                <w:lang w:val="en-US" w:eastAsia="zh-CN" w:bidi="ar-SA"/>
              </w:rPr>
              <w:t>Bq（属</w:t>
            </w: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3 \* ROMAN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III</w:t>
            </w:r>
            <w:r>
              <w:rPr>
                <w:rFonts w:hint="default" w:ascii="Times New Roman" w:hAnsi="Times New Roman" w:eastAsia="宋体" w:cs="Times New Roman"/>
                <w:color w:val="auto"/>
                <w:kern w:val="2"/>
                <w:sz w:val="24"/>
                <w:szCs w:val="24"/>
                <w:highlight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类放射源）</w:t>
            </w:r>
            <w:r>
              <w:rPr>
                <w:rFonts w:hint="eastAsia" w:ascii="Times New Roman" w:hAnsi="Times New Roman" w:eastAsia="宋体" w:cs="Times New Roman"/>
                <w:color w:val="auto"/>
                <w:kern w:val="2"/>
                <w:sz w:val="24"/>
                <w:szCs w:val="24"/>
                <w:highlight w:val="none"/>
                <w:lang w:val="en-US" w:eastAsia="zh-CN" w:bidi="ar-SA"/>
              </w:rPr>
              <w:t>，年出束时间约</w:t>
            </w:r>
            <w:r>
              <w:rPr>
                <w:rFonts w:hint="eastAsia" w:ascii="Times New Roman" w:cs="Times New Roman"/>
                <w:color w:val="auto"/>
                <w:kern w:val="2"/>
                <w:sz w:val="24"/>
                <w:szCs w:val="24"/>
                <w:highlight w:val="none"/>
                <w:lang w:val="en-US" w:eastAsia="zh-CN" w:bidi="ar-SA"/>
              </w:rPr>
              <w:t>130h</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后装治疗室</w:t>
            </w:r>
            <w:r>
              <w:rPr>
                <w:rFonts w:hint="eastAsia" w:ascii="Times New Roman" w:cs="Times New Roman"/>
                <w:color w:val="auto"/>
                <w:kern w:val="2"/>
                <w:sz w:val="24"/>
                <w:szCs w:val="24"/>
                <w:highlight w:val="none"/>
                <w:lang w:val="en-US" w:eastAsia="zh-CN" w:bidi="ar-SA"/>
              </w:rPr>
              <w:t>东</w:t>
            </w:r>
            <w:r>
              <w:rPr>
                <w:rFonts w:hint="eastAsia" w:ascii="Times New Roman" w:hAnsi="Times New Roman" w:eastAsia="宋体" w:cs="Times New Roman"/>
                <w:color w:val="auto"/>
                <w:kern w:val="2"/>
                <w:sz w:val="24"/>
                <w:szCs w:val="24"/>
                <w:highlight w:val="none"/>
                <w:lang w:val="en-US" w:eastAsia="zh-CN" w:bidi="ar-SA"/>
              </w:rPr>
              <w:t>北</w:t>
            </w:r>
            <w:r>
              <w:rPr>
                <w:rFonts w:hint="eastAsia" w:ascii="Times New Roman" w:cs="Times New Roman"/>
                <w:color w:val="auto"/>
                <w:kern w:val="2"/>
                <w:sz w:val="24"/>
                <w:szCs w:val="24"/>
                <w:highlight w:val="none"/>
                <w:lang w:val="en-US" w:eastAsia="zh-CN" w:bidi="ar-SA"/>
              </w:rPr>
              <w:t>部依次</w:t>
            </w:r>
            <w:r>
              <w:rPr>
                <w:rFonts w:hint="eastAsia" w:ascii="Times New Roman" w:hAnsi="Times New Roman" w:eastAsia="宋体" w:cs="Times New Roman"/>
                <w:color w:val="auto"/>
                <w:kern w:val="2"/>
                <w:sz w:val="24"/>
                <w:szCs w:val="24"/>
                <w:highlight w:val="none"/>
                <w:lang w:val="en-US" w:eastAsia="zh-CN" w:bidi="ar-SA"/>
              </w:rPr>
              <w:t>设有</w:t>
            </w:r>
            <w:r>
              <w:rPr>
                <w:rFonts w:hint="eastAsia" w:ascii="Times New Roman" w:cs="Times New Roman"/>
                <w:color w:val="auto"/>
                <w:kern w:val="2"/>
                <w:sz w:val="24"/>
                <w:szCs w:val="24"/>
                <w:highlight w:val="none"/>
                <w:lang w:val="en-US" w:eastAsia="zh-CN" w:bidi="ar-SA"/>
              </w:rPr>
              <w:t>控制</w:t>
            </w:r>
            <w:r>
              <w:rPr>
                <w:rFonts w:hint="eastAsia" w:ascii="Times New Roman" w:hAnsi="Times New Roman" w:eastAsia="宋体" w:cs="Times New Roman"/>
                <w:color w:val="auto"/>
                <w:kern w:val="2"/>
                <w:sz w:val="24"/>
                <w:szCs w:val="24"/>
                <w:highlight w:val="none"/>
                <w:lang w:val="en-US" w:eastAsia="zh-CN" w:bidi="ar-SA"/>
              </w:rPr>
              <w:t>室、</w:t>
            </w:r>
            <w:r>
              <w:rPr>
                <w:rFonts w:hint="eastAsia" w:ascii="Times New Roman" w:cs="Times New Roman"/>
                <w:color w:val="auto"/>
                <w:kern w:val="2"/>
                <w:sz w:val="24"/>
                <w:szCs w:val="24"/>
                <w:highlight w:val="none"/>
                <w:lang w:val="en-US" w:eastAsia="zh-CN" w:bidi="ar-SA"/>
              </w:rPr>
              <w:t>患者准备区</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后装治疗室四面墙体、</w:t>
            </w:r>
            <w:r>
              <w:rPr>
                <w:rFonts w:hint="eastAsia" w:ascii="Times New Roman" w:cs="Times New Roman"/>
                <w:color w:val="auto"/>
                <w:kern w:val="2"/>
                <w:sz w:val="24"/>
                <w:szCs w:val="24"/>
                <w:highlight w:val="none"/>
                <w:lang w:val="en-US" w:eastAsia="zh-CN" w:bidi="ar-SA"/>
              </w:rPr>
              <w:t>迷路</w:t>
            </w:r>
            <w:r>
              <w:rPr>
                <w:rFonts w:hint="default" w:ascii="Times New Roman" w:hAnsi="Times New Roman" w:eastAsia="宋体" w:cs="Times New Roman"/>
                <w:color w:val="auto"/>
                <w:kern w:val="2"/>
                <w:sz w:val="24"/>
                <w:szCs w:val="24"/>
                <w:highlight w:val="none"/>
                <w:lang w:val="en-US" w:eastAsia="zh-CN" w:bidi="ar-SA"/>
              </w:rPr>
              <w:t>和顶部均为钢筋混凝土</w:t>
            </w:r>
            <w:r>
              <w:rPr>
                <w:rFonts w:hint="eastAsia" w:ascii="Times New Roman" w:hAnsi="Times New Roman" w:eastAsia="宋体" w:cs="Times New Roman"/>
                <w:color w:val="auto"/>
                <w:kern w:val="2"/>
                <w:sz w:val="24"/>
                <w:szCs w:val="24"/>
                <w:highlight w:val="none"/>
                <w:lang w:val="en-US" w:eastAsia="zh-CN" w:bidi="ar-SA"/>
              </w:rPr>
              <w:t>，其西</w:t>
            </w:r>
            <w:r>
              <w:rPr>
                <w:rFonts w:hint="eastAsia" w:ascii="Times New Roman" w:cs="Times New Roman"/>
                <w:color w:val="auto"/>
                <w:kern w:val="2"/>
                <w:sz w:val="24"/>
                <w:szCs w:val="24"/>
                <w:highlight w:val="none"/>
                <w:lang w:val="en-US" w:eastAsia="zh-CN" w:bidi="ar-SA"/>
              </w:rPr>
              <w:t>部</w:t>
            </w:r>
            <w:r>
              <w:rPr>
                <w:rFonts w:hint="default" w:ascii="Times New Roman" w:hAnsi="Times New Roman" w:eastAsia="宋体" w:cs="Times New Roman"/>
                <w:color w:val="auto"/>
                <w:kern w:val="2"/>
                <w:sz w:val="24"/>
                <w:szCs w:val="24"/>
                <w:highlight w:val="none"/>
                <w:lang w:val="en-US" w:eastAsia="zh-CN" w:bidi="ar-SA"/>
              </w:rPr>
              <w:t>“L”型</w:t>
            </w:r>
            <w:r>
              <w:rPr>
                <w:rFonts w:hint="eastAsia" w:ascii="Times New Roman" w:cs="Times New Roman"/>
                <w:color w:val="auto"/>
                <w:kern w:val="2"/>
                <w:sz w:val="24"/>
                <w:szCs w:val="24"/>
                <w:highlight w:val="none"/>
                <w:lang w:val="en-US" w:eastAsia="zh-CN" w:bidi="ar-SA"/>
              </w:rPr>
              <w:t>迷路</w:t>
            </w:r>
            <w:r>
              <w:rPr>
                <w:rFonts w:hint="default" w:ascii="Times New Roman" w:hAnsi="Times New Roman" w:eastAsia="宋体" w:cs="Times New Roman"/>
                <w:color w:val="auto"/>
                <w:kern w:val="2"/>
                <w:sz w:val="24"/>
                <w:szCs w:val="24"/>
                <w:highlight w:val="none"/>
                <w:lang w:val="en-US" w:eastAsia="zh-CN" w:bidi="ar-SA"/>
              </w:rPr>
              <w:t>内墙和外墙</w:t>
            </w:r>
            <w:r>
              <w:rPr>
                <w:rFonts w:hint="eastAsia" w:ascii="Times New Roman" w:hAnsi="Times New Roman" w:eastAsia="宋体" w:cs="Times New Roman"/>
                <w:color w:val="auto"/>
                <w:kern w:val="2"/>
                <w:sz w:val="24"/>
                <w:szCs w:val="24"/>
                <w:highlight w:val="none"/>
                <w:lang w:val="en-US" w:eastAsia="zh-CN" w:bidi="ar-SA"/>
              </w:rPr>
              <w:t>厚</w:t>
            </w:r>
            <w:r>
              <w:rPr>
                <w:rFonts w:hint="eastAsia" w:ascii="Times New Roman" w:cs="Times New Roman"/>
                <w:color w:val="auto"/>
                <w:kern w:val="2"/>
                <w:sz w:val="24"/>
                <w:szCs w:val="24"/>
                <w:highlight w:val="none"/>
                <w:lang w:val="en-US" w:eastAsia="zh-CN" w:bidi="ar-SA"/>
              </w:rPr>
              <w:t>均</w:t>
            </w:r>
            <w:r>
              <w:rPr>
                <w:rFonts w:hint="eastAsia" w:ascii="Times New Roman" w:hAnsi="Times New Roman" w:eastAsia="宋体" w:cs="Times New Roman"/>
                <w:color w:val="auto"/>
                <w:kern w:val="2"/>
                <w:sz w:val="24"/>
                <w:szCs w:val="24"/>
                <w:highlight w:val="none"/>
                <w:lang w:val="en-US" w:eastAsia="zh-CN" w:bidi="ar-SA"/>
              </w:rPr>
              <w:t>为</w:t>
            </w:r>
            <w:r>
              <w:rPr>
                <w:rFonts w:hint="eastAsia" w:ascii="Times New Roman"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00mm，东</w:t>
            </w:r>
            <w:r>
              <w:rPr>
                <w:rFonts w:hint="eastAsia" w:ascii="Times New Roman" w:cs="Times New Roman"/>
                <w:color w:val="auto"/>
                <w:kern w:val="2"/>
                <w:sz w:val="24"/>
                <w:szCs w:val="24"/>
                <w:highlight w:val="none"/>
                <w:lang w:val="en-US" w:eastAsia="zh-CN" w:bidi="ar-SA"/>
              </w:rPr>
              <w:t>北部</w:t>
            </w:r>
            <w:r>
              <w:rPr>
                <w:rFonts w:hint="eastAsia" w:ascii="Times New Roman" w:hAnsi="Times New Roman" w:eastAsia="宋体" w:cs="Times New Roman"/>
                <w:color w:val="auto"/>
                <w:kern w:val="2"/>
                <w:sz w:val="24"/>
                <w:szCs w:val="24"/>
                <w:highlight w:val="none"/>
                <w:lang w:val="en-US" w:eastAsia="zh-CN" w:bidi="ar-SA"/>
              </w:rPr>
              <w:t>墙体、</w:t>
            </w:r>
            <w:r>
              <w:rPr>
                <w:rFonts w:hint="eastAsia" w:ascii="Times New Roman" w:cs="Times New Roman"/>
                <w:color w:val="auto"/>
                <w:kern w:val="2"/>
                <w:sz w:val="24"/>
                <w:szCs w:val="24"/>
                <w:highlight w:val="none"/>
                <w:lang w:val="en-US" w:eastAsia="zh-CN" w:bidi="ar-SA"/>
              </w:rPr>
              <w:t>西北部</w:t>
            </w:r>
            <w:r>
              <w:rPr>
                <w:rFonts w:hint="eastAsia" w:ascii="Times New Roman" w:hAnsi="Times New Roman" w:eastAsia="宋体" w:cs="Times New Roman"/>
                <w:color w:val="auto"/>
                <w:kern w:val="2"/>
                <w:sz w:val="24"/>
                <w:szCs w:val="24"/>
                <w:highlight w:val="none"/>
                <w:lang w:val="en-US" w:eastAsia="zh-CN" w:bidi="ar-SA"/>
              </w:rPr>
              <w:t>墙体、</w:t>
            </w:r>
            <w:r>
              <w:rPr>
                <w:rFonts w:hint="eastAsia" w:ascii="Times New Roman" w:cs="Times New Roman"/>
                <w:color w:val="auto"/>
                <w:kern w:val="2"/>
                <w:sz w:val="24"/>
                <w:szCs w:val="24"/>
                <w:highlight w:val="none"/>
                <w:lang w:val="en-US" w:eastAsia="zh-CN" w:bidi="ar-SA"/>
              </w:rPr>
              <w:t>西南部</w:t>
            </w:r>
            <w:r>
              <w:rPr>
                <w:rFonts w:hint="eastAsia" w:ascii="Times New Roman" w:hAnsi="Times New Roman" w:eastAsia="宋体" w:cs="Times New Roman"/>
                <w:color w:val="auto"/>
                <w:kern w:val="2"/>
                <w:sz w:val="24"/>
                <w:szCs w:val="24"/>
                <w:highlight w:val="none"/>
                <w:lang w:val="en-US" w:eastAsia="zh-CN" w:bidi="ar-SA"/>
              </w:rPr>
              <w:t>墙体和顶部厚均为800mm，</w:t>
            </w:r>
            <w:r>
              <w:rPr>
                <w:rFonts w:hint="default" w:ascii="Times New Roman" w:hAnsi="Times New Roman" w:eastAsia="宋体" w:cs="Times New Roman"/>
                <w:color w:val="auto"/>
                <w:kern w:val="2"/>
                <w:sz w:val="24"/>
                <w:szCs w:val="24"/>
                <w:highlight w:val="none"/>
                <w:lang w:val="en-US" w:eastAsia="zh-CN" w:bidi="ar-SA"/>
              </w:rPr>
              <w:t>防护门为</w:t>
            </w:r>
            <w:r>
              <w:rPr>
                <w:rFonts w:hint="eastAsia" w:ascii="Times New Roman"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mm铅当量单扇电动推拉门。</w:t>
            </w:r>
          </w:p>
          <w:p>
            <w:pPr>
              <w:keepNext w:val="0"/>
              <w:keepLines w:val="0"/>
              <w:suppressLineNumbers w:val="0"/>
              <w:tabs>
                <w:tab w:val="left" w:pos="6300"/>
              </w:tabs>
              <w:autoSpaceDN w:val="0"/>
              <w:spacing w:before="0" w:beforeAutospacing="0" w:after="0" w:afterAutospacing="0" w:line="360" w:lineRule="auto"/>
              <w:ind w:left="0" w:right="0" w:firstLine="480"/>
              <w:rPr>
                <w:rFonts w:hint="default" w:ascii="Times New Roman" w:hAnsi="Times New Roman"/>
                <w:b/>
                <w:bCs/>
                <w:color w:val="auto"/>
                <w:sz w:val="21"/>
                <w:szCs w:val="21"/>
              </w:rPr>
            </w:pPr>
            <w:r>
              <w:rPr>
                <w:rFonts w:hint="default" w:ascii="Times New Roman" w:hAnsi="Times New Roman"/>
                <w:color w:val="auto"/>
                <w:sz w:val="24"/>
              </w:rPr>
              <w:t xml:space="preserve">  建设项目组成及主要的环境问题见表1</w:t>
            </w:r>
            <w:r>
              <w:rPr>
                <w:rFonts w:hint="eastAsia" w:ascii="Times New Roman" w:hAnsi="Times New Roman"/>
                <w:color w:val="auto"/>
                <w:sz w:val="24"/>
                <w:lang w:val="en-US" w:eastAsia="zh-CN"/>
              </w:rPr>
              <w:t>-1</w:t>
            </w:r>
            <w:r>
              <w:rPr>
                <w:rFonts w:hint="default" w:ascii="Times New Roman" w:hAnsi="Times New Roman"/>
                <w:color w:val="auto"/>
                <w:sz w:val="24"/>
              </w:rPr>
              <w:t>。</w:t>
            </w:r>
            <w:r>
              <w:rPr>
                <w:rFonts w:hint="default" w:ascii="Times New Roman" w:hAnsi="Times New Roman"/>
                <w:b/>
                <w:bCs/>
                <w:color w:val="auto"/>
                <w:szCs w:val="21"/>
              </w:rPr>
              <w:t xml:space="preserve">   </w:t>
            </w:r>
          </w:p>
          <w:p>
            <w:pPr>
              <w:pStyle w:val="23"/>
              <w:keepNext w:val="0"/>
              <w:keepLines w:val="0"/>
              <w:suppressLineNumbers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表1-1  建设项目组成及主要的环境问题表</w:t>
            </w:r>
          </w:p>
          <w:tbl>
            <w:tblPr>
              <w:tblStyle w:val="17"/>
              <w:tblW w:w="8896"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1060"/>
              <w:gridCol w:w="577"/>
              <w:gridCol w:w="637"/>
              <w:gridCol w:w="1166"/>
              <w:gridCol w:w="3239"/>
              <w:gridCol w:w="1162"/>
              <w:gridCol w:w="1055"/>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36" w:hRule="atLeast"/>
                <w:jc w:val="center"/>
              </w:trPr>
              <w:tc>
                <w:tcPr>
                  <w:tcW w:w="1060" w:type="dxa"/>
                  <w:vMerge w:val="restart"/>
                  <w:tcBorders>
                    <w:top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r>
                    <w:rPr>
                      <w:rFonts w:hint="default" w:ascii="Times New Roman" w:hAnsi="Times New Roman"/>
                      <w:caps/>
                      <w:color w:val="auto"/>
                      <w:szCs w:val="21"/>
                    </w:rPr>
                    <w:t>名称</w:t>
                  </w:r>
                </w:p>
              </w:tc>
              <w:tc>
                <w:tcPr>
                  <w:tcW w:w="577" w:type="dxa"/>
                  <w:vMerge w:val="restart"/>
                  <w:tcBorders>
                    <w:top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r>
                    <w:rPr>
                      <w:rFonts w:hint="default" w:ascii="Times New Roman" w:hAnsi="Times New Roman"/>
                      <w:caps/>
                      <w:color w:val="auto"/>
                      <w:szCs w:val="21"/>
                    </w:rPr>
                    <w:t>科室</w:t>
                  </w:r>
                </w:p>
              </w:tc>
              <w:tc>
                <w:tcPr>
                  <w:tcW w:w="637" w:type="dxa"/>
                  <w:vMerge w:val="restart"/>
                  <w:tcBorders>
                    <w:top w:val="single" w:color="000000"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r>
                    <w:rPr>
                      <w:rFonts w:hint="default" w:ascii="Times New Roman" w:hAnsi="Times New Roman"/>
                      <w:caps/>
                      <w:color w:val="auto"/>
                      <w:szCs w:val="21"/>
                    </w:rPr>
                    <w:t>场所</w:t>
                  </w:r>
                </w:p>
              </w:tc>
              <w:tc>
                <w:tcPr>
                  <w:tcW w:w="4405" w:type="dxa"/>
                  <w:gridSpan w:val="2"/>
                  <w:vMerge w:val="restart"/>
                  <w:tcBorders>
                    <w:top w:val="single" w:color="000000"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r>
                    <w:rPr>
                      <w:rFonts w:hint="default" w:ascii="Times New Roman" w:hAnsi="Times New Roman"/>
                      <w:caps/>
                      <w:color w:val="auto"/>
                      <w:szCs w:val="21"/>
                    </w:rPr>
                    <w:t>建设内容及规模</w:t>
                  </w:r>
                </w:p>
              </w:tc>
              <w:tc>
                <w:tcPr>
                  <w:tcW w:w="2217" w:type="dxa"/>
                  <w:gridSpan w:val="2"/>
                  <w:tcBorders>
                    <w:top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r>
                    <w:rPr>
                      <w:rFonts w:hint="default" w:ascii="Times New Roman" w:hAnsi="Times New Roman"/>
                      <w:caps/>
                      <w:color w:val="auto"/>
                      <w:szCs w:val="21"/>
                    </w:rPr>
                    <w:t>可能产生的环境问题</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577" w:type="dxa"/>
                  <w:vMerge w:val="continue"/>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637" w:type="dxa"/>
                  <w:vMerge w:val="continue"/>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4405" w:type="dxa"/>
                  <w:gridSpan w:val="2"/>
                  <w:vMerge w:val="continue"/>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162" w:type="dxa"/>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r>
                    <w:rPr>
                      <w:rFonts w:hint="default" w:ascii="Times New Roman" w:hAnsi="Times New Roman"/>
                      <w:caps/>
                      <w:color w:val="auto"/>
                      <w:szCs w:val="21"/>
                    </w:rPr>
                    <w:t>施工期</w:t>
                  </w:r>
                </w:p>
              </w:tc>
              <w:tc>
                <w:tcPr>
                  <w:tcW w:w="1055" w:type="dxa"/>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r>
                    <w:rPr>
                      <w:rFonts w:hint="default" w:ascii="Times New Roman" w:hAnsi="Times New Roman"/>
                      <w:caps/>
                      <w:color w:val="auto"/>
                      <w:szCs w:val="21"/>
                    </w:rPr>
                    <w:t>营运期</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1194" w:hRule="atLeast"/>
                <w:jc w:val="center"/>
              </w:trPr>
              <w:tc>
                <w:tcPr>
                  <w:tcW w:w="1060" w:type="dxa"/>
                  <w:vMerge w:val="restart"/>
                  <w:tcBorders>
                    <w:top w:val="single" w:color="auto" w:sz="4"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主</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体</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工</w:t>
                  </w:r>
                </w:p>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r>
                    <w:rPr>
                      <w:rFonts w:hint="default" w:ascii="Times New Roman" w:hAnsi="Times New Roman"/>
                      <w:color w:val="auto"/>
                      <w:szCs w:val="21"/>
                    </w:rPr>
                    <w:t>程</w:t>
                  </w:r>
                </w:p>
              </w:tc>
              <w:tc>
                <w:tcPr>
                  <w:tcW w:w="577" w:type="dxa"/>
                  <w:vMerge w:val="restart"/>
                  <w:tcBorders>
                    <w:top w:val="single" w:color="auto" w:sz="4"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default" w:ascii="Times New Roman" w:hAnsi="Times New Roman"/>
                      <w:bCs/>
                      <w:color w:val="auto"/>
                      <w:szCs w:val="21"/>
                    </w:rPr>
                    <w:t>放疗</w:t>
                  </w:r>
                  <w:r>
                    <w:rPr>
                      <w:rFonts w:hint="eastAsia" w:ascii="Times New Roman" w:hAnsi="Times New Roman"/>
                      <w:bCs/>
                      <w:color w:val="auto"/>
                      <w:szCs w:val="21"/>
                    </w:rPr>
                    <w:t>中心</w:t>
                  </w:r>
                </w:p>
              </w:tc>
              <w:tc>
                <w:tcPr>
                  <w:tcW w:w="637" w:type="dxa"/>
                  <w:vMerge w:val="restart"/>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bCs/>
                      <w:color w:val="auto"/>
                      <w:szCs w:val="21"/>
                      <w:lang w:eastAsia="zh-CN"/>
                    </w:rPr>
                  </w:pPr>
                  <w:r>
                    <w:rPr>
                      <w:rFonts w:hint="default" w:ascii="Times New Roman" w:hAnsi="Times New Roman"/>
                      <w:bCs/>
                      <w:color w:val="auto"/>
                      <w:szCs w:val="21"/>
                    </w:rPr>
                    <w:t>直线</w:t>
                  </w:r>
                  <w:r>
                    <w:rPr>
                      <w:rFonts w:hint="eastAsia" w:ascii="Times New Roman" w:hAnsi="Times New Roman"/>
                      <w:bCs/>
                      <w:color w:val="auto"/>
                      <w:szCs w:val="21"/>
                      <w:lang w:eastAsia="zh-CN"/>
                    </w:rPr>
                    <w:t>加速器治疗室</w:t>
                  </w:r>
                </w:p>
              </w:tc>
              <w:tc>
                <w:tcPr>
                  <w:tcW w:w="1166" w:type="dxa"/>
                  <w:vMerge w:val="restart"/>
                  <w:tcMar>
                    <w:left w:w="57" w:type="dxa"/>
                    <w:right w:w="57" w:type="dxa"/>
                  </w:tcMar>
                  <w:vAlign w:val="center"/>
                </w:tcPr>
                <w:p>
                  <w:pPr>
                    <w:pStyle w:val="23"/>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设备、数量</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bCs/>
                      <w:color w:val="auto"/>
                      <w:szCs w:val="21"/>
                      <w:lang w:val="en-US" w:eastAsia="zh-CN"/>
                    </w:rPr>
                  </w:pPr>
                  <w:r>
                    <w:rPr>
                      <w:rFonts w:hint="eastAsia" w:ascii="Times New Roman" w:hAnsi="Times New Roman"/>
                      <w:bCs/>
                      <w:color w:val="auto"/>
                      <w:szCs w:val="21"/>
                      <w:lang w:val="en-US" w:eastAsia="zh-CN"/>
                    </w:rPr>
                    <w:t xml:space="preserve">  搬迁1</w:t>
                  </w:r>
                  <w:r>
                    <w:rPr>
                      <w:rFonts w:hint="default" w:ascii="Times New Roman" w:hAnsi="Times New Roman"/>
                      <w:bCs/>
                      <w:color w:val="auto"/>
                      <w:szCs w:val="21"/>
                    </w:rPr>
                    <w:t>台10MV</w:t>
                  </w:r>
                  <w:r>
                    <w:rPr>
                      <w:rFonts w:hint="eastAsia" w:ascii="Times New Roman" w:hAnsi="Times New Roman"/>
                      <w:bCs/>
                      <w:color w:val="auto"/>
                      <w:szCs w:val="21"/>
                      <w:lang w:eastAsia="zh-CN"/>
                    </w:rPr>
                    <w:t>直线加速器</w:t>
                  </w:r>
                  <w:r>
                    <w:rPr>
                      <w:rFonts w:hint="eastAsia" w:ascii="Times New Roman" w:hAnsi="Times New Roman"/>
                      <w:bCs/>
                      <w:color w:val="auto"/>
                      <w:szCs w:val="21"/>
                      <w:lang w:val="en-US" w:eastAsia="zh-CN"/>
                    </w:rPr>
                    <w:t>；新增</w:t>
                  </w:r>
                  <w:r>
                    <w:rPr>
                      <w:rFonts w:hint="default" w:ascii="Times New Roman" w:hAnsi="Times New Roman"/>
                      <w:bCs/>
                      <w:color w:val="auto"/>
                      <w:szCs w:val="21"/>
                    </w:rPr>
                    <w:t>10MV</w:t>
                  </w:r>
                  <w:r>
                    <w:rPr>
                      <w:rFonts w:hint="eastAsia" w:ascii="Times New Roman" w:hAnsi="Times New Roman"/>
                      <w:bCs/>
                      <w:color w:val="auto"/>
                      <w:szCs w:val="21"/>
                      <w:lang w:eastAsia="zh-CN"/>
                    </w:rPr>
                    <w:t>直线加速</w:t>
                  </w:r>
                  <w:r>
                    <w:rPr>
                      <w:rFonts w:hint="eastAsia" w:ascii="Times New Roman" w:hAnsi="Times New Roman"/>
                      <w:bCs/>
                      <w:color w:val="auto"/>
                      <w:szCs w:val="21"/>
                      <w:lang w:val="en-US" w:eastAsia="zh-CN"/>
                    </w:rPr>
                    <w:t>各一台</w:t>
                  </w:r>
                </w:p>
              </w:tc>
              <w:tc>
                <w:tcPr>
                  <w:tcW w:w="1162" w:type="dxa"/>
                  <w:vMerge w:val="restart"/>
                  <w:tcMar>
                    <w:left w:w="57"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p>
                <w:p>
                  <w:pPr>
                    <w:pStyle w:val="2"/>
                    <w:rPr>
                      <w:rFonts w:hint="default"/>
                      <w:color w:val="auto"/>
                      <w:sz w:val="21"/>
                      <w:szCs w:val="21"/>
                      <w:highlight w:val="none"/>
                    </w:rPr>
                  </w:pPr>
                </w:p>
                <w:p>
                  <w:pPr>
                    <w:pStyle w:val="2"/>
                    <w:rPr>
                      <w:rFonts w:hint="default"/>
                      <w:color w:val="auto"/>
                      <w:sz w:val="21"/>
                      <w:szCs w:val="21"/>
                      <w:highlight w:val="none"/>
                    </w:rPr>
                  </w:pPr>
                </w:p>
                <w:p>
                  <w:pPr>
                    <w:pStyle w:val="2"/>
                    <w:rPr>
                      <w:rFonts w:hint="default"/>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噪声、扬尘、固体废物已在《</w:t>
                  </w:r>
                  <w:r>
                    <w:rPr>
                      <w:rFonts w:hint="default" w:ascii="Times New Roman" w:hAnsi="Times New Roman" w:cs="Times New Roman"/>
                      <w:color w:val="auto"/>
                      <w:sz w:val="21"/>
                      <w:szCs w:val="21"/>
                      <w:highlight w:val="none"/>
                      <w:lang w:eastAsia="zh-CN"/>
                    </w:rPr>
                    <w:t>成都市第五人民医院</w:t>
                  </w:r>
                  <w:r>
                    <w:rPr>
                      <w:rFonts w:hint="default" w:ascii="Times New Roman" w:hAnsi="Times New Roman" w:cs="Times New Roman"/>
                      <w:color w:val="auto"/>
                      <w:sz w:val="21"/>
                      <w:szCs w:val="21"/>
                      <w:highlight w:val="none"/>
                      <w:lang w:val="en-US" w:eastAsia="zh-CN"/>
                    </w:rPr>
                    <w:t>门急诊住院综合楼配套工程</w:t>
                  </w:r>
                  <w:r>
                    <w:rPr>
                      <w:rFonts w:hint="eastAsia" w:ascii="Times New Roman" w:hAnsi="Times New Roman" w:cs="Times New Roman"/>
                      <w:color w:val="auto"/>
                      <w:sz w:val="21"/>
                      <w:szCs w:val="21"/>
                      <w:highlight w:val="none"/>
                      <w:lang w:val="en-US" w:eastAsia="zh-CN"/>
                    </w:rPr>
                    <w:t>（三期）</w:t>
                  </w:r>
                  <w:r>
                    <w:rPr>
                      <w:rFonts w:hint="default" w:ascii="Times New Roman" w:hAnsi="Times New Roman"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环境影响</w:t>
                  </w:r>
                  <w:r>
                    <w:rPr>
                      <w:rFonts w:hint="default" w:ascii="Times New Roman" w:hAnsi="Times New Roman" w:cs="Times New Roman"/>
                      <w:color w:val="auto"/>
                      <w:sz w:val="21"/>
                      <w:szCs w:val="21"/>
                      <w:highlight w:val="none"/>
                      <w:lang w:val="en-US" w:eastAsia="zh-CN"/>
                    </w:rPr>
                    <w:t>登记表</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备案登记号：202051011500000496</w:t>
                  </w:r>
                  <w:r>
                    <w:rPr>
                      <w:rFonts w:hint="default" w:ascii="Times New Roman" w:hAnsi="Times New Roman" w:cs="Times New Roman"/>
                      <w:color w:val="auto"/>
                      <w:sz w:val="21"/>
                      <w:szCs w:val="21"/>
                      <w:highlight w:val="none"/>
                    </w:rPr>
                    <w:t>）中进行了评价</w:t>
                  </w:r>
                  <w:r>
                    <w:rPr>
                      <w:rFonts w:hint="eastAsia" w:ascii="Times New Roman" w:hAnsi="Times New Roman" w:cs="Times New Roman"/>
                      <w:color w:val="auto"/>
                      <w:sz w:val="21"/>
                      <w:szCs w:val="21"/>
                      <w:highlight w:val="none"/>
                      <w:lang w:eastAsia="zh-CN"/>
                    </w:rPr>
                    <w:t>。</w:t>
                  </w:r>
                </w:p>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tcMar>
                    <w:left w:w="57" w:type="dxa"/>
                    <w:right w:w="57" w:type="dxa"/>
                  </w:tcMar>
                  <w:vAlign w:val="center"/>
                </w:tcPr>
                <w:p>
                  <w:pPr>
                    <w:pStyle w:val="7"/>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ascii="Times New Roman" w:hAnsi="Times New Roman"/>
                      <w:color w:val="auto"/>
                      <w:szCs w:val="21"/>
                    </w:rPr>
                    <w:t>X射线、电子线、</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臭氧、</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噪声</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2054"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color w:val="auto"/>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color w:val="auto"/>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color w:val="auto"/>
                    </w:rPr>
                  </w:pPr>
                </w:p>
              </w:tc>
              <w:tc>
                <w:tcPr>
                  <w:tcW w:w="1166"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color w:val="auto"/>
                    </w:rPr>
                  </w:pP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bCs/>
                      <w:color w:val="auto"/>
                      <w:szCs w:val="21"/>
                      <w:lang w:val="en-US" w:eastAsia="zh-CN"/>
                    </w:rPr>
                  </w:pPr>
                  <w:r>
                    <w:rPr>
                      <w:rFonts w:hint="eastAsia" w:ascii="Times New Roman" w:hAnsi="Times New Roman"/>
                      <w:bCs/>
                      <w:color w:val="auto"/>
                      <w:szCs w:val="21"/>
                      <w:lang w:val="en-US" w:eastAsia="zh-CN"/>
                    </w:rPr>
                    <w:t>新增</w:t>
                  </w:r>
                  <w:r>
                    <w:rPr>
                      <w:rFonts w:hint="default" w:ascii="Times New Roman" w:hAnsi="Times New Roman"/>
                      <w:bCs/>
                      <w:color w:val="auto"/>
                      <w:szCs w:val="21"/>
                    </w:rPr>
                    <w:t>1</w:t>
                  </w:r>
                  <w:r>
                    <w:rPr>
                      <w:rFonts w:hint="eastAsia" w:ascii="Times New Roman" w:hAnsi="Times New Roman"/>
                      <w:bCs/>
                      <w:color w:val="auto"/>
                      <w:szCs w:val="21"/>
                      <w:lang w:val="en-US" w:eastAsia="zh-CN"/>
                    </w:rPr>
                    <w:t>5</w:t>
                  </w:r>
                  <w:r>
                    <w:rPr>
                      <w:rFonts w:hint="default" w:ascii="Times New Roman" w:hAnsi="Times New Roman"/>
                      <w:bCs/>
                      <w:color w:val="auto"/>
                      <w:szCs w:val="21"/>
                    </w:rPr>
                    <w:t>MV</w:t>
                  </w:r>
                  <w:r>
                    <w:rPr>
                      <w:rFonts w:hint="eastAsia" w:ascii="Times New Roman" w:hAnsi="Times New Roman"/>
                      <w:bCs/>
                      <w:color w:val="auto"/>
                      <w:szCs w:val="21"/>
                      <w:lang w:eastAsia="zh-CN"/>
                    </w:rPr>
                    <w:t>直线加速器</w:t>
                  </w:r>
                  <w:r>
                    <w:rPr>
                      <w:rFonts w:hint="eastAsia" w:ascii="Times New Roman" w:hAnsi="Times New Roman"/>
                      <w:bCs/>
                      <w:color w:val="auto"/>
                      <w:szCs w:val="21"/>
                      <w:lang w:val="en-US" w:eastAsia="zh-CN"/>
                    </w:rPr>
                    <w:t>一台</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bCs/>
                      <w:color w:val="auto"/>
                      <w:szCs w:val="21"/>
                      <w:lang w:val="en-US" w:eastAsia="zh-CN"/>
                    </w:rPr>
                  </w:pPr>
                </w:p>
              </w:tc>
              <w:tc>
                <w:tcPr>
                  <w:tcW w:w="1055" w:type="dxa"/>
                  <w:tcMar>
                    <w:left w:w="57" w:type="dxa"/>
                    <w:right w:w="57" w:type="dxa"/>
                  </w:tcMar>
                  <w:vAlign w:val="center"/>
                </w:tcPr>
                <w:p>
                  <w:pPr>
                    <w:pStyle w:val="7"/>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default" w:ascii="Times New Roman" w:hAnsi="Times New Roman"/>
                      <w:color w:val="auto"/>
                      <w:szCs w:val="21"/>
                    </w:rPr>
                    <w:t>X射线、电子线、</w:t>
                  </w:r>
                  <w:r>
                    <w:rPr>
                      <w:rFonts w:hint="eastAsia" w:ascii="Times New Roman" w:hAnsi="Times New Roman"/>
                      <w:color w:val="auto"/>
                      <w:szCs w:val="21"/>
                      <w:lang w:val="en-US" w:eastAsia="zh-CN"/>
                    </w:rPr>
                    <w:t>β</w:t>
                  </w:r>
                  <w:r>
                    <w:rPr>
                      <w:rFonts w:hint="default" w:ascii="Times New Roman" w:hAnsi="Times New Roman"/>
                      <w:color w:val="auto"/>
                      <w:szCs w:val="21"/>
                    </w:rPr>
                    <w:t>射线</w:t>
                  </w:r>
                  <w:r>
                    <w:rPr>
                      <w:rFonts w:hint="eastAsia" w:ascii="Times New Roman" w:hAnsi="Times New Roman"/>
                      <w:color w:val="auto"/>
                      <w:szCs w:val="21"/>
                      <w:lang w:eastAsia="zh-CN"/>
                    </w:rPr>
                    <w:t>、</w:t>
                  </w:r>
                </w:p>
                <w:p>
                  <w:pPr>
                    <w:pStyle w:val="7"/>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中子、</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color w:val="auto"/>
                      <w:lang w:val="en-US" w:eastAsia="zh-CN"/>
                    </w:rPr>
                    <w:t>感生放射性、</w:t>
                  </w:r>
                  <w:r>
                    <w:rPr>
                      <w:rFonts w:hint="default" w:ascii="Times New Roman" w:hAnsi="Times New Roman"/>
                      <w:color w:val="auto"/>
                      <w:szCs w:val="21"/>
                    </w:rPr>
                    <w:t>臭氧、</w:t>
                  </w:r>
                </w:p>
                <w:p>
                  <w:pPr>
                    <w:keepNext w:val="0"/>
                    <w:keepLines w:val="0"/>
                    <w:suppressLineNumbers w:val="0"/>
                    <w:spacing w:before="0" w:beforeAutospacing="0" w:after="0" w:afterAutospacing="0"/>
                    <w:ind w:left="0" w:right="0"/>
                    <w:jc w:val="center"/>
                    <w:rPr>
                      <w:rFonts w:hint="eastAsia" w:ascii="Times New Roman" w:hAnsi="Times New Roman"/>
                      <w:bCs/>
                      <w:color w:val="auto"/>
                      <w:szCs w:val="21"/>
                      <w:lang w:val="en-US" w:eastAsia="zh-CN"/>
                    </w:rPr>
                  </w:pPr>
                  <w:r>
                    <w:rPr>
                      <w:rFonts w:hint="default" w:ascii="Times New Roman" w:hAnsi="Times New Roman"/>
                      <w:color w:val="auto"/>
                      <w:szCs w:val="21"/>
                    </w:rPr>
                    <w:t>噪声</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889"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tcMar>
                    <w:left w:w="57" w:type="dxa"/>
                    <w:right w:w="57" w:type="dxa"/>
                  </w:tcMar>
                  <w:vAlign w:val="center"/>
                </w:tcPr>
                <w:p>
                  <w:pPr>
                    <w:pStyle w:val="23"/>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设备型号</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eastAsia" w:ascii="Times New Roman" w:hAnsi="Times New Roman"/>
                      <w:bCs/>
                      <w:color w:val="auto"/>
                      <w:szCs w:val="21"/>
                      <w:lang w:val="en-US" w:eastAsia="zh-CN"/>
                    </w:rPr>
                    <w:t>搬迁1台</w:t>
                  </w:r>
                  <w:r>
                    <w:rPr>
                      <w:rFonts w:hint="default" w:ascii="Times New Roman" w:hAnsi="Times New Roman"/>
                      <w:bCs/>
                      <w:color w:val="auto"/>
                      <w:szCs w:val="21"/>
                    </w:rPr>
                    <w:t>10MV</w:t>
                  </w:r>
                  <w:r>
                    <w:rPr>
                      <w:rFonts w:hint="eastAsia" w:ascii="Times New Roman" w:hAnsi="Times New Roman"/>
                      <w:bCs/>
                      <w:color w:val="auto"/>
                      <w:szCs w:val="21"/>
                      <w:lang w:eastAsia="zh-CN"/>
                    </w:rPr>
                    <w:t>直线加速器</w:t>
                  </w:r>
                  <w:r>
                    <w:rPr>
                      <w:rFonts w:hint="default" w:ascii="Times New Roman" w:hAnsi="Times New Roman" w:cs="Times New Roman"/>
                      <w:color w:val="auto"/>
                      <w:sz w:val="21"/>
                      <w:szCs w:val="21"/>
                      <w:highlight w:val="none"/>
                    </w:rPr>
                    <w:t>型号</w:t>
                  </w:r>
                  <w:r>
                    <w:rPr>
                      <w:rFonts w:hint="eastAsia" w:ascii="Times New Roman" w:hAnsi="Times New Roman" w:cs="Times New Roman"/>
                      <w:color w:val="auto"/>
                      <w:sz w:val="21"/>
                      <w:szCs w:val="21"/>
                      <w:highlight w:val="none"/>
                      <w:lang w:val="en-US" w:eastAsia="zh-CN"/>
                    </w:rPr>
                    <w:t>为ClincCX、</w:t>
                  </w:r>
                  <w:r>
                    <w:rPr>
                      <w:rFonts w:hint="eastAsia" w:ascii="Times New Roman" w:hAnsi="Times New Roman"/>
                      <w:bCs/>
                      <w:color w:val="auto"/>
                      <w:szCs w:val="21"/>
                      <w:lang w:val="en-US" w:eastAsia="zh-CN"/>
                    </w:rPr>
                    <w:t>新增</w:t>
                  </w:r>
                  <w:r>
                    <w:rPr>
                      <w:rFonts w:hint="default" w:ascii="Times New Roman" w:hAnsi="Times New Roman"/>
                      <w:bCs/>
                      <w:color w:val="auto"/>
                      <w:szCs w:val="21"/>
                    </w:rPr>
                    <w:t>10MV</w:t>
                  </w:r>
                  <w:r>
                    <w:rPr>
                      <w:rFonts w:hint="eastAsia" w:ascii="Times New Roman" w:hAnsi="Times New Roman"/>
                      <w:bCs/>
                      <w:color w:val="auto"/>
                      <w:szCs w:val="21"/>
                      <w:lang w:val="en-US" w:eastAsia="zh-CN"/>
                    </w:rPr>
                    <w:t>、</w:t>
                  </w:r>
                  <w:r>
                    <w:rPr>
                      <w:rFonts w:hint="default" w:ascii="Times New Roman" w:hAnsi="Times New Roman"/>
                      <w:bCs/>
                      <w:color w:val="auto"/>
                      <w:szCs w:val="21"/>
                    </w:rPr>
                    <w:t>1</w:t>
                  </w:r>
                  <w:r>
                    <w:rPr>
                      <w:rFonts w:hint="eastAsia" w:ascii="Times New Roman" w:hAnsi="Times New Roman"/>
                      <w:bCs/>
                      <w:color w:val="auto"/>
                      <w:szCs w:val="21"/>
                      <w:lang w:val="en-US" w:eastAsia="zh-CN"/>
                    </w:rPr>
                    <w:t>5</w:t>
                  </w:r>
                  <w:r>
                    <w:rPr>
                      <w:rFonts w:hint="default" w:ascii="Times New Roman" w:hAnsi="Times New Roman"/>
                      <w:bCs/>
                      <w:color w:val="auto"/>
                      <w:szCs w:val="21"/>
                    </w:rPr>
                    <w:t>MV</w:t>
                  </w:r>
                  <w:r>
                    <w:rPr>
                      <w:rFonts w:hint="eastAsia" w:ascii="Times New Roman" w:hAnsi="Times New Roman"/>
                      <w:bCs/>
                      <w:color w:val="auto"/>
                      <w:szCs w:val="21"/>
                      <w:lang w:eastAsia="zh-CN"/>
                    </w:rPr>
                    <w:t>直线加速器</w:t>
                  </w:r>
                  <w:r>
                    <w:rPr>
                      <w:rFonts w:hint="eastAsia" w:ascii="Times New Roman" w:hAnsi="Times New Roman"/>
                      <w:bCs/>
                      <w:color w:val="auto"/>
                      <w:szCs w:val="21"/>
                      <w:lang w:val="en-US" w:eastAsia="zh-CN"/>
                    </w:rPr>
                    <w:t>各一台，型号</w:t>
                  </w:r>
                  <w:r>
                    <w:rPr>
                      <w:rFonts w:hint="default" w:ascii="Times New Roman" w:hAnsi="Times New Roman"/>
                      <w:color w:val="auto"/>
                      <w:szCs w:val="21"/>
                    </w:rPr>
                    <w:t>待定</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restart"/>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Cs w:val="21"/>
                      <w:lang w:val="en-US" w:eastAsia="zh-CN"/>
                    </w:rPr>
                  </w:pPr>
                </w:p>
                <w:p>
                  <w:pPr>
                    <w:keepNext w:val="0"/>
                    <w:keepLines w:val="0"/>
                    <w:suppressLineNumbers w:val="0"/>
                    <w:spacing w:before="0" w:beforeAutospacing="0" w:after="0" w:afterAutospacing="0"/>
                    <w:ind w:left="0" w:right="0"/>
                    <w:jc w:val="center"/>
                    <w:rPr>
                      <w:rFonts w:hint="eastAsia" w:ascii="Times New Roman" w:hAnsi="Times New Roman"/>
                      <w:color w:val="auto"/>
                      <w:szCs w:val="21"/>
                      <w:lang w:val="en-US" w:eastAsia="zh-CN"/>
                    </w:rPr>
                  </w:pPr>
                </w:p>
                <w:p>
                  <w:pPr>
                    <w:keepNext w:val="0"/>
                    <w:keepLines w:val="0"/>
                    <w:suppressLineNumbers w:val="0"/>
                    <w:spacing w:before="0" w:beforeAutospacing="0" w:after="0" w:afterAutospacing="0"/>
                    <w:ind w:left="0" w:right="0"/>
                    <w:jc w:val="center"/>
                    <w:rPr>
                      <w:rFonts w:hint="eastAsia" w:ascii="Times New Roman" w:hAnsi="Times New Roman"/>
                      <w:color w:val="auto"/>
                      <w:szCs w:val="21"/>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管理类别</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default" w:ascii="Times New Roman" w:hAnsi="Times New Roman"/>
                      <w:bCs/>
                      <w:color w:val="auto"/>
                      <w:szCs w:val="21"/>
                    </w:rPr>
                    <w:t xml:space="preserve">Ⅱ类 </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889"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使用场所</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门急诊住院综合楼</w:t>
                  </w:r>
                  <w:r>
                    <w:rPr>
                      <w:rFonts w:hint="eastAsia" w:ascii="Times New Roman" w:hAnsi="Times New Roman" w:cs="Times New Roman"/>
                      <w:color w:val="auto"/>
                      <w:sz w:val="21"/>
                      <w:szCs w:val="21"/>
                      <w:highlight w:val="none"/>
                      <w:lang w:val="en-US" w:eastAsia="zh-CN"/>
                    </w:rPr>
                    <w:t>配套工程（三期）</w:t>
                  </w:r>
                  <w:r>
                    <w:rPr>
                      <w:rFonts w:hint="eastAsia" w:ascii="Times New Roman" w:hAnsi="Times New Roman" w:cs="Times New Roman"/>
                      <w:color w:val="auto"/>
                      <w:sz w:val="21"/>
                      <w:szCs w:val="21"/>
                      <w:highlight w:val="none"/>
                      <w:lang w:eastAsia="zh-CN"/>
                    </w:rPr>
                    <w:t>负三层</w:t>
                  </w:r>
                </w:p>
                <w:p>
                  <w:pPr>
                    <w:keepNext w:val="0"/>
                    <w:keepLines w:val="0"/>
                    <w:suppressLineNumbers w:val="0"/>
                    <w:spacing w:before="0" w:beforeAutospacing="0" w:after="0" w:afterAutospacing="0"/>
                    <w:ind w:left="0" w:right="0"/>
                    <w:jc w:val="center"/>
                    <w:rPr>
                      <w:rFonts w:hint="default" w:ascii="Times New Roman" w:hAnsi="Times New Roman" w:eastAsia="宋体"/>
                      <w:bCs/>
                      <w:color w:val="auto"/>
                      <w:szCs w:val="21"/>
                      <w:lang w:val="en-US" w:eastAsia="zh-CN"/>
                    </w:rPr>
                  </w:pPr>
                  <w:r>
                    <w:rPr>
                      <w:rFonts w:hint="eastAsia" w:ascii="Times New Roman" w:hAnsi="Times New Roman"/>
                      <w:bCs/>
                      <w:color w:val="auto"/>
                      <w:szCs w:val="21"/>
                      <w:lang w:val="en-US" w:eastAsia="zh-CN"/>
                    </w:rPr>
                    <w:t>放疗中心1#、2#、3#加速器治疗室</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年曝光时间</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eastAsia" w:ascii="Times New Roman" w:hAnsi="Times New Roman" w:cs="Times New Roman"/>
                      <w:bCs/>
                      <w:color w:val="auto"/>
                      <w:sz w:val="21"/>
                      <w:szCs w:val="21"/>
                      <w:highlight w:val="none"/>
                      <w:lang w:val="en-US" w:eastAsia="zh-CN"/>
                    </w:rPr>
                    <w:t>750</w:t>
                  </w:r>
                  <w:r>
                    <w:rPr>
                      <w:rFonts w:hint="default" w:ascii="Times New Roman" w:hAnsi="Times New Roman" w:cs="Times New Roman"/>
                      <w:bCs/>
                      <w:color w:val="auto"/>
                      <w:sz w:val="21"/>
                      <w:szCs w:val="21"/>
                      <w:highlight w:val="none"/>
                    </w:rPr>
                    <w:t>h/台</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vMerge w:val="restart"/>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bCs/>
                      <w:color w:val="auto"/>
                      <w:szCs w:val="21"/>
                      <w:lang w:val="en-US" w:eastAsia="zh-CN"/>
                    </w:rPr>
                    <w:t>2台</w:t>
                  </w:r>
                  <w:r>
                    <w:rPr>
                      <w:rFonts w:hint="default" w:ascii="Times New Roman" w:hAnsi="Times New Roman"/>
                      <w:bCs/>
                      <w:color w:val="auto"/>
                      <w:szCs w:val="21"/>
                    </w:rPr>
                    <w:t>10MV</w:t>
                  </w:r>
                  <w:r>
                    <w:rPr>
                      <w:rFonts w:hint="eastAsia" w:ascii="Times New Roman" w:hAnsi="Times New Roman"/>
                      <w:bCs/>
                      <w:color w:val="auto"/>
                      <w:szCs w:val="21"/>
                      <w:lang w:val="en-US" w:eastAsia="zh-CN"/>
                    </w:rPr>
                    <w:t>直线加速器</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default" w:ascii="Times New Roman" w:hAnsi="Times New Roman"/>
                      <w:color w:val="auto"/>
                      <w:szCs w:val="21"/>
                    </w:rPr>
                    <w:t>X射线1m处剂量率为</w:t>
                  </w:r>
                  <w:r>
                    <w:rPr>
                      <w:rFonts w:hint="eastAsia" w:ascii="Times New Roman" w:hAnsi="Times New Roman"/>
                      <w:color w:val="auto"/>
                      <w:szCs w:val="21"/>
                    </w:rPr>
                    <w:t>6</w:t>
                  </w:r>
                  <w:r>
                    <w:rPr>
                      <w:rFonts w:hint="default" w:ascii="Times New Roman" w:hAnsi="Times New Roman"/>
                      <w:color w:val="auto"/>
                      <w:szCs w:val="21"/>
                    </w:rPr>
                    <w:t>Gy/min</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default" w:ascii="Times New Roman" w:hAnsi="Times New Roman"/>
                      <w:color w:val="auto"/>
                      <w:szCs w:val="21"/>
                    </w:rPr>
                    <w:t>电子</w:t>
                  </w:r>
                  <w:r>
                    <w:rPr>
                      <w:rFonts w:hint="eastAsia" w:ascii="Times New Roman" w:hAnsi="Times New Roman"/>
                      <w:color w:val="auto"/>
                      <w:szCs w:val="21"/>
                      <w:lang w:val="en-US" w:eastAsia="zh-CN"/>
                    </w:rPr>
                    <w:t>线</w:t>
                  </w:r>
                  <w:r>
                    <w:rPr>
                      <w:rFonts w:hint="default" w:ascii="Times New Roman" w:hAnsi="Times New Roman"/>
                      <w:color w:val="auto"/>
                      <w:szCs w:val="21"/>
                    </w:rPr>
                    <w:t>1m处剂量率为</w:t>
                  </w:r>
                  <w:r>
                    <w:rPr>
                      <w:rFonts w:hint="eastAsia" w:ascii="Times New Roman" w:hAnsi="Times New Roman"/>
                      <w:color w:val="auto"/>
                      <w:szCs w:val="21"/>
                      <w:lang w:val="en-US" w:eastAsia="zh-CN"/>
                    </w:rPr>
                    <w:t>6</w:t>
                  </w:r>
                  <w:r>
                    <w:rPr>
                      <w:rFonts w:hint="default" w:ascii="Times New Roman" w:hAnsi="Times New Roman"/>
                      <w:color w:val="auto"/>
                      <w:szCs w:val="21"/>
                    </w:rPr>
                    <w:t>Gy/min</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8"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vMerge w:val="restart"/>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val="en-US" w:eastAsia="zh-CN"/>
                    </w:rPr>
                    <w:t>1台15</w:t>
                  </w:r>
                  <w:r>
                    <w:rPr>
                      <w:rFonts w:hint="default" w:ascii="Times New Roman" w:hAnsi="Times New Roman"/>
                      <w:bCs/>
                      <w:color w:val="auto"/>
                      <w:szCs w:val="21"/>
                    </w:rPr>
                    <w:t>MV</w:t>
                  </w:r>
                  <w:r>
                    <w:rPr>
                      <w:rFonts w:hint="eastAsia" w:ascii="Times New Roman" w:hAnsi="Times New Roman"/>
                      <w:bCs/>
                      <w:color w:val="auto"/>
                      <w:szCs w:val="21"/>
                      <w:lang w:val="en-US" w:eastAsia="zh-CN"/>
                    </w:rPr>
                    <w:t>直线加速器</w:t>
                  </w:r>
                </w:p>
              </w:tc>
              <w:tc>
                <w:tcPr>
                  <w:tcW w:w="3239" w:type="dxa"/>
                  <w:tcMar>
                    <w:left w:w="57"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rPr>
                  </w:pPr>
                  <w:r>
                    <w:rPr>
                      <w:rFonts w:hint="default" w:ascii="Times New Roman" w:hAnsi="Times New Roman" w:eastAsia="宋体" w:cs="Times New Roman"/>
                      <w:color w:val="auto"/>
                      <w:sz w:val="21"/>
                      <w:szCs w:val="21"/>
                      <w:highlight w:val="none"/>
                    </w:rPr>
                    <w:t>X射线1m处剂量率为</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4Gy/min</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3239" w:type="dxa"/>
                  <w:tcMar>
                    <w:left w:w="57"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rPr>
                  </w:pPr>
                  <w:r>
                    <w:rPr>
                      <w:rFonts w:hint="default" w:ascii="Times New Roman" w:hAnsi="Times New Roman" w:eastAsia="宋体" w:cs="Times New Roman"/>
                      <w:color w:val="auto"/>
                      <w:sz w:val="21"/>
                      <w:szCs w:val="21"/>
                      <w:highlight w:val="none"/>
                    </w:rPr>
                    <w:t>电子束1m处剂量率为10Gy/min</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主射方向</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both"/>
                    <w:rPr>
                      <w:rFonts w:hint="default" w:ascii="Times New Roman" w:hAnsi="Times New Roman"/>
                      <w:bCs/>
                      <w:color w:val="auto"/>
                      <w:szCs w:val="21"/>
                      <w:lang w:val="en-US"/>
                    </w:rPr>
                  </w:pPr>
                  <w:r>
                    <w:rPr>
                      <w:rFonts w:hint="eastAsia" w:ascii="Times New Roman" w:hAnsi="Times New Roman" w:cs="Times New Roman"/>
                      <w:color w:val="auto"/>
                      <w:sz w:val="21"/>
                      <w:szCs w:val="21"/>
                      <w:highlight w:val="none"/>
                      <w:lang w:val="en-US" w:eastAsia="zh-CN"/>
                    </w:rPr>
                    <w:t>东北部、西南部、顶部、底部</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restart"/>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bCs/>
                      <w:color w:val="auto"/>
                      <w:szCs w:val="21"/>
                      <w:lang w:eastAsia="zh-CN"/>
                    </w:rPr>
                  </w:pPr>
                  <w:r>
                    <w:rPr>
                      <w:rFonts w:hint="eastAsia" w:ascii="Times New Roman" w:hAnsi="Times New Roman"/>
                      <w:bCs/>
                      <w:color w:val="auto"/>
                      <w:szCs w:val="21"/>
                      <w:lang w:eastAsia="zh-CN"/>
                    </w:rPr>
                    <w:t>后装治疗室</w:t>
                  </w:r>
                </w:p>
              </w:tc>
              <w:tc>
                <w:tcPr>
                  <w:tcW w:w="1166" w:type="dxa"/>
                  <w:tcMar>
                    <w:left w:w="57" w:type="dxa"/>
                    <w:right w:w="57" w:type="dxa"/>
                  </w:tcMar>
                  <w:vAlign w:val="center"/>
                </w:tcPr>
                <w:p>
                  <w:pPr>
                    <w:pStyle w:val="23"/>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放射源数量</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default" w:ascii="Times New Roman" w:hAnsi="Times New Roman"/>
                      <w:bCs/>
                      <w:color w:val="auto"/>
                      <w:szCs w:val="21"/>
                    </w:rPr>
                    <w:t>1枚</w:t>
                  </w:r>
                  <w:r>
                    <w:rPr>
                      <w:rFonts w:hint="default" w:ascii="Times New Roman" w:hAnsi="Times New Roman"/>
                      <w:bCs/>
                      <w:color w:val="auto"/>
                      <w:szCs w:val="21"/>
                      <w:vertAlign w:val="superscript"/>
                    </w:rPr>
                    <w:t>192</w:t>
                  </w:r>
                  <w:r>
                    <w:rPr>
                      <w:rFonts w:hint="default" w:ascii="Times New Roman" w:hAnsi="Times New Roman"/>
                      <w:bCs/>
                      <w:color w:val="auto"/>
                      <w:szCs w:val="21"/>
                    </w:rPr>
                    <w:t>Ir放射源</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restart"/>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γ射线、</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臭氧、噪声、废放射源</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tcMar>
                    <w:left w:w="57" w:type="dxa"/>
                    <w:right w:w="57" w:type="dxa"/>
                  </w:tcMar>
                  <w:vAlign w:val="center"/>
                </w:tcPr>
                <w:p>
                  <w:pPr>
                    <w:pStyle w:val="23"/>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放射源活度</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default" w:ascii="Times New Roman" w:hAnsi="Times New Roman"/>
                      <w:bCs/>
                      <w:color w:val="auto"/>
                      <w:szCs w:val="21"/>
                    </w:rPr>
                    <w:t>3.7×10</w:t>
                  </w:r>
                  <w:r>
                    <w:rPr>
                      <w:rFonts w:hint="default" w:ascii="Times New Roman" w:hAnsi="Times New Roman"/>
                      <w:bCs/>
                      <w:color w:val="auto"/>
                      <w:szCs w:val="21"/>
                      <w:vertAlign w:val="superscript"/>
                    </w:rPr>
                    <w:t>11</w:t>
                  </w:r>
                  <w:r>
                    <w:rPr>
                      <w:rFonts w:hint="default" w:ascii="Times New Roman" w:hAnsi="Times New Roman"/>
                      <w:bCs/>
                      <w:color w:val="auto"/>
                      <w:szCs w:val="21"/>
                    </w:rPr>
                    <w:t>Bq</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vMerge w:val="continue"/>
                  <w:tcBorders>
                    <w:bottom w:val="single" w:color="auto" w:sz="4"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Borders>
                    <w:bottom w:val="single" w:color="auto" w:sz="4" w:space="0"/>
                  </w:tcBorders>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Borders>
                    <w:bottom w:val="single" w:color="auto" w:sz="4"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放射源种类</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default" w:ascii="Times New Roman" w:hAnsi="Times New Roman"/>
                      <w:bCs/>
                      <w:color w:val="auto"/>
                      <w:szCs w:val="21"/>
                    </w:rPr>
                    <w:fldChar w:fldCharType="begin"/>
                  </w:r>
                  <w:r>
                    <w:rPr>
                      <w:rFonts w:hint="default" w:ascii="Times New Roman" w:hAnsi="Times New Roman"/>
                      <w:bCs/>
                      <w:color w:val="auto"/>
                      <w:szCs w:val="21"/>
                    </w:rPr>
                    <w:instrText xml:space="preserve"> = 3 \* ROMAN \* MERGEFORMAT </w:instrText>
                  </w:r>
                  <w:r>
                    <w:rPr>
                      <w:rFonts w:hint="default" w:ascii="Times New Roman" w:hAnsi="Times New Roman"/>
                      <w:bCs/>
                      <w:color w:val="auto"/>
                      <w:szCs w:val="21"/>
                    </w:rPr>
                    <w:fldChar w:fldCharType="separate"/>
                  </w:r>
                  <w:r>
                    <w:rPr>
                      <w:rFonts w:hint="default" w:ascii="Times New Roman" w:hAnsi="Times New Roman"/>
                      <w:bCs/>
                      <w:color w:val="auto"/>
                      <w:szCs w:val="21"/>
                    </w:rPr>
                    <w:t>III</w:t>
                  </w:r>
                  <w:r>
                    <w:rPr>
                      <w:rFonts w:hint="default" w:ascii="Times New Roman" w:hAnsi="Times New Roman"/>
                      <w:bCs/>
                      <w:color w:val="auto"/>
                      <w:szCs w:val="21"/>
                    </w:rPr>
                    <w:fldChar w:fldCharType="end"/>
                  </w:r>
                  <w:r>
                    <w:rPr>
                      <w:rFonts w:hint="default" w:ascii="Times New Roman" w:hAnsi="Times New Roman"/>
                      <w:bCs/>
                      <w:color w:val="auto"/>
                      <w:szCs w:val="21"/>
                    </w:rPr>
                    <w:t>类源</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597"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使用场所</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门急诊住院综合楼</w:t>
                  </w:r>
                  <w:r>
                    <w:rPr>
                      <w:rFonts w:hint="eastAsia" w:ascii="Times New Roman" w:hAnsi="Times New Roman" w:cs="Times New Roman"/>
                      <w:color w:val="auto"/>
                      <w:sz w:val="21"/>
                      <w:szCs w:val="21"/>
                      <w:highlight w:val="none"/>
                      <w:lang w:val="en-US" w:eastAsia="zh-CN"/>
                    </w:rPr>
                    <w:t>配套工程（三期）</w:t>
                  </w:r>
                  <w:r>
                    <w:rPr>
                      <w:rFonts w:hint="eastAsia" w:ascii="Times New Roman" w:hAnsi="Times New Roman" w:cs="Times New Roman"/>
                      <w:color w:val="auto"/>
                      <w:sz w:val="21"/>
                      <w:szCs w:val="21"/>
                      <w:highlight w:val="none"/>
                      <w:lang w:eastAsia="zh-CN"/>
                    </w:rPr>
                    <w:t>负三层</w:t>
                  </w:r>
                </w:p>
                <w:p>
                  <w:pPr>
                    <w:keepNext w:val="0"/>
                    <w:keepLines w:val="0"/>
                    <w:suppressLineNumbers w:val="0"/>
                    <w:spacing w:before="0" w:beforeAutospacing="0" w:after="0" w:afterAutospacing="0"/>
                    <w:ind w:left="0" w:right="0"/>
                    <w:jc w:val="center"/>
                    <w:rPr>
                      <w:rFonts w:hint="eastAsia" w:ascii="Times New Roman" w:hAnsi="Times New Roman" w:eastAsia="宋体"/>
                      <w:bCs/>
                      <w:color w:val="auto"/>
                      <w:szCs w:val="21"/>
                      <w:lang w:eastAsia="zh-CN"/>
                    </w:rPr>
                  </w:pPr>
                  <w:r>
                    <w:rPr>
                      <w:rFonts w:hint="eastAsia" w:ascii="Times New Roman" w:hAnsi="Times New Roman"/>
                      <w:bCs/>
                      <w:color w:val="auto"/>
                      <w:szCs w:val="21"/>
                    </w:rPr>
                    <w:t>后装</w:t>
                  </w:r>
                  <w:r>
                    <w:rPr>
                      <w:rFonts w:hint="eastAsia" w:ascii="Times New Roman" w:hAnsi="Times New Roman"/>
                      <w:bCs/>
                      <w:color w:val="auto"/>
                      <w:szCs w:val="21"/>
                      <w:lang w:val="en-US" w:eastAsia="zh-CN"/>
                    </w:rPr>
                    <w:t>治疗室</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597"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577"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ascii="Times New Roman" w:hAnsi="Times New Roman"/>
                      <w:bCs/>
                      <w:color w:val="auto"/>
                      <w:szCs w:val="21"/>
                    </w:rPr>
                  </w:pPr>
                </w:p>
              </w:tc>
              <w:tc>
                <w:tcPr>
                  <w:tcW w:w="637"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p>
              </w:tc>
              <w:tc>
                <w:tcPr>
                  <w:tcW w:w="1166"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年</w:t>
                  </w:r>
                  <w:r>
                    <w:rPr>
                      <w:rFonts w:hint="eastAsia" w:ascii="Times New Roman" w:hAnsi="Times New Roman"/>
                      <w:color w:val="auto"/>
                      <w:szCs w:val="21"/>
                      <w:lang w:val="en-US" w:eastAsia="zh-CN"/>
                    </w:rPr>
                    <w:t>出源治疗</w:t>
                  </w:r>
                  <w:r>
                    <w:rPr>
                      <w:rFonts w:hint="default" w:ascii="Times New Roman" w:hAnsi="Times New Roman"/>
                      <w:color w:val="auto"/>
                      <w:szCs w:val="21"/>
                    </w:rPr>
                    <w:t>时间</w:t>
                  </w:r>
                </w:p>
              </w:tc>
              <w:tc>
                <w:tcPr>
                  <w:tcW w:w="323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eastAsia" w:ascii="Times New Roman" w:hAnsi="Times New Roman"/>
                      <w:bCs/>
                      <w:color w:val="auto"/>
                      <w:szCs w:val="21"/>
                      <w:lang w:val="en-US" w:eastAsia="zh-CN"/>
                    </w:rPr>
                    <w:t>130h</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tcBorders>
                    <w:bottom w:val="single" w:color="000000" w:sz="6"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辅助工程</w:t>
                  </w:r>
                </w:p>
              </w:tc>
              <w:tc>
                <w:tcPr>
                  <w:tcW w:w="5619" w:type="dxa"/>
                  <w:gridSpan w:val="4"/>
                  <w:tcBorders>
                    <w:bottom w:val="single" w:color="000000" w:sz="6"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auto"/>
                      <w:szCs w:val="21"/>
                    </w:rPr>
                  </w:pPr>
                  <w:r>
                    <w:rPr>
                      <w:rFonts w:hint="default" w:ascii="Times New Roman" w:hAnsi="Times New Roman"/>
                      <w:color w:val="auto"/>
                      <w:szCs w:val="21"/>
                    </w:rPr>
                    <w:t>控制室、水冷</w:t>
                  </w:r>
                  <w:r>
                    <w:rPr>
                      <w:rFonts w:hint="eastAsia" w:ascii="Times New Roman" w:hAnsi="Times New Roman"/>
                      <w:color w:val="auto"/>
                      <w:szCs w:val="21"/>
                      <w:lang w:val="en-US" w:eastAsia="zh-CN"/>
                    </w:rPr>
                    <w:t>机房、空调机房</w:t>
                  </w:r>
                  <w:r>
                    <w:rPr>
                      <w:rFonts w:hint="default" w:ascii="Times New Roman" w:hAnsi="Times New Roman"/>
                      <w:color w:val="auto"/>
                      <w:szCs w:val="21"/>
                    </w:rPr>
                    <w:t>等</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aps/>
                      <w:color w:val="auto"/>
                      <w:szCs w:val="21"/>
                    </w:rPr>
                  </w:pPr>
                </w:p>
              </w:tc>
              <w:tc>
                <w:tcPr>
                  <w:tcW w:w="1055" w:type="dxa"/>
                  <w:vMerge w:val="restart"/>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生活垃圾、生活污水</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306" w:hRule="atLeast"/>
                <w:jc w:val="center"/>
              </w:trPr>
              <w:tc>
                <w:tcPr>
                  <w:tcW w:w="1060"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公用工程</w:t>
                  </w:r>
                </w:p>
              </w:tc>
              <w:tc>
                <w:tcPr>
                  <w:tcW w:w="5619" w:type="dxa"/>
                  <w:gridSpan w:val="4"/>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候诊区、过道</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firstLine="630" w:firstLineChars="300"/>
                    <w:jc w:val="center"/>
                    <w:rPr>
                      <w:rFonts w:hint="default" w:ascii="Times New Roman" w:hAnsi="Times New Roman"/>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889" w:hRule="atLeast"/>
                <w:jc w:val="center"/>
              </w:trPr>
              <w:tc>
                <w:tcPr>
                  <w:tcW w:w="1060" w:type="dxa"/>
                  <w:vMerge w:val="restart"/>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依托工程</w:t>
                  </w:r>
                </w:p>
              </w:tc>
              <w:tc>
                <w:tcPr>
                  <w:tcW w:w="121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s="Times New Roman"/>
                      <w:color w:val="auto"/>
                      <w:szCs w:val="21"/>
                      <w:highlight w:val="none"/>
                      <w:lang w:val="en-US" w:eastAsia="zh-CN"/>
                    </w:rPr>
                    <w:t>模拟定位</w:t>
                  </w:r>
                </w:p>
              </w:tc>
              <w:tc>
                <w:tcPr>
                  <w:tcW w:w="4405" w:type="dxa"/>
                  <w:gridSpan w:val="2"/>
                  <w:tcMar>
                    <w:left w:w="57" w:type="dxa"/>
                    <w:right w:w="57" w:type="dxa"/>
                  </w:tcMar>
                  <w:vAlign w:val="center"/>
                </w:tcPr>
                <w:p>
                  <w:pPr>
                    <w:keepNext w:val="0"/>
                    <w:keepLines w:val="0"/>
                    <w:suppressLineNumbers w:val="0"/>
                    <w:spacing w:before="0" w:beforeAutospacing="0" w:after="0" w:afterAutospacing="0"/>
                    <w:ind w:left="0" w:right="0"/>
                    <w:jc w:val="left"/>
                    <w:rPr>
                      <w:rFonts w:hint="default" w:ascii="Times New Roman" w:hAnsi="Times New Roman"/>
                      <w:color w:val="auto"/>
                      <w:szCs w:val="21"/>
                    </w:rPr>
                  </w:pPr>
                  <w:r>
                    <w:rPr>
                      <w:rFonts w:hint="default" w:ascii="Times New Roman" w:hAnsi="Times New Roman" w:cs="Times New Roman"/>
                      <w:color w:val="auto"/>
                      <w:szCs w:val="21"/>
                      <w:highlight w:val="none"/>
                      <w:lang w:val="en-US" w:eastAsia="zh-CN"/>
                    </w:rPr>
                    <w:t>依托已</w:t>
                  </w:r>
                  <w:r>
                    <w:rPr>
                      <w:rFonts w:hint="eastAsia" w:ascii="Times New Roman" w:hAnsi="Times New Roman" w:cs="Times New Roman"/>
                      <w:color w:val="auto"/>
                      <w:szCs w:val="21"/>
                      <w:highlight w:val="none"/>
                      <w:lang w:val="en-US" w:eastAsia="zh-CN"/>
                    </w:rPr>
                    <w:t>备案</w:t>
                  </w:r>
                  <w:r>
                    <w:rPr>
                      <w:rFonts w:hint="default" w:ascii="Times New Roman" w:hAnsi="Times New Roman" w:cs="Times New Roman"/>
                      <w:color w:val="auto"/>
                      <w:szCs w:val="21"/>
                      <w:highlight w:val="none"/>
                      <w:lang w:val="en-US" w:eastAsia="zh-CN"/>
                    </w:rPr>
                    <w:t>在</w:t>
                  </w:r>
                  <w:r>
                    <w:rPr>
                      <w:rFonts w:hint="eastAsia" w:ascii="Times New Roman" w:hAnsi="Times New Roman" w:cs="Times New Roman"/>
                      <w:color w:val="auto"/>
                      <w:sz w:val="21"/>
                      <w:szCs w:val="21"/>
                      <w:highlight w:val="none"/>
                      <w:lang w:eastAsia="zh-CN"/>
                    </w:rPr>
                    <w:t>门急诊住院综合楼</w:t>
                  </w:r>
                  <w:r>
                    <w:rPr>
                      <w:rFonts w:hint="eastAsia" w:ascii="Times New Roman" w:hAnsi="Times New Roman" w:cs="Times New Roman"/>
                      <w:color w:val="auto"/>
                      <w:sz w:val="21"/>
                      <w:szCs w:val="21"/>
                      <w:highlight w:val="none"/>
                      <w:lang w:val="en-US" w:eastAsia="zh-CN"/>
                    </w:rPr>
                    <w:t>配套工程（三期）</w:t>
                  </w:r>
                  <w:r>
                    <w:rPr>
                      <w:rFonts w:hint="eastAsia" w:ascii="Times New Roman" w:hAnsi="Times New Roman" w:cs="Times New Roman"/>
                      <w:color w:val="auto"/>
                      <w:sz w:val="21"/>
                      <w:szCs w:val="21"/>
                      <w:highlight w:val="none"/>
                      <w:lang w:eastAsia="zh-CN"/>
                    </w:rPr>
                    <w:t>负三层</w:t>
                  </w:r>
                  <w:r>
                    <w:rPr>
                      <w:rFonts w:hint="default" w:ascii="Times New Roman" w:hAnsi="Times New Roman" w:cs="Times New Roman"/>
                      <w:color w:val="auto"/>
                      <w:szCs w:val="21"/>
                      <w:highlight w:val="none"/>
                      <w:lang w:val="en-US" w:eastAsia="zh-CN"/>
                    </w:rPr>
                    <w:t>CT</w:t>
                  </w:r>
                  <w:r>
                    <w:rPr>
                      <w:rFonts w:hint="eastAsia" w:ascii="Times New Roman" w:hAnsi="Times New Roman" w:cs="Times New Roman"/>
                      <w:color w:val="auto"/>
                      <w:szCs w:val="21"/>
                      <w:highlight w:val="none"/>
                      <w:lang w:val="en-US" w:eastAsia="zh-CN"/>
                    </w:rPr>
                    <w:t>模拟定位</w:t>
                  </w:r>
                  <w:r>
                    <w:rPr>
                      <w:rFonts w:hint="default" w:ascii="Times New Roman" w:hAnsi="Times New Roman" w:cs="Times New Roman"/>
                      <w:color w:val="auto"/>
                      <w:szCs w:val="21"/>
                      <w:highlight w:val="none"/>
                      <w:lang w:val="en-US" w:eastAsia="zh-CN"/>
                    </w:rPr>
                    <w:t>室</w:t>
                  </w:r>
                  <w:r>
                    <w:rPr>
                      <w:rFonts w:hint="eastAsia" w:ascii="Times New Roman" w:hAnsi="Times New Roman" w:cs="Times New Roman"/>
                      <w:color w:val="auto"/>
                      <w:szCs w:val="21"/>
                      <w:highlight w:val="none"/>
                      <w:lang w:val="en-US" w:eastAsia="zh-CN"/>
                    </w:rPr>
                    <w:t>1、2</w:t>
                  </w:r>
                  <w:r>
                    <w:rPr>
                      <w:rFonts w:hint="default" w:ascii="Times New Roman" w:hAnsi="Times New Roman" w:cs="Times New Roman"/>
                      <w:color w:val="auto"/>
                      <w:szCs w:val="21"/>
                      <w:highlight w:val="none"/>
                      <w:lang w:val="en-US" w:eastAsia="zh-CN"/>
                    </w:rPr>
                    <w:t>内CT（Ⅲ类射线装置）进行模拟定位。</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firstLine="630" w:firstLineChars="300"/>
                    <w:jc w:val="center"/>
                    <w:rPr>
                      <w:rFonts w:hint="default" w:ascii="Times New Roman" w:hAnsi="Times New Roman"/>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597" w:hRule="atLeast"/>
                <w:jc w:val="center"/>
              </w:trPr>
              <w:tc>
                <w:tcPr>
                  <w:tcW w:w="1060"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p>
              </w:tc>
              <w:tc>
                <w:tcPr>
                  <w:tcW w:w="121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办公及</w:t>
                  </w:r>
                  <w:r>
                    <w:rPr>
                      <w:rFonts w:hint="default" w:ascii="Times New Roman" w:hAnsi="Times New Roman"/>
                      <w:color w:val="auto"/>
                      <w:spacing w:val="-14"/>
                      <w:szCs w:val="21"/>
                    </w:rPr>
                    <w:t>生活设施</w:t>
                  </w:r>
                </w:p>
              </w:tc>
              <w:tc>
                <w:tcPr>
                  <w:tcW w:w="4405"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依托</w:t>
                  </w:r>
                  <w:r>
                    <w:rPr>
                      <w:rFonts w:hint="default" w:ascii="Times New Roman" w:hAnsi="Times New Roman"/>
                      <w:color w:val="auto"/>
                      <w:szCs w:val="21"/>
                    </w:rPr>
                    <w:t>医生办公室、公共卫生间</w:t>
                  </w:r>
                  <w:r>
                    <w:rPr>
                      <w:rFonts w:hint="eastAsia" w:ascii="Times New Roman" w:hAnsi="Times New Roman"/>
                      <w:color w:val="auto"/>
                      <w:szCs w:val="21"/>
                    </w:rPr>
                    <w:t>、</w:t>
                  </w:r>
                  <w:r>
                    <w:rPr>
                      <w:rFonts w:hint="default" w:ascii="Times New Roman" w:hAnsi="Times New Roman"/>
                      <w:color w:val="auto"/>
                      <w:szCs w:val="21"/>
                    </w:rPr>
                    <w:t>污水处理站</w:t>
                  </w:r>
                  <w:r>
                    <w:rPr>
                      <w:rFonts w:hint="eastAsia" w:ascii="Times New Roman" w:hAnsi="Times New Roman"/>
                      <w:color w:val="auto"/>
                      <w:szCs w:val="21"/>
                    </w:rPr>
                    <w:t>、医疗废物收集及暂存</w:t>
                  </w:r>
                  <w:r>
                    <w:rPr>
                      <w:rFonts w:hint="eastAsia" w:ascii="Times New Roman" w:hAnsi="Times New Roman"/>
                      <w:color w:val="auto"/>
                      <w:szCs w:val="21"/>
                      <w:lang w:val="en-US" w:eastAsia="zh-CN"/>
                    </w:rPr>
                    <w:t>间</w:t>
                  </w:r>
                  <w:r>
                    <w:rPr>
                      <w:rFonts w:hint="default" w:ascii="Times New Roman" w:hAnsi="Times New Roman"/>
                      <w:color w:val="auto"/>
                      <w:szCs w:val="21"/>
                    </w:rPr>
                    <w:t>等</w:t>
                  </w:r>
                </w:p>
              </w:tc>
              <w:tc>
                <w:tcPr>
                  <w:tcW w:w="1162" w:type="dxa"/>
                  <w:vMerge w:val="continue"/>
                  <w:tcMar>
                    <w:left w:w="57" w:type="dxa"/>
                    <w:right w:w="57" w:type="dxa"/>
                  </w:tcMar>
                  <w:vAlign w:val="center"/>
                </w:tcPr>
                <w:p>
                  <w:pPr>
                    <w:keepNext w:val="0"/>
                    <w:keepLines w:val="0"/>
                    <w:suppressLineNumbers w:val="0"/>
                    <w:spacing w:before="0" w:beforeAutospacing="0" w:after="0" w:afterAutospacing="0"/>
                    <w:ind w:left="0" w:right="0" w:firstLine="630" w:firstLineChars="300"/>
                    <w:jc w:val="center"/>
                    <w:rPr>
                      <w:rFonts w:hint="default" w:ascii="Times New Roman" w:hAnsi="Times New Roman"/>
                      <w:color w:val="auto"/>
                      <w:szCs w:val="21"/>
                    </w:rPr>
                  </w:pPr>
                </w:p>
              </w:tc>
              <w:tc>
                <w:tcPr>
                  <w:tcW w:w="1055"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28" w:type="dxa"/>
                  <w:bottom w:w="0" w:type="dxa"/>
                  <w:right w:w="28" w:type="dxa"/>
                </w:tblCellMar>
              </w:tblPrEx>
              <w:trPr>
                <w:cantSplit/>
                <w:trHeight w:val="1208" w:hRule="atLeast"/>
                <w:jc w:val="center"/>
              </w:trPr>
              <w:tc>
                <w:tcPr>
                  <w:tcW w:w="1060" w:type="dxa"/>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z w:val="21"/>
                      <w:szCs w:val="21"/>
                    </w:rPr>
                  </w:pPr>
                  <w:r>
                    <w:rPr>
                      <w:rFonts w:hint="eastAsia" w:ascii="Times New Roman" w:hAnsi="宋体"/>
                      <w:color w:val="auto"/>
                      <w:sz w:val="21"/>
                      <w:szCs w:val="21"/>
                      <w:highlight w:val="none"/>
                      <w:lang w:val="en-US" w:eastAsia="zh-CN"/>
                    </w:rPr>
                    <w:t>环保工程</w:t>
                  </w:r>
                </w:p>
              </w:tc>
              <w:tc>
                <w:tcPr>
                  <w:tcW w:w="5619" w:type="dxa"/>
                  <w:gridSpan w:val="4"/>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highlight w:val="none"/>
                    </w:rPr>
                    <w:t>废水处理依托医院污水管道和污水处理站</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医疗废物依托医院医废暂存间及收集系统进行回收处理</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放疗中心产生的废气经专用管道收集后引至楼顶排放</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办公、生活垃圾依托医院收集系统进行回收处理</w:t>
                  </w:r>
                </w:p>
              </w:tc>
              <w:tc>
                <w:tcPr>
                  <w:tcW w:w="1162" w:type="dxa"/>
                  <w:vMerge w:val="continue"/>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firstLine="630" w:firstLineChars="300"/>
                    <w:jc w:val="center"/>
                    <w:rPr>
                      <w:rFonts w:hint="default" w:ascii="Times New Roman" w:hAnsi="Times New Roman"/>
                      <w:color w:val="auto"/>
                      <w:szCs w:val="21"/>
                    </w:rPr>
                  </w:pPr>
                </w:p>
              </w:tc>
              <w:tc>
                <w:tcPr>
                  <w:tcW w:w="1055" w:type="dxa"/>
                  <w:vMerge w:val="continue"/>
                  <w:tcBorders>
                    <w:bottom w:val="single" w:color="000000" w:sz="12"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bl>
          <w:p>
            <w:pPr>
              <w:keepNext w:val="0"/>
              <w:keepLines w:val="0"/>
              <w:suppressLineNumbers w:val="0"/>
              <w:spacing w:before="0" w:beforeAutospacing="0" w:after="0" w:afterAutospacing="0" w:line="360" w:lineRule="auto"/>
              <w:ind w:left="0" w:right="0"/>
              <w:rPr>
                <w:rFonts w:hint="default" w:ascii="Times New Roman" w:hAnsi="Times New Roman"/>
                <w:b/>
                <w:bCs/>
                <w:color w:val="auto"/>
                <w:sz w:val="24"/>
              </w:rPr>
            </w:pPr>
            <w:r>
              <w:rPr>
                <w:rFonts w:hint="eastAsia" w:ascii="Times New Roman" w:hAnsi="Times New Roman"/>
                <w:b/>
                <w:bCs/>
                <w:color w:val="auto"/>
                <w:sz w:val="24"/>
                <w:lang w:val="en-US" w:eastAsia="zh-CN"/>
              </w:rPr>
              <w:t>（三）</w:t>
            </w:r>
            <w:r>
              <w:rPr>
                <w:rFonts w:hint="default" w:ascii="Times New Roman" w:hAnsi="Times New Roman"/>
                <w:b/>
                <w:bCs/>
                <w:color w:val="auto"/>
                <w:sz w:val="24"/>
              </w:rPr>
              <w:t>本项目主要原辅材料及能耗情况</w:t>
            </w:r>
          </w:p>
          <w:p>
            <w:pPr>
              <w:keepNext w:val="0"/>
              <w:keepLines w:val="0"/>
              <w:suppressLineNumbers w:val="0"/>
              <w:spacing w:before="0" w:beforeAutospacing="0" w:after="0" w:afterAutospacing="0" w:line="360" w:lineRule="auto"/>
              <w:ind w:left="0" w:right="0" w:firstLine="468"/>
              <w:rPr>
                <w:rFonts w:hint="eastAsia" w:ascii="Times New Roman" w:hAnsi="Times New Roman" w:eastAsia="宋体"/>
                <w:b/>
                <w:color w:val="auto"/>
                <w:sz w:val="21"/>
                <w:szCs w:val="21"/>
                <w:lang w:eastAsia="zh-CN"/>
              </w:rPr>
            </w:pPr>
            <w:r>
              <w:rPr>
                <w:rFonts w:hint="default" w:ascii="Times New Roman" w:hAnsi="Times New Roman"/>
                <w:color w:val="auto"/>
                <w:sz w:val="24"/>
              </w:rPr>
              <w:t>本项目主要原辅材料及能耗情况见表1-2。</w:t>
            </w:r>
          </w:p>
          <w:p>
            <w:pPr>
              <w:keepNext w:val="0"/>
              <w:keepLines w:val="0"/>
              <w:suppressLineNumbers w:val="0"/>
              <w:spacing w:before="0" w:beforeAutospacing="0" w:after="0" w:afterAutospacing="0" w:line="360" w:lineRule="auto"/>
              <w:ind w:left="0" w:right="0" w:firstLine="570"/>
              <w:jc w:val="center"/>
              <w:rPr>
                <w:rFonts w:hint="default" w:ascii="Times New Roman" w:hAnsi="Times New Roman"/>
                <w:color w:val="auto"/>
                <w:sz w:val="21"/>
                <w:szCs w:val="21"/>
              </w:rPr>
            </w:pPr>
            <w:r>
              <w:rPr>
                <w:rFonts w:hint="default" w:ascii="Times New Roman" w:hAnsi="Times New Roman"/>
                <w:b/>
                <w:color w:val="auto"/>
                <w:sz w:val="21"/>
                <w:szCs w:val="21"/>
              </w:rPr>
              <w:t>表1-2　主要原辅材料及能耗情况</w:t>
            </w:r>
          </w:p>
          <w:tbl>
            <w:tblPr>
              <w:tblStyle w:val="17"/>
              <w:tblW w:w="88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737"/>
              <w:gridCol w:w="1411"/>
              <w:gridCol w:w="2975"/>
              <w:gridCol w:w="2151"/>
              <w:gridCol w:w="15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26" w:hRule="atLeast"/>
                <w:jc w:val="center"/>
              </w:trPr>
              <w:tc>
                <w:tcPr>
                  <w:tcW w:w="737" w:type="dxa"/>
                  <w:tcBorders>
                    <w:bottom w:val="single" w:color="000000" w:sz="12"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类别</w:t>
                  </w:r>
                </w:p>
              </w:tc>
              <w:tc>
                <w:tcPr>
                  <w:tcW w:w="1411" w:type="dxa"/>
                  <w:tcBorders>
                    <w:bottom w:val="single" w:color="000000" w:sz="12"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名称</w:t>
                  </w:r>
                </w:p>
              </w:tc>
              <w:tc>
                <w:tcPr>
                  <w:tcW w:w="2975" w:type="dxa"/>
                  <w:tcBorders>
                    <w:bottom w:val="single" w:color="000000" w:sz="12"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使用量</w:t>
                  </w:r>
                </w:p>
              </w:tc>
              <w:tc>
                <w:tcPr>
                  <w:tcW w:w="2151" w:type="dxa"/>
                  <w:tcBorders>
                    <w:bottom w:val="single" w:color="000000" w:sz="12"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来源</w:t>
                  </w:r>
                </w:p>
              </w:tc>
              <w:tc>
                <w:tcPr>
                  <w:tcW w:w="1586" w:type="dxa"/>
                  <w:tcBorders>
                    <w:bottom w:val="single" w:color="000000" w:sz="12"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主要化学成分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83" w:hRule="atLeast"/>
                <w:jc w:val="center"/>
              </w:trPr>
              <w:tc>
                <w:tcPr>
                  <w:tcW w:w="737" w:type="dxa"/>
                  <w:tcBorders>
                    <w:top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主要原辅材料</w:t>
                  </w:r>
                </w:p>
              </w:tc>
              <w:tc>
                <w:tcPr>
                  <w:tcW w:w="141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vertAlign w:val="superscript"/>
                    </w:rPr>
                  </w:pPr>
                  <w:r>
                    <w:rPr>
                      <w:rFonts w:hint="default" w:ascii="Times New Roman" w:hAnsi="Times New Roman"/>
                      <w:color w:val="auto"/>
                      <w:szCs w:val="21"/>
                      <w:vertAlign w:val="superscript"/>
                    </w:rPr>
                    <w:t>192</w:t>
                  </w:r>
                  <w:r>
                    <w:rPr>
                      <w:rFonts w:hint="default" w:ascii="Times New Roman" w:hAnsi="Times New Roman"/>
                      <w:color w:val="auto"/>
                      <w:szCs w:val="21"/>
                    </w:rPr>
                    <w:t>Ir放射源</w:t>
                  </w:r>
                </w:p>
              </w:tc>
              <w:tc>
                <w:tcPr>
                  <w:tcW w:w="2975" w:type="dxa"/>
                  <w:tcBorders>
                    <w:top w:val="single" w:color="000000" w:sz="4" w:space="0"/>
                    <w:bottom w:val="single" w:color="000000" w:sz="4" w:space="0"/>
                  </w:tcBorders>
                  <w:vAlign w:val="center"/>
                </w:tcPr>
                <w:p>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olor w:val="auto"/>
                      <w:szCs w:val="21"/>
                    </w:rPr>
                  </w:pPr>
                  <w:r>
                    <w:rPr>
                      <w:rFonts w:hint="default" w:ascii="Times New Roman" w:hAnsi="Times New Roman"/>
                      <w:color w:val="auto"/>
                      <w:szCs w:val="21"/>
                    </w:rPr>
                    <w:t>1枚，</w:t>
                  </w:r>
                  <w:r>
                    <w:rPr>
                      <w:rFonts w:hint="default" w:ascii="Times New Roman" w:hAnsi="Times New Roman"/>
                      <w:bCs/>
                      <w:color w:val="auto"/>
                      <w:szCs w:val="21"/>
                    </w:rPr>
                    <w:t>3.7×10</w:t>
                  </w:r>
                  <w:r>
                    <w:rPr>
                      <w:rFonts w:hint="default" w:ascii="Times New Roman" w:hAnsi="Times New Roman"/>
                      <w:bCs/>
                      <w:color w:val="auto"/>
                      <w:szCs w:val="21"/>
                      <w:vertAlign w:val="superscript"/>
                    </w:rPr>
                    <w:t>11</w:t>
                  </w:r>
                  <w:r>
                    <w:rPr>
                      <w:rFonts w:hint="default" w:ascii="Times New Roman" w:hAnsi="Times New Roman"/>
                      <w:bCs/>
                      <w:color w:val="auto"/>
                      <w:szCs w:val="21"/>
                    </w:rPr>
                    <w:t>Bq（</w:t>
                  </w:r>
                  <w:r>
                    <w:rPr>
                      <w:rFonts w:hint="default" w:ascii="Times New Roman" w:hAnsi="Times New Roman"/>
                      <w:color w:val="auto"/>
                      <w:szCs w:val="21"/>
                    </w:rPr>
                    <w:t>Ⅲ类放射源</w:t>
                  </w:r>
                  <w:r>
                    <w:rPr>
                      <w:rFonts w:hint="default" w:ascii="Times New Roman" w:hAnsi="Times New Roman"/>
                      <w:bCs/>
                      <w:color w:val="auto"/>
                      <w:szCs w:val="21"/>
                    </w:rPr>
                    <w:t>）</w:t>
                  </w:r>
                </w:p>
              </w:tc>
              <w:tc>
                <w:tcPr>
                  <w:tcW w:w="215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外购</w:t>
                  </w:r>
                </w:p>
              </w:tc>
              <w:tc>
                <w:tcPr>
                  <w:tcW w:w="1586"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14" w:hRule="atLeast"/>
                <w:jc w:val="center"/>
              </w:trPr>
              <w:tc>
                <w:tcPr>
                  <w:tcW w:w="737" w:type="dxa"/>
                  <w:vMerge w:val="restart"/>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能</w:t>
                  </w:r>
                </w:p>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源</w:t>
                  </w:r>
                </w:p>
              </w:tc>
              <w:tc>
                <w:tcPr>
                  <w:tcW w:w="141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煤（T）</w:t>
                  </w:r>
                </w:p>
              </w:tc>
              <w:tc>
                <w:tcPr>
                  <w:tcW w:w="2975"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c>
                <w:tcPr>
                  <w:tcW w:w="215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c>
                <w:tcPr>
                  <w:tcW w:w="1586"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14" w:hRule="atLeast"/>
                <w:jc w:val="center"/>
              </w:trPr>
              <w:tc>
                <w:tcPr>
                  <w:tcW w:w="737" w:type="dxa"/>
                  <w:vMerge w:val="continue"/>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p>
              </w:tc>
              <w:tc>
                <w:tcPr>
                  <w:tcW w:w="141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电(度)</w:t>
                  </w:r>
                </w:p>
              </w:tc>
              <w:tc>
                <w:tcPr>
                  <w:tcW w:w="2975"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100000度</w:t>
                  </w:r>
                </w:p>
              </w:tc>
              <w:tc>
                <w:tcPr>
                  <w:tcW w:w="215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市政电网</w:t>
                  </w:r>
                </w:p>
              </w:tc>
              <w:tc>
                <w:tcPr>
                  <w:tcW w:w="1586"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14" w:hRule="atLeast"/>
                <w:jc w:val="center"/>
              </w:trPr>
              <w:tc>
                <w:tcPr>
                  <w:tcW w:w="737" w:type="dxa"/>
                  <w:vMerge w:val="continue"/>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p>
              </w:tc>
              <w:tc>
                <w:tcPr>
                  <w:tcW w:w="141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气(Nm</w:t>
                  </w:r>
                  <w:r>
                    <w:rPr>
                      <w:rFonts w:hint="default" w:ascii="Times New Roman" w:hAnsi="Times New Roman"/>
                      <w:color w:val="auto"/>
                      <w:szCs w:val="21"/>
                      <w:vertAlign w:val="superscript"/>
                    </w:rPr>
                    <w:t>3</w:t>
                  </w:r>
                  <w:r>
                    <w:rPr>
                      <w:rFonts w:hint="default" w:ascii="Times New Roman" w:hAnsi="Times New Roman"/>
                      <w:color w:val="auto"/>
                      <w:szCs w:val="21"/>
                    </w:rPr>
                    <w:t>)</w:t>
                  </w:r>
                </w:p>
              </w:tc>
              <w:tc>
                <w:tcPr>
                  <w:tcW w:w="2975"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c>
                <w:tcPr>
                  <w:tcW w:w="215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c>
                <w:tcPr>
                  <w:tcW w:w="1586"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14" w:hRule="atLeast"/>
                <w:jc w:val="center"/>
              </w:trPr>
              <w:tc>
                <w:tcPr>
                  <w:tcW w:w="737" w:type="dxa"/>
                  <w:vMerge w:val="restart"/>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水</w:t>
                  </w:r>
                </w:p>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量</w:t>
                  </w:r>
                </w:p>
              </w:tc>
              <w:tc>
                <w:tcPr>
                  <w:tcW w:w="141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地表水</w:t>
                  </w:r>
                </w:p>
              </w:tc>
              <w:tc>
                <w:tcPr>
                  <w:tcW w:w="2975"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1000m</w:t>
                  </w:r>
                  <w:r>
                    <w:rPr>
                      <w:rFonts w:hint="default" w:ascii="Times New Roman" w:hAnsi="Times New Roman"/>
                      <w:color w:val="auto"/>
                      <w:szCs w:val="21"/>
                      <w:vertAlign w:val="superscript"/>
                    </w:rPr>
                    <w:t>3</w:t>
                  </w:r>
                </w:p>
              </w:tc>
              <w:tc>
                <w:tcPr>
                  <w:tcW w:w="2151"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c>
                <w:tcPr>
                  <w:tcW w:w="1586" w:type="dxa"/>
                  <w:tcBorders>
                    <w:top w:val="single" w:color="000000" w:sz="4" w:space="0"/>
                    <w:bottom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6" w:hRule="atLeast"/>
                <w:jc w:val="center"/>
              </w:trPr>
              <w:tc>
                <w:tcPr>
                  <w:tcW w:w="737" w:type="dxa"/>
                  <w:vMerge w:val="continue"/>
                  <w:tcBorders>
                    <w:top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p>
              </w:tc>
              <w:tc>
                <w:tcPr>
                  <w:tcW w:w="1411" w:type="dxa"/>
                  <w:tcBorders>
                    <w:top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地下水</w:t>
                  </w:r>
                </w:p>
              </w:tc>
              <w:tc>
                <w:tcPr>
                  <w:tcW w:w="2975" w:type="dxa"/>
                  <w:tcBorders>
                    <w:top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c>
                <w:tcPr>
                  <w:tcW w:w="2151" w:type="dxa"/>
                  <w:tcBorders>
                    <w:top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c>
                <w:tcPr>
                  <w:tcW w:w="1586" w:type="dxa"/>
                  <w:tcBorders>
                    <w:top w:val="single" w:color="000000"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t>
                  </w:r>
                </w:p>
              </w:tc>
            </w:tr>
          </w:tbl>
          <w:p>
            <w:pPr>
              <w:keepNext w:val="0"/>
              <w:keepLines w:val="0"/>
              <w:suppressLineNumbers w:val="0"/>
              <w:spacing w:before="0" w:beforeLines="50" w:beforeAutospacing="0" w:after="0" w:afterAutospacing="0" w:line="360" w:lineRule="auto"/>
              <w:ind w:left="0" w:right="0"/>
              <w:rPr>
                <w:rFonts w:hint="default" w:ascii="Times New Roman" w:hAnsi="Times New Roman"/>
                <w:b/>
                <w:bCs/>
                <w:color w:val="auto"/>
                <w:sz w:val="24"/>
              </w:rPr>
            </w:pPr>
            <w:r>
              <w:rPr>
                <w:rFonts w:hint="eastAsia" w:ascii="Times New Roman" w:hAnsi="Times New Roman"/>
                <w:b/>
                <w:bCs/>
                <w:color w:val="auto"/>
                <w:sz w:val="24"/>
                <w:lang w:val="en-US" w:eastAsia="zh-CN"/>
              </w:rPr>
              <w:t>（四）</w:t>
            </w:r>
            <w:r>
              <w:rPr>
                <w:rFonts w:hint="default" w:ascii="Times New Roman" w:hAnsi="Times New Roman"/>
                <w:b/>
                <w:bCs/>
                <w:color w:val="auto"/>
                <w:sz w:val="24"/>
              </w:rPr>
              <w:t>本项目所涉及的医用射线装置</w:t>
            </w:r>
          </w:p>
          <w:p>
            <w:pPr>
              <w:keepNext w:val="0"/>
              <w:keepLines w:val="0"/>
              <w:suppressLineNumbers w:val="0"/>
              <w:spacing w:before="0" w:beforeAutospacing="0" w:after="0" w:afterAutospacing="0" w:line="360" w:lineRule="auto"/>
              <w:ind w:left="0" w:right="0" w:firstLine="560"/>
              <w:rPr>
                <w:rFonts w:hint="default"/>
                <w:color w:val="auto"/>
                <w:kern w:val="2"/>
              </w:rPr>
            </w:pPr>
            <w:r>
              <w:rPr>
                <w:rFonts w:hint="default" w:ascii="Times New Roman" w:hAnsi="Times New Roman"/>
                <w:color w:val="auto"/>
                <w:sz w:val="24"/>
              </w:rPr>
              <w:t>本项目涉及医用射线装置的情况见表1-3。</w:t>
            </w:r>
          </w:p>
          <w:p>
            <w:pPr>
              <w:keepNext w:val="0"/>
              <w:keepLines w:val="0"/>
              <w:suppressLineNumbers w:val="0"/>
              <w:spacing w:before="0" w:beforeAutospacing="0" w:after="0" w:afterAutospacing="0" w:line="360" w:lineRule="auto"/>
              <w:ind w:left="0" w:right="0" w:firstLine="570"/>
              <w:jc w:val="center"/>
              <w:rPr>
                <w:rFonts w:hint="default" w:ascii="Times New Roman" w:hAnsi="Times New Roman"/>
                <w:b/>
                <w:color w:val="auto"/>
                <w:sz w:val="21"/>
                <w:szCs w:val="21"/>
              </w:rPr>
            </w:pPr>
            <w:r>
              <w:rPr>
                <w:rFonts w:hint="default" w:ascii="Times New Roman" w:hAnsi="Times New Roman"/>
                <w:b/>
                <w:color w:val="auto"/>
                <w:sz w:val="21"/>
                <w:szCs w:val="21"/>
              </w:rPr>
              <w:t>表1-3　本项目射线装置清单</w:t>
            </w:r>
          </w:p>
          <w:tbl>
            <w:tblPr>
              <w:tblStyle w:val="17"/>
              <w:tblW w:w="88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99"/>
              <w:gridCol w:w="1430"/>
              <w:gridCol w:w="519"/>
              <w:gridCol w:w="641"/>
              <w:gridCol w:w="1502"/>
              <w:gridCol w:w="678"/>
              <w:gridCol w:w="807"/>
              <w:gridCol w:w="2400"/>
              <w:gridCol w:w="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299"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序号</w:t>
                  </w:r>
                </w:p>
              </w:tc>
              <w:tc>
                <w:tcPr>
                  <w:tcW w:w="1430"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装置名称</w:t>
                  </w:r>
                </w:p>
              </w:tc>
              <w:tc>
                <w:tcPr>
                  <w:tcW w:w="519"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型号</w:t>
                  </w:r>
                </w:p>
              </w:tc>
              <w:tc>
                <w:tcPr>
                  <w:tcW w:w="641"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生产厂家</w:t>
                  </w:r>
                </w:p>
              </w:tc>
              <w:tc>
                <w:tcPr>
                  <w:tcW w:w="1502"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设备参数</w:t>
                  </w:r>
                </w:p>
              </w:tc>
              <w:tc>
                <w:tcPr>
                  <w:tcW w:w="678"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管理</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类别</w:t>
                  </w:r>
                </w:p>
              </w:tc>
              <w:tc>
                <w:tcPr>
                  <w:tcW w:w="807"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年曝光时间</w:t>
                  </w:r>
                </w:p>
              </w:tc>
              <w:tc>
                <w:tcPr>
                  <w:tcW w:w="2400"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使用场所</w:t>
                  </w:r>
                </w:p>
              </w:tc>
              <w:tc>
                <w:tcPr>
                  <w:tcW w:w="622"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29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1</w:t>
                  </w:r>
                </w:p>
              </w:tc>
              <w:tc>
                <w:tcPr>
                  <w:tcW w:w="143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default" w:ascii="Times New Roman" w:hAnsi="Times New Roman"/>
                      <w:color w:val="auto"/>
                      <w:szCs w:val="21"/>
                    </w:rPr>
                    <w:t>直线加速器</w:t>
                  </w:r>
                  <w:r>
                    <w:rPr>
                      <w:rFonts w:hint="eastAsia" w:ascii="Times New Roman" w:hAnsi="Times New Roman"/>
                      <w:color w:val="auto"/>
                      <w:szCs w:val="21"/>
                      <w:lang w:val="en-US" w:eastAsia="zh-CN"/>
                    </w:rPr>
                    <w:t>1</w:t>
                  </w:r>
                </w:p>
              </w:tc>
              <w:tc>
                <w:tcPr>
                  <w:tcW w:w="5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val="en-US" w:eastAsia="zh-CN"/>
                    </w:rPr>
                    <w:t>ClincCX</w:t>
                  </w:r>
                </w:p>
              </w:tc>
              <w:tc>
                <w:tcPr>
                  <w:tcW w:w="64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Style w:val="21"/>
                      <w:rFonts w:hint="default" w:ascii="Arial" w:hAnsi="Arial" w:eastAsia="宋体" w:cs="Arial"/>
                      <w:i w:val="0"/>
                      <w:caps w:val="0"/>
                      <w:color w:val="auto"/>
                      <w:spacing w:val="0"/>
                      <w:sz w:val="19"/>
                      <w:szCs w:val="19"/>
                      <w:shd w:val="clear" w:fill="FFFFFF"/>
                    </w:rPr>
                    <w:t>瓦里安</w:t>
                  </w:r>
                </w:p>
              </w:tc>
              <w:tc>
                <w:tcPr>
                  <w:tcW w:w="15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X射线</w:t>
                  </w:r>
                  <w:r>
                    <w:rPr>
                      <w:rFonts w:hint="default" w:ascii="Times New Roman" w:hAnsi="Times New Roman"/>
                      <w:color w:val="auto"/>
                      <w:szCs w:val="21"/>
                    </w:rPr>
                    <w:t>10MV</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电子</w:t>
                  </w:r>
                  <w:r>
                    <w:rPr>
                      <w:rFonts w:hint="eastAsia" w:ascii="Times New Roman" w:hAnsi="Times New Roman"/>
                      <w:color w:val="auto"/>
                      <w:szCs w:val="21"/>
                      <w:lang w:val="en-US" w:eastAsia="zh-CN"/>
                    </w:rPr>
                    <w:t>线21MeV</w:t>
                  </w:r>
                </w:p>
              </w:tc>
              <w:tc>
                <w:tcPr>
                  <w:tcW w:w="67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fldChar w:fldCharType="begin"/>
                  </w:r>
                  <w:r>
                    <w:rPr>
                      <w:rFonts w:hint="default" w:ascii="Times New Roman" w:hAnsi="Times New Roman"/>
                      <w:color w:val="auto"/>
                      <w:szCs w:val="21"/>
                    </w:rPr>
                    <w:instrText xml:space="preserve"> = 2 \* ROMAN \* MERGEFORMAT </w:instrText>
                  </w:r>
                  <w:r>
                    <w:rPr>
                      <w:rFonts w:hint="default" w:ascii="Times New Roman" w:hAnsi="Times New Roman"/>
                      <w:color w:val="auto"/>
                      <w:szCs w:val="21"/>
                    </w:rPr>
                    <w:fldChar w:fldCharType="separate"/>
                  </w:r>
                  <w:r>
                    <w:rPr>
                      <w:rFonts w:hint="default" w:ascii="Times New Roman" w:hAnsi="Times New Roman"/>
                      <w:color w:val="auto"/>
                      <w:szCs w:val="21"/>
                    </w:rPr>
                    <w:t>II</w:t>
                  </w:r>
                  <w:r>
                    <w:rPr>
                      <w:rFonts w:hint="default" w:ascii="Times New Roman" w:hAnsi="Times New Roman"/>
                      <w:color w:val="auto"/>
                      <w:szCs w:val="21"/>
                    </w:rPr>
                    <w:fldChar w:fldCharType="end"/>
                  </w:r>
                  <w:r>
                    <w:rPr>
                      <w:rFonts w:hint="default" w:ascii="Times New Roman" w:hAnsi="Times New Roman"/>
                      <w:color w:val="auto"/>
                      <w:szCs w:val="21"/>
                    </w:rPr>
                    <w:t>类</w:t>
                  </w:r>
                </w:p>
              </w:tc>
              <w:tc>
                <w:tcPr>
                  <w:tcW w:w="80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lang w:val="en-US" w:eastAsia="zh-CN"/>
                    </w:rPr>
                    <w:t>750</w:t>
                  </w:r>
                  <w:r>
                    <w:rPr>
                      <w:rFonts w:hint="default" w:ascii="Times New Roman" w:hAnsi="Times New Roman"/>
                      <w:color w:val="auto"/>
                      <w:szCs w:val="21"/>
                    </w:rPr>
                    <w:t>h</w:t>
                  </w:r>
                </w:p>
              </w:tc>
              <w:tc>
                <w:tcPr>
                  <w:tcW w:w="240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Cs w:val="21"/>
                    </w:rPr>
                  </w:pPr>
                  <w:r>
                    <w:rPr>
                      <w:rFonts w:hint="eastAsia" w:ascii="Times New Roman" w:hAnsi="Times New Roman"/>
                      <w:color w:val="auto"/>
                      <w:szCs w:val="21"/>
                    </w:rPr>
                    <w:t>放疗</w:t>
                  </w:r>
                  <w:r>
                    <w:rPr>
                      <w:rFonts w:hint="default" w:ascii="Times New Roman" w:hAnsi="Times New Roman"/>
                      <w:color w:val="auto"/>
                      <w:szCs w:val="21"/>
                    </w:rPr>
                    <w:t>中心负</w:t>
                  </w:r>
                  <w:r>
                    <w:rPr>
                      <w:rFonts w:hint="eastAsia" w:ascii="Times New Roman" w:hAnsi="Times New Roman"/>
                      <w:color w:val="auto"/>
                      <w:szCs w:val="21"/>
                      <w:lang w:val="en-US" w:eastAsia="zh-CN"/>
                    </w:rPr>
                    <w:t>三</w:t>
                  </w:r>
                  <w:r>
                    <w:rPr>
                      <w:rFonts w:hint="eastAsia" w:ascii="Times New Roman" w:hAnsi="Times New Roman"/>
                      <w:color w:val="auto"/>
                      <w:szCs w:val="21"/>
                    </w:rPr>
                    <w:t>层</w:t>
                  </w:r>
                </w:p>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default" w:ascii="Times New Roman" w:hAnsi="Times New Roman"/>
                      <w:color w:val="auto"/>
                      <w:szCs w:val="21"/>
                    </w:rPr>
                    <w:t>1</w:t>
                  </w:r>
                  <w:r>
                    <w:rPr>
                      <w:rFonts w:hint="eastAsia" w:ascii="Times New Roman" w:hAnsi="Times New Roman"/>
                      <w:color w:val="auto"/>
                      <w:szCs w:val="21"/>
                      <w:lang w:val="en-US" w:eastAsia="zh-CN"/>
                    </w:rPr>
                    <w:t>#</w:t>
                  </w:r>
                  <w:r>
                    <w:rPr>
                      <w:rFonts w:hint="default" w:ascii="Times New Roman" w:hAnsi="Times New Roman"/>
                      <w:color w:val="auto"/>
                      <w:szCs w:val="21"/>
                    </w:rPr>
                    <w:t>直线</w:t>
                  </w:r>
                  <w:r>
                    <w:rPr>
                      <w:rFonts w:hint="eastAsia" w:ascii="Times New Roman" w:hAnsi="Times New Roman"/>
                      <w:color w:val="auto"/>
                      <w:szCs w:val="21"/>
                      <w:lang w:eastAsia="zh-CN"/>
                    </w:rPr>
                    <w:t>加速器治疗室</w:t>
                  </w:r>
                </w:p>
              </w:tc>
              <w:tc>
                <w:tcPr>
                  <w:tcW w:w="62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搬迁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29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Cs w:val="21"/>
                    </w:rPr>
                  </w:pPr>
                  <w:r>
                    <w:rPr>
                      <w:rFonts w:hint="eastAsia" w:ascii="Times New Roman" w:hAnsi="Times New Roman"/>
                      <w:color w:val="auto"/>
                      <w:szCs w:val="21"/>
                    </w:rPr>
                    <w:t>2</w:t>
                  </w:r>
                </w:p>
              </w:tc>
              <w:tc>
                <w:tcPr>
                  <w:tcW w:w="143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Cs w:val="21"/>
                    </w:rPr>
                    <w:t>直线加速器</w:t>
                  </w:r>
                  <w:r>
                    <w:rPr>
                      <w:rFonts w:hint="eastAsia" w:ascii="Times New Roman" w:hAnsi="Times New Roman"/>
                      <w:color w:val="auto"/>
                      <w:szCs w:val="21"/>
                      <w:lang w:val="en-US" w:eastAsia="zh-CN"/>
                    </w:rPr>
                    <w:t>2</w:t>
                  </w:r>
                </w:p>
              </w:tc>
              <w:tc>
                <w:tcPr>
                  <w:tcW w:w="5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olor w:val="auto"/>
                      <w:szCs w:val="21"/>
                    </w:rPr>
                    <w:t>待定</w:t>
                  </w:r>
                </w:p>
              </w:tc>
              <w:tc>
                <w:tcPr>
                  <w:tcW w:w="64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Cs w:val="21"/>
                    </w:rPr>
                    <w:t>待定</w:t>
                  </w:r>
                </w:p>
              </w:tc>
              <w:tc>
                <w:tcPr>
                  <w:tcW w:w="15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X射线</w:t>
                  </w:r>
                  <w:r>
                    <w:rPr>
                      <w:rFonts w:hint="eastAsia" w:ascii="Times New Roman" w:hAnsi="Times New Roman"/>
                      <w:color w:val="auto"/>
                      <w:szCs w:val="21"/>
                      <w:lang w:val="en-US" w:eastAsia="zh-CN"/>
                    </w:rPr>
                    <w:t>15</w:t>
                  </w:r>
                  <w:r>
                    <w:rPr>
                      <w:rFonts w:hint="default" w:ascii="Times New Roman" w:hAnsi="Times New Roman"/>
                      <w:color w:val="auto"/>
                      <w:szCs w:val="21"/>
                    </w:rPr>
                    <w:t>MV</w:t>
                  </w:r>
                </w:p>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电子</w:t>
                  </w:r>
                  <w:r>
                    <w:rPr>
                      <w:rFonts w:hint="eastAsia" w:ascii="Times New Roman" w:hAnsi="Times New Roman"/>
                      <w:color w:val="auto"/>
                      <w:szCs w:val="21"/>
                      <w:lang w:val="en-US" w:eastAsia="zh-CN"/>
                    </w:rPr>
                    <w:t>线22</w:t>
                  </w:r>
                  <w:r>
                    <w:rPr>
                      <w:rFonts w:hint="default" w:ascii="Times New Roman" w:hAnsi="Times New Roman"/>
                      <w:color w:val="auto"/>
                      <w:szCs w:val="21"/>
                    </w:rPr>
                    <w:t>MeV</w:t>
                  </w:r>
                </w:p>
              </w:tc>
              <w:tc>
                <w:tcPr>
                  <w:tcW w:w="67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Cs w:val="21"/>
                    </w:rPr>
                    <w:fldChar w:fldCharType="begin"/>
                  </w:r>
                  <w:r>
                    <w:rPr>
                      <w:rFonts w:hint="default" w:ascii="Times New Roman" w:hAnsi="Times New Roman"/>
                      <w:color w:val="auto"/>
                      <w:szCs w:val="21"/>
                    </w:rPr>
                    <w:instrText xml:space="preserve"> = 2 \* ROMAN \* MERGEFORMAT </w:instrText>
                  </w:r>
                  <w:r>
                    <w:rPr>
                      <w:rFonts w:hint="default" w:ascii="Times New Roman" w:hAnsi="Times New Roman"/>
                      <w:color w:val="auto"/>
                      <w:szCs w:val="21"/>
                    </w:rPr>
                    <w:fldChar w:fldCharType="separate"/>
                  </w:r>
                  <w:r>
                    <w:rPr>
                      <w:rFonts w:hint="default" w:ascii="Times New Roman" w:hAnsi="Times New Roman"/>
                      <w:color w:val="auto"/>
                      <w:szCs w:val="21"/>
                    </w:rPr>
                    <w:t>II</w:t>
                  </w:r>
                  <w:r>
                    <w:rPr>
                      <w:rFonts w:hint="default" w:ascii="Times New Roman" w:hAnsi="Times New Roman"/>
                      <w:color w:val="auto"/>
                      <w:szCs w:val="21"/>
                    </w:rPr>
                    <w:fldChar w:fldCharType="end"/>
                  </w:r>
                  <w:r>
                    <w:rPr>
                      <w:rFonts w:hint="default" w:ascii="Times New Roman" w:hAnsi="Times New Roman"/>
                      <w:color w:val="auto"/>
                      <w:szCs w:val="21"/>
                    </w:rPr>
                    <w:t>类</w:t>
                  </w:r>
                </w:p>
              </w:tc>
              <w:tc>
                <w:tcPr>
                  <w:tcW w:w="80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750</w:t>
                  </w:r>
                  <w:r>
                    <w:rPr>
                      <w:rFonts w:hint="default" w:ascii="Times New Roman" w:hAnsi="Times New Roman"/>
                      <w:color w:val="auto"/>
                      <w:szCs w:val="21"/>
                    </w:rPr>
                    <w:t>h</w:t>
                  </w:r>
                </w:p>
              </w:tc>
              <w:tc>
                <w:tcPr>
                  <w:tcW w:w="240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Cs w:val="21"/>
                    </w:rPr>
                  </w:pPr>
                  <w:r>
                    <w:rPr>
                      <w:rFonts w:hint="eastAsia" w:ascii="Times New Roman" w:hAnsi="Times New Roman"/>
                      <w:color w:val="auto"/>
                      <w:szCs w:val="21"/>
                    </w:rPr>
                    <w:t>放疗</w:t>
                  </w:r>
                  <w:r>
                    <w:rPr>
                      <w:rFonts w:hint="default" w:ascii="Times New Roman" w:hAnsi="Times New Roman"/>
                      <w:color w:val="auto"/>
                      <w:szCs w:val="21"/>
                    </w:rPr>
                    <w:t>中心负</w:t>
                  </w:r>
                  <w:r>
                    <w:rPr>
                      <w:rFonts w:hint="eastAsia" w:ascii="Times New Roman" w:hAnsi="Times New Roman"/>
                      <w:color w:val="auto"/>
                      <w:szCs w:val="21"/>
                      <w:lang w:val="en-US" w:eastAsia="zh-CN"/>
                    </w:rPr>
                    <w:t>三</w:t>
                  </w:r>
                  <w:r>
                    <w:rPr>
                      <w:rFonts w:hint="eastAsia" w:ascii="Times New Roman" w:hAnsi="Times New Roman"/>
                      <w:color w:val="auto"/>
                      <w:szCs w:val="21"/>
                    </w:rPr>
                    <w:t>层</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2#</w:t>
                  </w:r>
                  <w:r>
                    <w:rPr>
                      <w:rFonts w:hint="default" w:ascii="Times New Roman" w:hAnsi="Times New Roman"/>
                      <w:color w:val="auto"/>
                      <w:szCs w:val="21"/>
                    </w:rPr>
                    <w:t>直线</w:t>
                  </w:r>
                  <w:r>
                    <w:rPr>
                      <w:rFonts w:hint="eastAsia" w:ascii="Times New Roman" w:hAnsi="Times New Roman"/>
                      <w:color w:val="auto"/>
                      <w:szCs w:val="21"/>
                      <w:lang w:eastAsia="zh-CN"/>
                    </w:rPr>
                    <w:t>加速器治疗室</w:t>
                  </w:r>
                </w:p>
              </w:tc>
              <w:tc>
                <w:tcPr>
                  <w:tcW w:w="62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olor w:val="auto"/>
                      <w:szCs w:val="21"/>
                    </w:rPr>
                    <w:t>拟购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8" w:hRule="atLeast"/>
                <w:jc w:val="center"/>
              </w:trPr>
              <w:tc>
                <w:tcPr>
                  <w:tcW w:w="29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3</w:t>
                  </w:r>
                </w:p>
              </w:tc>
              <w:tc>
                <w:tcPr>
                  <w:tcW w:w="143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aps/>
                      <w:color w:val="auto"/>
                      <w:kern w:val="2"/>
                      <w:sz w:val="21"/>
                      <w:szCs w:val="21"/>
                      <w:lang w:val="en-US" w:eastAsia="zh-CN" w:bidi="ar-SA"/>
                    </w:rPr>
                  </w:pPr>
                  <w:r>
                    <w:rPr>
                      <w:rFonts w:hint="default" w:ascii="Times New Roman" w:hAnsi="Times New Roman"/>
                      <w:color w:val="auto"/>
                      <w:szCs w:val="21"/>
                    </w:rPr>
                    <w:t>直线加速器</w:t>
                  </w:r>
                  <w:r>
                    <w:rPr>
                      <w:rFonts w:hint="eastAsia" w:ascii="Times New Roman" w:hAnsi="Times New Roman"/>
                      <w:color w:val="auto"/>
                      <w:szCs w:val="21"/>
                      <w:lang w:val="en-US" w:eastAsia="zh-CN"/>
                    </w:rPr>
                    <w:t>3</w:t>
                  </w:r>
                </w:p>
              </w:tc>
              <w:tc>
                <w:tcPr>
                  <w:tcW w:w="5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Cs w:val="21"/>
                    </w:rPr>
                    <w:t>待定</w:t>
                  </w:r>
                </w:p>
              </w:tc>
              <w:tc>
                <w:tcPr>
                  <w:tcW w:w="64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Cs w:val="21"/>
                    </w:rPr>
                    <w:t>待定</w:t>
                  </w:r>
                </w:p>
              </w:tc>
              <w:tc>
                <w:tcPr>
                  <w:tcW w:w="15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X射线</w:t>
                  </w:r>
                  <w:r>
                    <w:rPr>
                      <w:rFonts w:hint="default" w:ascii="Times New Roman" w:hAnsi="Times New Roman"/>
                      <w:color w:val="auto"/>
                      <w:szCs w:val="21"/>
                    </w:rPr>
                    <w:t>10MV</w:t>
                  </w:r>
                </w:p>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电子</w:t>
                  </w:r>
                  <w:r>
                    <w:rPr>
                      <w:rFonts w:hint="eastAsia" w:ascii="Times New Roman" w:hAnsi="Times New Roman"/>
                      <w:color w:val="auto"/>
                      <w:szCs w:val="21"/>
                      <w:lang w:val="en-US" w:eastAsia="zh-CN"/>
                    </w:rPr>
                    <w:t>线21MeV</w:t>
                  </w:r>
                </w:p>
              </w:tc>
              <w:tc>
                <w:tcPr>
                  <w:tcW w:w="67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Cs w:val="21"/>
                    </w:rPr>
                    <w:fldChar w:fldCharType="begin"/>
                  </w:r>
                  <w:r>
                    <w:rPr>
                      <w:rFonts w:hint="default" w:ascii="Times New Roman" w:hAnsi="Times New Roman"/>
                      <w:color w:val="auto"/>
                      <w:szCs w:val="21"/>
                    </w:rPr>
                    <w:instrText xml:space="preserve"> = 2 \* ROMAN \* MERGEFORMAT </w:instrText>
                  </w:r>
                  <w:r>
                    <w:rPr>
                      <w:rFonts w:hint="default" w:ascii="Times New Roman" w:hAnsi="Times New Roman"/>
                      <w:color w:val="auto"/>
                      <w:szCs w:val="21"/>
                    </w:rPr>
                    <w:fldChar w:fldCharType="separate"/>
                  </w:r>
                  <w:r>
                    <w:rPr>
                      <w:rFonts w:hint="default" w:ascii="Times New Roman" w:hAnsi="Times New Roman"/>
                      <w:color w:val="auto"/>
                      <w:szCs w:val="21"/>
                    </w:rPr>
                    <w:t>II</w:t>
                  </w:r>
                  <w:r>
                    <w:rPr>
                      <w:rFonts w:hint="default" w:ascii="Times New Roman" w:hAnsi="Times New Roman"/>
                      <w:color w:val="auto"/>
                      <w:szCs w:val="21"/>
                    </w:rPr>
                    <w:fldChar w:fldCharType="end"/>
                  </w:r>
                  <w:r>
                    <w:rPr>
                      <w:rFonts w:hint="default" w:ascii="Times New Roman" w:hAnsi="Times New Roman"/>
                      <w:color w:val="auto"/>
                      <w:szCs w:val="21"/>
                    </w:rPr>
                    <w:t>类</w:t>
                  </w:r>
                </w:p>
              </w:tc>
              <w:tc>
                <w:tcPr>
                  <w:tcW w:w="80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750</w:t>
                  </w:r>
                  <w:r>
                    <w:rPr>
                      <w:rFonts w:hint="default" w:ascii="Times New Roman" w:hAnsi="Times New Roman"/>
                      <w:color w:val="auto"/>
                      <w:szCs w:val="21"/>
                    </w:rPr>
                    <w:t>h</w:t>
                  </w:r>
                </w:p>
              </w:tc>
              <w:tc>
                <w:tcPr>
                  <w:tcW w:w="240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Cs w:val="21"/>
                    </w:rPr>
                  </w:pPr>
                  <w:r>
                    <w:rPr>
                      <w:rFonts w:hint="eastAsia" w:ascii="Times New Roman" w:hAnsi="Times New Roman"/>
                      <w:color w:val="auto"/>
                      <w:szCs w:val="21"/>
                    </w:rPr>
                    <w:t>放疗</w:t>
                  </w:r>
                  <w:r>
                    <w:rPr>
                      <w:rFonts w:hint="default" w:ascii="Times New Roman" w:hAnsi="Times New Roman"/>
                      <w:color w:val="auto"/>
                      <w:szCs w:val="21"/>
                    </w:rPr>
                    <w:t>中心负</w:t>
                  </w:r>
                  <w:r>
                    <w:rPr>
                      <w:rFonts w:hint="eastAsia" w:ascii="Times New Roman" w:hAnsi="Times New Roman"/>
                      <w:color w:val="auto"/>
                      <w:szCs w:val="21"/>
                      <w:lang w:val="en-US" w:eastAsia="zh-CN"/>
                    </w:rPr>
                    <w:t>三</w:t>
                  </w:r>
                  <w:r>
                    <w:rPr>
                      <w:rFonts w:hint="eastAsia" w:ascii="Times New Roman" w:hAnsi="Times New Roman"/>
                      <w:color w:val="auto"/>
                      <w:szCs w:val="21"/>
                    </w:rPr>
                    <w:t>层</w:t>
                  </w:r>
                </w:p>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3#</w:t>
                  </w:r>
                  <w:r>
                    <w:rPr>
                      <w:rFonts w:hint="default" w:ascii="Times New Roman" w:hAnsi="Times New Roman"/>
                      <w:color w:val="auto"/>
                      <w:szCs w:val="21"/>
                    </w:rPr>
                    <w:t>直线</w:t>
                  </w:r>
                  <w:r>
                    <w:rPr>
                      <w:rFonts w:hint="eastAsia" w:ascii="Times New Roman" w:hAnsi="Times New Roman"/>
                      <w:color w:val="auto"/>
                      <w:szCs w:val="21"/>
                      <w:lang w:eastAsia="zh-CN"/>
                    </w:rPr>
                    <w:t>加速器治疗室</w:t>
                  </w:r>
                </w:p>
              </w:tc>
              <w:tc>
                <w:tcPr>
                  <w:tcW w:w="62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Cs w:val="21"/>
                    </w:rPr>
                    <w:t>拟购</w:t>
                  </w:r>
                </w:p>
              </w:tc>
            </w:tr>
          </w:tbl>
          <w:p>
            <w:pPr>
              <w:keepNext w:val="0"/>
              <w:keepLines w:val="0"/>
              <w:suppressLineNumbers w:val="0"/>
              <w:spacing w:before="0" w:beforeAutospacing="0" w:after="0" w:afterAutospacing="0" w:line="360" w:lineRule="auto"/>
              <w:ind w:left="0" w:right="0"/>
              <w:rPr>
                <w:rFonts w:hint="default" w:ascii="Times New Roman" w:hAnsi="Times New Roman"/>
                <w:b/>
                <w:bCs/>
                <w:color w:val="auto"/>
                <w:sz w:val="24"/>
              </w:rPr>
            </w:pPr>
            <w:r>
              <w:rPr>
                <w:rFonts w:hint="eastAsia" w:ascii="Times New Roman" w:hAnsi="Times New Roman"/>
                <w:b/>
                <w:bCs/>
                <w:color w:val="auto"/>
                <w:sz w:val="24"/>
                <w:lang w:val="en-US" w:eastAsia="zh-CN"/>
              </w:rPr>
              <w:t>（五）</w:t>
            </w:r>
            <w:r>
              <w:rPr>
                <w:rFonts w:hint="default" w:ascii="Times New Roman" w:hAnsi="Times New Roman"/>
                <w:b/>
                <w:bCs/>
                <w:color w:val="auto"/>
                <w:sz w:val="24"/>
              </w:rPr>
              <w:t>本项目</w:t>
            </w:r>
            <w:r>
              <w:rPr>
                <w:rFonts w:hint="eastAsia" w:ascii="Times New Roman" w:hAnsi="Times New Roman"/>
                <w:b/>
                <w:bCs/>
                <w:color w:val="auto"/>
                <w:sz w:val="24"/>
                <w:lang w:val="en-US" w:eastAsia="zh-CN"/>
              </w:rPr>
              <w:t>放射源</w:t>
            </w:r>
            <w:r>
              <w:rPr>
                <w:rFonts w:hint="default" w:ascii="Times New Roman" w:hAnsi="Times New Roman"/>
                <w:b/>
                <w:bCs/>
                <w:color w:val="auto"/>
                <w:sz w:val="24"/>
              </w:rPr>
              <w:t>及特性</w:t>
            </w:r>
          </w:p>
          <w:p>
            <w:pPr>
              <w:keepNext w:val="0"/>
              <w:keepLines w:val="0"/>
              <w:suppressLineNumbers w:val="0"/>
              <w:spacing w:before="0" w:beforeAutospacing="0" w:after="0" w:afterAutospacing="0" w:line="360" w:lineRule="auto"/>
              <w:ind w:left="0" w:right="0" w:firstLine="480"/>
              <w:rPr>
                <w:rFonts w:hint="default" w:ascii="Times New Roman" w:hAnsi="Times New Roman"/>
                <w:b/>
                <w:bCs/>
                <w:color w:val="auto"/>
                <w:sz w:val="21"/>
                <w:szCs w:val="21"/>
              </w:rPr>
            </w:pPr>
            <w:r>
              <w:rPr>
                <w:rFonts w:hint="default" w:ascii="Times New Roman" w:hAnsi="Times New Roman"/>
                <w:color w:val="auto"/>
                <w:sz w:val="24"/>
              </w:rPr>
              <w:t>本项目</w:t>
            </w:r>
            <w:r>
              <w:rPr>
                <w:rFonts w:hint="eastAsia" w:ascii="Times New Roman" w:hAnsi="Times New Roman"/>
                <w:color w:val="auto"/>
                <w:sz w:val="24"/>
                <w:lang w:val="en-US" w:eastAsia="zh-CN"/>
              </w:rPr>
              <w:t>拟</w:t>
            </w:r>
            <w:r>
              <w:rPr>
                <w:rFonts w:hint="default" w:ascii="Times New Roman" w:hAnsi="Times New Roman"/>
                <w:color w:val="auto"/>
                <w:sz w:val="24"/>
              </w:rPr>
              <w:t>使用</w:t>
            </w:r>
            <w:r>
              <w:rPr>
                <w:rFonts w:hint="eastAsia" w:ascii="Times New Roman" w:hAnsi="Times New Roman"/>
                <w:color w:val="auto"/>
                <w:sz w:val="24"/>
                <w:lang w:val="en-US" w:eastAsia="zh-CN"/>
              </w:rPr>
              <w:t>放射源</w:t>
            </w:r>
            <w:r>
              <w:rPr>
                <w:rFonts w:hint="default" w:ascii="Times New Roman" w:hAnsi="Times New Roman"/>
                <w:color w:val="auto"/>
                <w:sz w:val="24"/>
              </w:rPr>
              <w:t>及其特性见表1-4；</w:t>
            </w:r>
          </w:p>
          <w:p>
            <w:pPr>
              <w:keepNext w:val="0"/>
              <w:keepLines w:val="0"/>
              <w:suppressLineNumbers w:val="0"/>
              <w:spacing w:before="0" w:beforeAutospacing="0" w:after="0" w:afterAutospacing="0" w:line="360" w:lineRule="auto"/>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表1-</w:t>
            </w:r>
            <w:r>
              <w:rPr>
                <w:rFonts w:hint="eastAsia" w:ascii="Times New Roman" w:hAnsi="Times New Roman"/>
                <w:b/>
                <w:bCs/>
                <w:color w:val="auto"/>
                <w:sz w:val="21"/>
                <w:szCs w:val="21"/>
                <w:lang w:val="en-US" w:eastAsia="zh-CN"/>
              </w:rPr>
              <w:t>4</w:t>
            </w:r>
            <w:r>
              <w:rPr>
                <w:rFonts w:hint="default" w:ascii="Times New Roman" w:hAnsi="Times New Roman"/>
                <w:b/>
                <w:bCs/>
                <w:color w:val="auto"/>
                <w:sz w:val="21"/>
                <w:szCs w:val="21"/>
              </w:rPr>
              <w:t>放射源基本参数情况</w:t>
            </w:r>
          </w:p>
          <w:tbl>
            <w:tblPr>
              <w:tblStyle w:val="17"/>
              <w:tblW w:w="8855" w:type="dxa"/>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57" w:type="dxa"/>
                <w:bottom w:w="0" w:type="dxa"/>
                <w:right w:w="57" w:type="dxa"/>
              </w:tblCellMar>
            </w:tblPr>
            <w:tblGrid>
              <w:gridCol w:w="845"/>
              <w:gridCol w:w="2290"/>
              <w:gridCol w:w="1220"/>
              <w:gridCol w:w="900"/>
              <w:gridCol w:w="780"/>
              <w:gridCol w:w="1160"/>
              <w:gridCol w:w="1660"/>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57" w:type="dxa"/>
                  <w:bottom w:w="0" w:type="dxa"/>
                  <w:right w:w="57" w:type="dxa"/>
                </w:tblCellMar>
              </w:tblPrEx>
              <w:trPr>
                <w:trHeight w:val="146" w:hRule="atLeast"/>
                <w:jc w:val="center"/>
              </w:trPr>
              <w:tc>
                <w:tcPr>
                  <w:tcW w:w="84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放射源种类</w:t>
                  </w:r>
                </w:p>
              </w:tc>
              <w:tc>
                <w:tcPr>
                  <w:tcW w:w="22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装源活度</w:t>
                  </w:r>
                </w:p>
              </w:tc>
              <w:tc>
                <w:tcPr>
                  <w:tcW w:w="122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放射源类别</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放射源数量</w:t>
                  </w:r>
                </w:p>
              </w:tc>
              <w:tc>
                <w:tcPr>
                  <w:tcW w:w="7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半衰期</w:t>
                  </w:r>
                </w:p>
              </w:tc>
              <w:tc>
                <w:tcPr>
                  <w:tcW w:w="11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辐射类型</w:t>
                  </w:r>
                </w:p>
              </w:tc>
              <w:tc>
                <w:tcPr>
                  <w:tcW w:w="16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辐射最大</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能量</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57" w:type="dxa"/>
                  <w:bottom w:w="0" w:type="dxa"/>
                  <w:right w:w="57" w:type="dxa"/>
                </w:tblCellMar>
              </w:tblPrEx>
              <w:trPr>
                <w:trHeight w:val="393" w:hRule="atLeast"/>
                <w:jc w:val="center"/>
              </w:trPr>
              <w:tc>
                <w:tcPr>
                  <w:tcW w:w="84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vertAlign w:val="superscript"/>
                    </w:rPr>
                    <w:t>192</w:t>
                  </w:r>
                  <w:r>
                    <w:rPr>
                      <w:rFonts w:hint="default" w:ascii="Times New Roman" w:hAnsi="Times New Roman"/>
                      <w:color w:val="auto"/>
                      <w:szCs w:val="21"/>
                    </w:rPr>
                    <w:t>Ir</w:t>
                  </w:r>
                </w:p>
              </w:tc>
              <w:tc>
                <w:tcPr>
                  <w:tcW w:w="22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bCs/>
                      <w:color w:val="auto"/>
                      <w:szCs w:val="21"/>
                    </w:rPr>
                    <w:t>3.7×10</w:t>
                  </w:r>
                  <w:r>
                    <w:rPr>
                      <w:rFonts w:hint="default" w:ascii="Times New Roman" w:hAnsi="Times New Roman"/>
                      <w:bCs/>
                      <w:color w:val="auto"/>
                      <w:szCs w:val="21"/>
                      <w:vertAlign w:val="superscript"/>
                    </w:rPr>
                    <w:t>11</w:t>
                  </w:r>
                  <w:r>
                    <w:rPr>
                      <w:rFonts w:hint="default" w:ascii="Times New Roman" w:hAnsi="Times New Roman"/>
                      <w:bCs/>
                      <w:color w:val="auto"/>
                      <w:szCs w:val="21"/>
                    </w:rPr>
                    <w:t>Bq</w:t>
                  </w:r>
                </w:p>
              </w:tc>
              <w:tc>
                <w:tcPr>
                  <w:tcW w:w="122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III类</w:t>
                  </w:r>
                </w:p>
              </w:tc>
              <w:tc>
                <w:tcPr>
                  <w:tcW w:w="90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1枚</w:t>
                  </w:r>
                </w:p>
              </w:tc>
              <w:tc>
                <w:tcPr>
                  <w:tcW w:w="7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74.2d</w:t>
                  </w:r>
                </w:p>
              </w:tc>
              <w:tc>
                <w:tcPr>
                  <w:tcW w:w="11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bCs/>
                      <w:color w:val="auto"/>
                      <w:szCs w:val="21"/>
                    </w:rPr>
                    <w:t>β</w:t>
                  </w:r>
                  <w:r>
                    <w:rPr>
                      <w:rFonts w:hint="default" w:ascii="Times New Roman" w:hAnsi="Times New Roman"/>
                      <w:color w:val="auto"/>
                      <w:szCs w:val="21"/>
                    </w:rPr>
                    <w:t>射线</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γ射线</w:t>
                  </w:r>
                </w:p>
              </w:tc>
              <w:tc>
                <w:tcPr>
                  <w:tcW w:w="16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E</w:t>
                  </w:r>
                  <w:r>
                    <w:rPr>
                      <w:rFonts w:hint="default" w:ascii="Times New Roman" w:hAnsi="Times New Roman"/>
                      <w:color w:val="auto"/>
                      <w:szCs w:val="21"/>
                      <w:vertAlign w:val="subscript"/>
                    </w:rPr>
                    <w:t>β</w:t>
                  </w:r>
                  <w:r>
                    <w:rPr>
                      <w:rFonts w:hint="default" w:ascii="Times New Roman" w:hAnsi="Times New Roman"/>
                      <w:color w:val="auto"/>
                      <w:szCs w:val="21"/>
                    </w:rPr>
                    <w:t>=0.675MeV</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E</w:t>
                  </w:r>
                  <w:r>
                    <w:rPr>
                      <w:rFonts w:hint="default" w:ascii="Times New Roman" w:hAnsi="Times New Roman"/>
                      <w:color w:val="auto"/>
                      <w:szCs w:val="21"/>
                      <w:vertAlign w:val="subscript"/>
                    </w:rPr>
                    <w:t>γ</w:t>
                  </w:r>
                  <w:r>
                    <w:rPr>
                      <w:rFonts w:hint="default" w:ascii="Times New Roman" w:hAnsi="Times New Roman"/>
                      <w:color w:val="auto"/>
                      <w:szCs w:val="21"/>
                    </w:rPr>
                    <w:t>=0.468MeV</w:t>
                  </w:r>
                </w:p>
              </w:tc>
            </w:tr>
          </w:tbl>
          <w:p>
            <w:pPr>
              <w:keepNext w:val="0"/>
              <w:keepLines w:val="0"/>
              <w:numPr>
                <w:ilvl w:val="0"/>
                <w:numId w:val="0"/>
              </w:numPr>
              <w:suppressLineNumbers w:val="0"/>
              <w:spacing w:before="0" w:beforeAutospacing="0" w:after="0" w:afterAutospacing="0" w:line="360" w:lineRule="auto"/>
              <w:ind w:left="0" w:right="0" w:rightChars="0"/>
              <w:rPr>
                <w:rFonts w:hint="default" w:ascii="Times New Roman" w:hAnsi="Times New Roman"/>
                <w:b/>
                <w:color w:val="auto"/>
                <w:sz w:val="24"/>
              </w:rPr>
            </w:pPr>
            <w:r>
              <w:rPr>
                <w:rFonts w:hint="eastAsia" w:ascii="Times New Roman" w:hAnsi="Times New Roman"/>
                <w:b/>
                <w:bCs/>
                <w:color w:val="auto"/>
                <w:sz w:val="24"/>
                <w:lang w:val="en-US" w:eastAsia="zh-CN"/>
              </w:rPr>
              <w:t>（六）</w:t>
            </w:r>
            <w:r>
              <w:rPr>
                <w:rFonts w:hint="default" w:ascii="Times New Roman" w:hAnsi="Times New Roman"/>
                <w:b/>
                <w:color w:val="auto"/>
                <w:sz w:val="24"/>
              </w:rPr>
              <w:t>工作人员配置情况</w:t>
            </w:r>
          </w:p>
          <w:p>
            <w:pPr>
              <w:keepNext w:val="0"/>
              <w:keepLines w:val="0"/>
              <w:suppressLineNumbers w:val="0"/>
              <w:spacing w:before="0" w:beforeAutospacing="0" w:after="0" w:afterAutospacing="0" w:line="360" w:lineRule="auto"/>
              <w:ind w:left="0" w:right="0" w:firstLine="480"/>
              <w:rPr>
                <w:rFonts w:hint="default" w:ascii="Times New Roman" w:hAnsi="Times New Roman"/>
                <w:bCs/>
                <w:color w:val="auto"/>
                <w:sz w:val="24"/>
              </w:rPr>
            </w:pPr>
            <w:r>
              <w:rPr>
                <w:rFonts w:hint="default" w:ascii="Times New Roman" w:hAnsi="Times New Roman"/>
                <w:bCs/>
                <w:color w:val="auto"/>
                <w:sz w:val="24"/>
              </w:rPr>
              <w:t>医院人员配备情况如下表所示：</w:t>
            </w:r>
          </w:p>
          <w:p>
            <w:pPr>
              <w:keepNext w:val="0"/>
              <w:keepLines w:val="0"/>
              <w:suppressLineNumbers w:val="0"/>
              <w:spacing w:before="0" w:beforeAutospacing="0" w:after="0" w:afterAutospacing="0" w:line="360" w:lineRule="auto"/>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表1-</w:t>
            </w:r>
            <w:r>
              <w:rPr>
                <w:rFonts w:hint="eastAsia" w:ascii="Times New Roman" w:hAnsi="Times New Roman"/>
                <w:b/>
                <w:bCs/>
                <w:color w:val="auto"/>
                <w:sz w:val="21"/>
                <w:szCs w:val="21"/>
                <w:lang w:val="en-US" w:eastAsia="zh-CN"/>
              </w:rPr>
              <w:t>5</w:t>
            </w:r>
            <w:r>
              <w:rPr>
                <w:rFonts w:hint="default" w:ascii="Times New Roman" w:hAnsi="Times New Roman"/>
                <w:b/>
                <w:bCs/>
                <w:color w:val="auto"/>
                <w:sz w:val="21"/>
                <w:szCs w:val="21"/>
              </w:rPr>
              <w:t xml:space="preserve"> 工作人员配置情况</w:t>
            </w:r>
          </w:p>
          <w:tbl>
            <w:tblPr>
              <w:tblStyle w:val="18"/>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723"/>
              <w:gridCol w:w="2494"/>
              <w:gridCol w:w="4118"/>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92" w:type="dxa"/>
                  <w:tcBorders>
                    <w:top w:val="single" w:color="000000" w:sz="12" w:space="0"/>
                    <w:left w:val="nil"/>
                    <w:bottom w:val="single" w:color="000000" w:sz="12"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序号</w:t>
                  </w:r>
                </w:p>
              </w:tc>
              <w:tc>
                <w:tcPr>
                  <w:tcW w:w="723" w:type="dxa"/>
                  <w:tcBorders>
                    <w:top w:val="single" w:color="000000" w:sz="12" w:space="0"/>
                    <w:bottom w:val="single" w:color="000000" w:sz="12"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科室</w:t>
                  </w:r>
                </w:p>
              </w:tc>
              <w:tc>
                <w:tcPr>
                  <w:tcW w:w="2494" w:type="dxa"/>
                  <w:tcBorders>
                    <w:top w:val="single" w:color="000000" w:sz="12" w:space="0"/>
                    <w:bottom w:val="single" w:color="000000" w:sz="12"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装置名称</w:t>
                  </w:r>
                </w:p>
              </w:tc>
              <w:tc>
                <w:tcPr>
                  <w:tcW w:w="4118" w:type="dxa"/>
                  <w:tcBorders>
                    <w:top w:val="single" w:color="000000" w:sz="12" w:space="0"/>
                    <w:bottom w:val="single" w:color="000000" w:sz="12" w:space="0"/>
                    <w:right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人员构成</w:t>
                  </w:r>
                </w:p>
              </w:tc>
              <w:tc>
                <w:tcPr>
                  <w:tcW w:w="873" w:type="dxa"/>
                  <w:tcBorders>
                    <w:top w:val="single" w:color="000000" w:sz="12" w:space="0"/>
                    <w:bottom w:val="single" w:color="000000" w:sz="12" w:space="0"/>
                    <w:right w:val="nil"/>
                  </w:tcBorders>
                  <w:noWrap w:val="0"/>
                  <w:vAlign w:val="center"/>
                </w:tcPr>
                <w:p>
                  <w:pPr>
                    <w:pStyle w:val="2"/>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highlight w:val="none"/>
                      <w:vertAlign w:val="baseline"/>
                      <w:lang w:val="en-US" w:eastAsia="zh-CN"/>
                    </w:rPr>
                  </w:pPr>
                  <w:r>
                    <w:rPr>
                      <w:rFonts w:hint="eastAsia" w:ascii="宋体" w:hAnsi="宋体"/>
                      <w:color w:val="auto"/>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92" w:type="dxa"/>
                  <w:tcBorders>
                    <w:top w:val="single" w:color="000000" w:sz="12" w:space="0"/>
                    <w:left w:val="nil"/>
                    <w:bottom w:val="single" w:color="000000" w:sz="4" w:space="0"/>
                    <w:right w:val="single" w:color="000000" w:sz="4"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1</w:t>
                  </w:r>
                </w:p>
              </w:tc>
              <w:tc>
                <w:tcPr>
                  <w:tcW w:w="723" w:type="dxa"/>
                  <w:vMerge w:val="restart"/>
                  <w:tcBorders>
                    <w:top w:val="single" w:color="000000" w:sz="12" w:space="0"/>
                    <w:left w:val="single" w:color="000000" w:sz="4" w:space="0"/>
                    <w:bottom w:val="single" w:color="000000" w:sz="4" w:space="0"/>
                    <w:right w:val="single" w:color="000000" w:sz="4"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放疗</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中心</w:t>
                  </w:r>
                </w:p>
              </w:tc>
              <w:tc>
                <w:tcPr>
                  <w:tcW w:w="2494" w:type="dxa"/>
                  <w:tcBorders>
                    <w:top w:val="single" w:color="000000" w:sz="12" w:space="0"/>
                    <w:left w:val="single" w:color="000000" w:sz="4" w:space="0"/>
                    <w:bottom w:val="single" w:color="000000" w:sz="4" w:space="0"/>
                    <w:right w:val="single" w:color="000000" w:sz="4"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3台医用直线加速器</w:t>
                  </w:r>
                </w:p>
              </w:tc>
              <w:tc>
                <w:tcPr>
                  <w:tcW w:w="4118" w:type="dxa"/>
                  <w:tcBorders>
                    <w:top w:val="single" w:color="000000" w:sz="12" w:space="0"/>
                    <w:left w:val="single" w:color="000000" w:sz="4" w:space="0"/>
                    <w:bottom w:val="single" w:color="000000" w:sz="4" w:space="0"/>
                    <w:right w:val="single" w:color="000000" w:sz="4"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 xml:space="preserve">  8</w:t>
                  </w:r>
                  <w:r>
                    <w:rPr>
                      <w:rFonts w:hint="default" w:ascii="Times New Roman" w:hAnsi="Times New Roman" w:cs="Times New Roman"/>
                      <w:color w:val="auto"/>
                      <w:kern w:val="2"/>
                      <w:sz w:val="21"/>
                      <w:szCs w:val="21"/>
                      <w:highlight w:val="none"/>
                      <w:vertAlign w:val="baseline"/>
                      <w:lang w:val="en-US" w:eastAsia="zh-CN"/>
                    </w:rPr>
                    <w:t>名医师、</w:t>
                  </w:r>
                  <w:r>
                    <w:rPr>
                      <w:rFonts w:hint="eastAsia" w:ascii="Times New Roman" w:hAnsi="Times New Roman" w:cs="Times New Roman"/>
                      <w:color w:val="auto"/>
                      <w:kern w:val="2"/>
                      <w:sz w:val="21"/>
                      <w:szCs w:val="21"/>
                      <w:highlight w:val="none"/>
                      <w:vertAlign w:val="baseline"/>
                      <w:lang w:val="en-US" w:eastAsia="zh-CN"/>
                    </w:rPr>
                    <w:t>6</w:t>
                  </w:r>
                  <w:r>
                    <w:rPr>
                      <w:rFonts w:hint="default" w:ascii="Times New Roman" w:hAnsi="Times New Roman" w:cs="Times New Roman"/>
                      <w:color w:val="auto"/>
                      <w:kern w:val="2"/>
                      <w:sz w:val="21"/>
                      <w:szCs w:val="21"/>
                      <w:highlight w:val="none"/>
                      <w:vertAlign w:val="baseline"/>
                      <w:lang w:val="en-US" w:eastAsia="zh-CN"/>
                    </w:rPr>
                    <w:t>名技师、</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 xml:space="preserve"> 2</w:t>
                  </w:r>
                  <w:r>
                    <w:rPr>
                      <w:rFonts w:hint="default" w:ascii="Times New Roman" w:hAnsi="Times New Roman" w:cs="Times New Roman"/>
                      <w:color w:val="auto"/>
                      <w:kern w:val="2"/>
                      <w:sz w:val="21"/>
                      <w:szCs w:val="21"/>
                      <w:highlight w:val="none"/>
                      <w:vertAlign w:val="baseline"/>
                      <w:lang w:val="en-US" w:eastAsia="zh-CN"/>
                    </w:rPr>
                    <w:t>名物理师、</w:t>
                  </w:r>
                  <w:r>
                    <w:rPr>
                      <w:rFonts w:hint="eastAsia" w:ascii="Times New Roman" w:hAnsi="Times New Roman" w:cs="Times New Roman"/>
                      <w:color w:val="auto"/>
                      <w:kern w:val="2"/>
                      <w:sz w:val="21"/>
                      <w:szCs w:val="21"/>
                      <w:highlight w:val="none"/>
                      <w:vertAlign w:val="baseline"/>
                      <w:lang w:val="en-US" w:eastAsia="zh-CN"/>
                    </w:rPr>
                    <w:t>2</w:t>
                  </w:r>
                  <w:r>
                    <w:rPr>
                      <w:rFonts w:hint="default" w:ascii="Times New Roman" w:hAnsi="Times New Roman" w:cs="Times New Roman"/>
                      <w:color w:val="auto"/>
                      <w:kern w:val="2"/>
                      <w:sz w:val="21"/>
                      <w:szCs w:val="21"/>
                      <w:highlight w:val="none"/>
                      <w:vertAlign w:val="baseline"/>
                      <w:lang w:val="en-US" w:eastAsia="zh-CN"/>
                    </w:rPr>
                    <w:t>名护士</w:t>
                  </w:r>
                </w:p>
              </w:tc>
              <w:tc>
                <w:tcPr>
                  <w:tcW w:w="873" w:type="dxa"/>
                  <w:vMerge w:val="restart"/>
                  <w:tcBorders>
                    <w:top w:val="single" w:color="000000" w:sz="12" w:space="0"/>
                    <w:left w:val="single" w:color="000000" w:sz="4" w:space="0"/>
                    <w:bottom w:val="single" w:color="000000" w:sz="4" w:space="0"/>
                    <w:right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2" w:type="dxa"/>
                  <w:tcBorders>
                    <w:top w:val="single" w:color="000000" w:sz="4" w:space="0"/>
                    <w:left w:val="nil"/>
                    <w:bottom w:val="single" w:color="000000" w:sz="12" w:space="0"/>
                    <w:right w:val="single" w:color="000000" w:sz="4"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2</w:t>
                  </w:r>
                </w:p>
              </w:tc>
              <w:tc>
                <w:tcPr>
                  <w:tcW w:w="723" w:type="dxa"/>
                  <w:vMerge w:val="continue"/>
                  <w:tcBorders>
                    <w:top w:val="single" w:color="000000" w:sz="4" w:space="0"/>
                    <w:left w:val="single" w:color="000000" w:sz="4" w:space="0"/>
                    <w:bottom w:val="single" w:color="000000" w:sz="12" w:space="0"/>
                    <w:right w:val="single" w:color="000000" w:sz="4"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p>
              </w:tc>
              <w:tc>
                <w:tcPr>
                  <w:tcW w:w="2494" w:type="dxa"/>
                  <w:tcBorders>
                    <w:top w:val="single" w:color="000000" w:sz="4" w:space="0"/>
                    <w:left w:val="single" w:color="000000" w:sz="4" w:space="0"/>
                    <w:bottom w:val="single" w:color="000000" w:sz="12" w:space="0"/>
                    <w:right w:val="single" w:color="000000" w:sz="4"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rPr>
                  </w:pPr>
                  <w:r>
                    <w:rPr>
                      <w:rFonts w:hint="default" w:ascii="Times New Roman" w:hAnsi="Times New Roman" w:cs="Times New Roman"/>
                      <w:color w:val="auto"/>
                      <w:kern w:val="2"/>
                      <w:sz w:val="21"/>
                      <w:szCs w:val="21"/>
                      <w:highlight w:val="none"/>
                      <w:vertAlign w:val="baseline"/>
                      <w:lang w:val="en-US" w:eastAsia="zh-CN"/>
                    </w:rPr>
                    <w:t>1台后装机</w:t>
                  </w:r>
                </w:p>
              </w:tc>
              <w:tc>
                <w:tcPr>
                  <w:tcW w:w="4118" w:type="dxa"/>
                  <w:tcBorders>
                    <w:top w:val="single" w:color="000000" w:sz="4" w:space="0"/>
                    <w:left w:val="single" w:color="000000" w:sz="4" w:space="0"/>
                    <w:bottom w:val="single" w:color="000000" w:sz="12" w:space="0"/>
                    <w:right w:val="single" w:color="000000" w:sz="4" w:space="0"/>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 xml:space="preserve">  2</w:t>
                  </w:r>
                  <w:r>
                    <w:rPr>
                      <w:rFonts w:hint="default" w:ascii="Times New Roman" w:hAnsi="Times New Roman" w:cs="Times New Roman"/>
                      <w:color w:val="auto"/>
                      <w:kern w:val="2"/>
                      <w:sz w:val="21"/>
                      <w:szCs w:val="21"/>
                      <w:highlight w:val="none"/>
                      <w:vertAlign w:val="baseline"/>
                      <w:lang w:val="en-US" w:eastAsia="zh-CN"/>
                    </w:rPr>
                    <w:t>名医师、</w:t>
                  </w:r>
                  <w:r>
                    <w:rPr>
                      <w:rFonts w:hint="eastAsia" w:ascii="Times New Roman" w:hAnsi="Times New Roman" w:cs="Times New Roman"/>
                      <w:color w:val="auto"/>
                      <w:kern w:val="2"/>
                      <w:sz w:val="21"/>
                      <w:szCs w:val="21"/>
                      <w:highlight w:val="none"/>
                      <w:vertAlign w:val="baseline"/>
                      <w:lang w:val="en-US" w:eastAsia="zh-CN"/>
                    </w:rPr>
                    <w:t>2</w:t>
                  </w:r>
                  <w:r>
                    <w:rPr>
                      <w:rFonts w:hint="default" w:ascii="Times New Roman" w:hAnsi="Times New Roman" w:cs="Times New Roman"/>
                      <w:color w:val="auto"/>
                      <w:kern w:val="2"/>
                      <w:sz w:val="21"/>
                      <w:szCs w:val="21"/>
                      <w:highlight w:val="none"/>
                      <w:vertAlign w:val="baseline"/>
                      <w:lang w:val="en-US" w:eastAsia="zh-CN"/>
                    </w:rPr>
                    <w:t>名技师、</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rPr>
                    <w:t xml:space="preserve"> 2</w:t>
                  </w:r>
                  <w:r>
                    <w:rPr>
                      <w:rFonts w:hint="default" w:ascii="Times New Roman" w:hAnsi="Times New Roman" w:cs="Times New Roman"/>
                      <w:color w:val="auto"/>
                      <w:kern w:val="2"/>
                      <w:sz w:val="21"/>
                      <w:szCs w:val="21"/>
                      <w:highlight w:val="none"/>
                      <w:vertAlign w:val="baseline"/>
                      <w:lang w:val="en-US" w:eastAsia="zh-CN"/>
                    </w:rPr>
                    <w:t>名物理师、</w:t>
                  </w:r>
                  <w:r>
                    <w:rPr>
                      <w:rFonts w:hint="eastAsia" w:ascii="Times New Roman" w:hAnsi="Times New Roman" w:cs="Times New Roman"/>
                      <w:color w:val="auto"/>
                      <w:kern w:val="2"/>
                      <w:sz w:val="21"/>
                      <w:szCs w:val="21"/>
                      <w:highlight w:val="none"/>
                      <w:vertAlign w:val="baseline"/>
                      <w:lang w:val="en-US" w:eastAsia="zh-CN"/>
                    </w:rPr>
                    <w:t>2</w:t>
                  </w:r>
                  <w:r>
                    <w:rPr>
                      <w:rFonts w:hint="default" w:ascii="Times New Roman" w:hAnsi="Times New Roman" w:cs="Times New Roman"/>
                      <w:color w:val="auto"/>
                      <w:kern w:val="2"/>
                      <w:sz w:val="21"/>
                      <w:szCs w:val="21"/>
                      <w:highlight w:val="none"/>
                      <w:vertAlign w:val="baseline"/>
                      <w:lang w:val="en-US" w:eastAsia="zh-CN"/>
                    </w:rPr>
                    <w:t>名护士</w:t>
                  </w:r>
                </w:p>
              </w:tc>
              <w:tc>
                <w:tcPr>
                  <w:tcW w:w="873" w:type="dxa"/>
                  <w:vMerge w:val="continue"/>
                  <w:tcBorders>
                    <w:top w:val="single" w:color="000000" w:sz="4" w:space="0"/>
                    <w:left w:val="single" w:color="000000" w:sz="4" w:space="0"/>
                    <w:bottom w:val="single" w:color="000000" w:sz="12" w:space="0"/>
                    <w:right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p>
              </w:tc>
            </w:tr>
          </w:tbl>
          <w:p>
            <w:pPr>
              <w:keepNext w:val="0"/>
              <w:keepLines w:val="0"/>
              <w:suppressLineNumbers w:val="0"/>
              <w:spacing w:before="0" w:beforeAutospacing="0" w:after="0" w:afterAutospacing="0" w:line="360" w:lineRule="auto"/>
              <w:ind w:left="0" w:right="0" w:firstLine="480"/>
              <w:rPr>
                <w:rFonts w:hint="default" w:ascii="Times New Roman" w:hAnsi="Times New Roman"/>
                <w:bCs/>
                <w:color w:val="auto"/>
                <w:sz w:val="24"/>
                <w:szCs w:val="24"/>
              </w:rPr>
            </w:pPr>
            <w:r>
              <w:rPr>
                <w:rFonts w:hint="eastAsia" w:ascii="Times New Roman" w:hAnsi="Times New Roman"/>
                <w:color w:val="auto"/>
                <w:sz w:val="24"/>
                <w:szCs w:val="24"/>
                <w:lang w:val="en-US" w:eastAsia="zh-CN"/>
              </w:rPr>
              <w:t>本项目</w:t>
            </w:r>
            <w:r>
              <w:rPr>
                <w:rFonts w:hint="eastAsia" w:ascii="Times New Roman" w:hAnsi="Times New Roman"/>
                <w:color w:val="auto"/>
                <w:sz w:val="24"/>
                <w:szCs w:val="24"/>
              </w:rPr>
              <w:t>拟</w:t>
            </w:r>
            <w:r>
              <w:rPr>
                <w:rFonts w:hint="default" w:ascii="Times New Roman" w:hAnsi="Times New Roman"/>
                <w:color w:val="auto"/>
                <w:sz w:val="24"/>
                <w:szCs w:val="24"/>
              </w:rPr>
              <w:t>配备辐射工作人员</w:t>
            </w:r>
            <w:r>
              <w:rPr>
                <w:rFonts w:hint="eastAsia" w:ascii="Times New Roman" w:hAnsi="Times New Roman"/>
                <w:color w:val="auto"/>
                <w:sz w:val="24"/>
                <w:szCs w:val="24"/>
                <w:lang w:val="en-US" w:eastAsia="zh-CN"/>
              </w:rPr>
              <w:t>26</w:t>
            </w:r>
            <w:r>
              <w:rPr>
                <w:rFonts w:hint="default" w:ascii="Times New Roman" w:hAnsi="Times New Roman"/>
                <w:color w:val="auto"/>
                <w:sz w:val="24"/>
                <w:szCs w:val="24"/>
              </w:rPr>
              <w:t>名，</w:t>
            </w:r>
            <w:r>
              <w:rPr>
                <w:rFonts w:hint="eastAsia" w:ascii="Times New Roman" w:hAnsi="Times New Roman" w:cs="Times New Roman"/>
                <w:color w:val="auto"/>
                <w:sz w:val="24"/>
                <w:szCs w:val="24"/>
                <w:lang w:val="en-US" w:eastAsia="zh-CN"/>
              </w:rPr>
              <w:t>均为新增辐射工作人员，</w:t>
            </w:r>
            <w:r>
              <w:rPr>
                <w:rFonts w:hint="default" w:ascii="Times New Roman" w:hAnsi="Times New Roman" w:cs="Times New Roman"/>
                <w:color w:val="auto"/>
                <w:sz w:val="24"/>
                <w:szCs w:val="24"/>
              </w:rPr>
              <w:t>根据设备数量</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承担诊疗</w:t>
            </w:r>
            <w:r>
              <w:rPr>
                <w:rFonts w:hint="eastAsia" w:ascii="Times New Roman" w:hAnsi="Times New Roman" w:cs="Times New Roman"/>
                <w:color w:val="auto"/>
                <w:sz w:val="24"/>
                <w:szCs w:val="24"/>
                <w:lang w:val="en-US" w:eastAsia="zh-CN"/>
              </w:rPr>
              <w:t>和</w:t>
            </w:r>
            <w:r>
              <w:rPr>
                <w:rFonts w:hint="default" w:ascii="Times New Roman" w:hAnsi="Times New Roman" w:cs="Times New Roman"/>
                <w:color w:val="auto"/>
                <w:sz w:val="24"/>
                <w:szCs w:val="24"/>
              </w:rPr>
              <w:t>教学科研任务</w:t>
            </w:r>
            <w:r>
              <w:rPr>
                <w:rFonts w:hint="eastAsia" w:ascii="Times New Roman" w:hAnsi="Times New Roman" w:cs="Times New Roman"/>
                <w:color w:val="auto"/>
                <w:sz w:val="24"/>
                <w:szCs w:val="24"/>
                <w:lang w:val="en-US" w:eastAsia="zh-CN"/>
              </w:rPr>
              <w:t>量</w:t>
            </w:r>
            <w:r>
              <w:rPr>
                <w:rFonts w:hint="default" w:ascii="Times New Roman" w:hAnsi="Times New Roman" w:cs="Times New Roman"/>
                <w:color w:val="auto"/>
                <w:sz w:val="24"/>
                <w:szCs w:val="24"/>
              </w:rPr>
              <w:t>等实际情况</w:t>
            </w:r>
            <w:r>
              <w:rPr>
                <w:rFonts w:hint="eastAsia" w:ascii="Times New Roman" w:hAnsi="Times New Roman" w:cs="Times New Roman"/>
                <w:color w:val="auto"/>
                <w:sz w:val="24"/>
                <w:szCs w:val="24"/>
                <w:lang w:val="en-US" w:eastAsia="zh-CN"/>
              </w:rPr>
              <w:t>逐步增加。本项目辐射工作人员专岗专责，从事本项目诊疗项目后不承担其他辐射工作</w:t>
            </w:r>
            <w:r>
              <w:rPr>
                <w:rFonts w:hint="default" w:ascii="Times New Roman" w:hAnsi="Times New Roman"/>
                <w:bCs/>
                <w:color w:val="auto"/>
                <w:sz w:val="24"/>
                <w:szCs w:val="24"/>
              </w:rPr>
              <w:t>。</w:t>
            </w:r>
          </w:p>
          <w:p>
            <w:pPr>
              <w:keepNext w:val="0"/>
              <w:keepLines w:val="0"/>
              <w:suppressLineNumbers w:val="0"/>
              <w:spacing w:before="0" w:beforeAutospacing="0" w:after="0" w:afterAutospacing="0" w:line="360" w:lineRule="auto"/>
              <w:ind w:left="0" w:right="0" w:firstLine="480"/>
              <w:rPr>
                <w:rFonts w:hint="eastAsia" w:ascii="Times New Roman" w:hAnsi="Times New Roman" w:eastAsia="宋体"/>
                <w:bCs/>
                <w:color w:val="auto"/>
                <w:sz w:val="24"/>
                <w:lang w:eastAsia="zh-CN"/>
              </w:rPr>
            </w:pPr>
            <w:r>
              <w:rPr>
                <w:rFonts w:hint="default" w:ascii="Times New Roman" w:hAnsi="Times New Roman"/>
                <w:bCs/>
                <w:color w:val="auto"/>
                <w:sz w:val="24"/>
              </w:rPr>
              <w:t>工作制度：医院实行8小时工作制度，周工作日为5天</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每年工作约250天</w:t>
            </w:r>
            <w:r>
              <w:rPr>
                <w:rFonts w:hint="eastAsia" w:ascii="Times New Roman" w:hAnsi="Times New Roman"/>
                <w:bCs/>
                <w:color w:val="auto"/>
                <w:sz w:val="24"/>
                <w:lang w:eastAsia="zh-CN"/>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szCs w:val="28"/>
                <w:highlight w:val="none"/>
              </w:rPr>
            </w:pPr>
            <w:r>
              <w:rPr>
                <w:rFonts w:hint="eastAsia" w:ascii="Times New Roman" w:hAnsi="Times New Roman"/>
                <w:b/>
                <w:bCs/>
                <w:color w:val="auto"/>
                <w:sz w:val="28"/>
                <w:szCs w:val="28"/>
                <w:lang w:val="en-US" w:eastAsia="zh-CN"/>
              </w:rPr>
              <w:t>四</w:t>
            </w:r>
            <w:r>
              <w:rPr>
                <w:rFonts w:hint="default" w:ascii="Times New Roman" w:hAnsi="Times New Roman"/>
                <w:b/>
                <w:bCs/>
                <w:color w:val="auto"/>
                <w:sz w:val="28"/>
                <w:szCs w:val="28"/>
              </w:rPr>
              <w:t>、</w:t>
            </w:r>
            <w:r>
              <w:rPr>
                <w:rFonts w:hint="default" w:ascii="Times New Roman" w:hAnsi="Times New Roman" w:cs="Times New Roman"/>
                <w:b/>
                <w:bCs/>
                <w:color w:val="auto"/>
                <w:sz w:val="28"/>
                <w:szCs w:val="28"/>
                <w:highlight w:val="none"/>
              </w:rPr>
              <w:t>本项目外环境及</w:t>
            </w:r>
            <w:r>
              <w:rPr>
                <w:rFonts w:hint="default" w:ascii="Times New Roman" w:hAnsi="Times New Roman" w:cs="Times New Roman"/>
                <w:b/>
                <w:bCs/>
                <w:color w:val="auto"/>
                <w:sz w:val="28"/>
                <w:szCs w:val="28"/>
                <w:highlight w:val="none"/>
                <w:lang w:val="en-US" w:eastAsia="zh-CN"/>
              </w:rPr>
              <w:t>选址</w:t>
            </w:r>
            <w:r>
              <w:rPr>
                <w:rFonts w:hint="default" w:ascii="Times New Roman" w:hAnsi="Times New Roman" w:cs="Times New Roman"/>
                <w:b/>
                <w:bCs/>
                <w:color w:val="auto"/>
                <w:sz w:val="28"/>
                <w:szCs w:val="28"/>
                <w:highlight w:val="none"/>
              </w:rPr>
              <w:t>合理性分析</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cs="Times New Roman"/>
                <w:b/>
                <w:bCs/>
                <w:color w:val="auto"/>
                <w:sz w:val="28"/>
                <w:szCs w:val="28"/>
                <w:highlight w:val="none"/>
                <w:lang w:val="en-US" w:eastAsia="zh-CN"/>
              </w:rPr>
              <w:t>（一）本项目外环境关系</w:t>
            </w:r>
          </w:p>
          <w:p>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highlight w:val="none"/>
                <w:lang w:val="en-US" w:eastAsia="zh-CN"/>
              </w:rPr>
              <w:t>本项目位于</w:t>
            </w:r>
            <w:r>
              <w:rPr>
                <w:rFonts w:hint="eastAsia" w:ascii="Times New Roman" w:hAnsi="Times New Roman" w:cs="Times New Roman"/>
                <w:color w:val="auto"/>
                <w:sz w:val="24"/>
                <w:szCs w:val="24"/>
                <w:highlight w:val="none"/>
                <w:lang w:eastAsia="zh-CN"/>
              </w:rPr>
              <w:t>四川省成都市温江区柳城镇麻市街33号成都市第五人民医院门急诊住院综合楼配套工程（三期）负三层放疗中心内</w:t>
            </w:r>
            <w:r>
              <w:rPr>
                <w:rFonts w:hint="eastAsia" w:ascii="Times New Roman" w:hAnsi="Times New Roman" w:cs="Times New Roman"/>
                <w:color w:val="auto"/>
                <w:sz w:val="24"/>
                <w:szCs w:val="24"/>
                <w:highlight w:val="none"/>
                <w:lang w:val="en-US" w:eastAsia="zh-CN"/>
              </w:rPr>
              <w:t>，周</w:t>
            </w:r>
            <w:r>
              <w:rPr>
                <w:rFonts w:hint="default" w:ascii="Times New Roman" w:hAnsi="Times New Roman" w:eastAsia="宋体" w:cs="Times New Roman"/>
                <w:color w:val="auto"/>
                <w:sz w:val="24"/>
                <w:szCs w:val="24"/>
                <w:highlight w:val="none"/>
                <w:lang w:val="en-US" w:eastAsia="zh-CN"/>
              </w:rPr>
              <w:t>围布置情况如下所述：</w:t>
            </w:r>
          </w:p>
          <w:p>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1#、2#、3#加速器治疗室</w:t>
            </w:r>
            <w:r>
              <w:rPr>
                <w:rFonts w:hint="default" w:ascii="Times New Roman" w:hAnsi="Times New Roman" w:eastAsia="宋体" w:cs="Times New Roman"/>
                <w:color w:val="auto"/>
                <w:sz w:val="24"/>
                <w:szCs w:val="24"/>
                <w:highlight w:val="none"/>
                <w:lang w:eastAsia="zh-CN"/>
              </w:rPr>
              <w:t>自西</w:t>
            </w:r>
            <w:r>
              <w:rPr>
                <w:rFonts w:hint="default" w:ascii="Times New Roman" w:hAnsi="Times New Roman" w:eastAsia="宋体"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eastAsia="zh-CN"/>
              </w:rPr>
              <w:t>向东</w:t>
            </w:r>
            <w:r>
              <w:rPr>
                <w:rFonts w:hint="default"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eastAsia="zh-CN"/>
              </w:rPr>
              <w:t>呈“一”字排开</w:t>
            </w:r>
            <w:r>
              <w:rPr>
                <w:rFonts w:hint="default" w:ascii="Times New Roman" w:hAnsi="Times New Roman" w:eastAsia="宋体" w:cs="Times New Roman"/>
                <w:color w:val="auto"/>
                <w:sz w:val="24"/>
                <w:szCs w:val="24"/>
                <w:highlight w:val="none"/>
                <w:lang w:val="en-US" w:eastAsia="zh-CN"/>
              </w:rPr>
              <w:t>、后装治疗室位于1#</w:t>
            </w:r>
            <w:r>
              <w:rPr>
                <w:rFonts w:hint="eastAsia" w:ascii="Times New Roman" w:hAnsi="Times New Roman" w:cs="Times New Roman"/>
                <w:color w:val="auto"/>
                <w:sz w:val="24"/>
                <w:szCs w:val="24"/>
                <w:highlight w:val="none"/>
                <w:lang w:val="en-US" w:eastAsia="zh-CN"/>
              </w:rPr>
              <w:t>加速器治疗室</w:t>
            </w:r>
            <w:r>
              <w:rPr>
                <w:rFonts w:hint="default" w:ascii="Times New Roman" w:hAnsi="Times New Roman" w:eastAsia="宋体" w:cs="Times New Roman"/>
                <w:color w:val="auto"/>
                <w:sz w:val="24"/>
                <w:szCs w:val="24"/>
                <w:highlight w:val="none"/>
                <w:lang w:val="en-US" w:eastAsia="zh-CN"/>
              </w:rPr>
              <w:t>东南部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东北侧50m范围内为</w:t>
            </w:r>
            <w:r>
              <w:rPr>
                <w:rFonts w:hint="eastAsia" w:ascii="Times New Roman" w:hAnsi="Times New Roman" w:cs="Times New Roman"/>
                <w:color w:val="auto"/>
                <w:sz w:val="24"/>
                <w:szCs w:val="24"/>
                <w:highlight w:val="none"/>
                <w:lang w:val="en-US" w:eastAsia="zh-CN"/>
              </w:rPr>
              <w:t>在建门急诊住院综合楼</w:t>
            </w:r>
            <w:r>
              <w:rPr>
                <w:rFonts w:hint="default" w:ascii="Times New Roman" w:hAnsi="Times New Roman" w:eastAsia="宋体" w:cs="Times New Roman"/>
                <w:color w:val="auto"/>
                <w:sz w:val="24"/>
                <w:szCs w:val="24"/>
                <w:highlight w:val="none"/>
                <w:lang w:val="en-US" w:eastAsia="zh-CN"/>
              </w:rPr>
              <w:t>四期地下室；西北侧50m范围内为绿化带；西侧50m范围内为3号楼；西南侧50m范围内为10号楼</w:t>
            </w:r>
            <w:r>
              <w:rPr>
                <w:rFonts w:hint="eastAsia" w:ascii="Times New Roman" w:hAnsi="Times New Roman" w:cs="Times New Roman"/>
                <w:color w:val="auto"/>
                <w:sz w:val="24"/>
                <w:szCs w:val="24"/>
                <w:highlight w:val="none"/>
                <w:lang w:val="en-US" w:eastAsia="zh-CN"/>
              </w:rPr>
              <w:t>及院外通道</w:t>
            </w:r>
            <w:r>
              <w:rPr>
                <w:rFonts w:hint="default" w:ascii="Times New Roman" w:hAnsi="Times New Roman" w:eastAsia="宋体" w:cs="Times New Roman"/>
                <w:color w:val="auto"/>
                <w:sz w:val="24"/>
                <w:szCs w:val="24"/>
                <w:highlight w:val="none"/>
                <w:lang w:val="en-US" w:eastAsia="zh-CN"/>
              </w:rPr>
              <w:t>；南侧50m范围内为8号楼</w:t>
            </w:r>
            <w:r>
              <w:rPr>
                <w:rFonts w:hint="eastAsia" w:ascii="Times New Roman" w:hAnsi="Times New Roman" w:cs="Times New Roman"/>
                <w:color w:val="auto"/>
                <w:sz w:val="24"/>
                <w:szCs w:val="24"/>
                <w:highlight w:val="none"/>
                <w:lang w:val="en-US" w:eastAsia="zh-CN"/>
              </w:rPr>
              <w:t>及院外通道</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东北侧</w:t>
            </w:r>
            <w:r>
              <w:rPr>
                <w:rFonts w:hint="default" w:ascii="Times New Roman" w:hAnsi="Times New Roman" w:eastAsia="宋体" w:cs="Times New Roman"/>
                <w:color w:val="auto"/>
                <w:sz w:val="24"/>
                <w:szCs w:val="24"/>
                <w:highlight w:val="none"/>
                <w:lang w:val="en-US" w:eastAsia="zh-CN"/>
              </w:rPr>
              <w:t>50m范围内为</w:t>
            </w:r>
            <w:r>
              <w:rPr>
                <w:rFonts w:hint="eastAsia" w:ascii="Times New Roman" w:hAnsi="Times New Roman" w:cs="Times New Roman"/>
                <w:color w:val="auto"/>
                <w:sz w:val="24"/>
                <w:szCs w:val="24"/>
                <w:highlight w:val="none"/>
                <w:lang w:val="en-US" w:eastAsia="zh-CN"/>
              </w:rPr>
              <w:t>9号楼；</w:t>
            </w:r>
            <w:r>
              <w:rPr>
                <w:rFonts w:hint="default" w:ascii="Times New Roman" w:hAnsi="Times New Roman" w:eastAsia="宋体" w:cs="Times New Roman"/>
                <w:color w:val="auto"/>
                <w:sz w:val="24"/>
                <w:szCs w:val="24"/>
                <w:highlight w:val="none"/>
                <w:lang w:val="en-US" w:eastAsia="zh-CN"/>
              </w:rPr>
              <w:t>楼上50m范围内为</w:t>
            </w:r>
            <w:r>
              <w:rPr>
                <w:rFonts w:hint="eastAsia" w:ascii="Times New Roman" w:hAnsi="Times New Roman" w:cs="Times New Roman"/>
                <w:color w:val="auto"/>
                <w:sz w:val="24"/>
                <w:szCs w:val="24"/>
                <w:highlight w:val="none"/>
                <w:lang w:val="en-US" w:eastAsia="zh-CN"/>
              </w:rPr>
              <w:t>在建门急诊住院综合楼配套工程（三期）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层~</w:t>
            </w:r>
            <w:r>
              <w:rPr>
                <w:rFonts w:hint="eastAsia"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层），楼下50m范围内为天然土层</w:t>
            </w:r>
            <w:r>
              <w:rPr>
                <w:rFonts w:hint="eastAsia" w:ascii="Times New Roman" w:hAnsi="Times New Roman" w:cs="Times New Roman"/>
                <w:color w:val="auto"/>
                <w:sz w:val="24"/>
                <w:szCs w:val="24"/>
                <w:highlight w:val="none"/>
                <w:lang w:val="en-US" w:eastAsia="zh-CN"/>
              </w:rPr>
              <w:t>（外环境关系图见附图2）</w:t>
            </w:r>
            <w:r>
              <w:rPr>
                <w:rFonts w:hint="default" w:ascii="Times New Roman" w:hAnsi="Times New Roman" w:eastAsia="宋体" w:cs="Times New Roman"/>
                <w:color w:val="auto"/>
                <w:sz w:val="24"/>
                <w:szCs w:val="24"/>
                <w:highlight w:val="none"/>
                <w:lang w:val="en-US" w:eastAsia="zh-CN"/>
              </w:rPr>
              <w:t>。</w:t>
            </w:r>
          </w:p>
          <w:p>
            <w:pPr>
              <w:keepNext w:val="0"/>
              <w:keepLines w:val="0"/>
              <w:suppressLineNumbers w:val="0"/>
              <w:spacing w:before="0" w:beforeAutospacing="0" w:after="0" w:afterAutospacing="0" w:line="360" w:lineRule="auto"/>
              <w:ind w:left="0" w:right="0"/>
              <w:rPr>
                <w:rFonts w:hint="default" w:ascii="Times New Roman" w:hAnsi="Times New Roman" w:eastAsia="宋体"/>
                <w:b/>
                <w:bCs/>
                <w:color w:val="auto"/>
                <w:sz w:val="28"/>
                <w:szCs w:val="28"/>
                <w:lang w:val="en-US" w:eastAsia="zh-CN"/>
              </w:rPr>
            </w:pPr>
            <w:r>
              <w:rPr>
                <w:rFonts w:hint="eastAsia" w:ascii="Times New Roman" w:hAnsi="Times New Roman"/>
                <w:b/>
                <w:bCs/>
                <w:color w:val="auto"/>
                <w:sz w:val="28"/>
                <w:szCs w:val="28"/>
                <w:lang w:eastAsia="zh-CN"/>
              </w:rPr>
              <w:t>（</w:t>
            </w:r>
            <w:r>
              <w:rPr>
                <w:rFonts w:hint="eastAsia" w:ascii="Times New Roman" w:hAnsi="Times New Roman"/>
                <w:b/>
                <w:bCs/>
                <w:color w:val="auto"/>
                <w:sz w:val="28"/>
                <w:szCs w:val="28"/>
                <w:lang w:val="en-US" w:eastAsia="zh-CN"/>
              </w:rPr>
              <w:t>二</w:t>
            </w:r>
            <w:r>
              <w:rPr>
                <w:rFonts w:hint="eastAsia" w:ascii="Times New Roman" w:hAnsi="Times New Roman"/>
                <w:b/>
                <w:bCs/>
                <w:color w:val="auto"/>
                <w:sz w:val="28"/>
                <w:szCs w:val="28"/>
                <w:lang w:eastAsia="zh-CN"/>
              </w:rPr>
              <w:t>）</w:t>
            </w:r>
            <w:r>
              <w:rPr>
                <w:rFonts w:hint="eastAsia" w:ascii="Times New Roman" w:hAnsi="Times New Roman"/>
                <w:b/>
                <w:bCs/>
                <w:color w:val="auto"/>
                <w:sz w:val="28"/>
                <w:szCs w:val="28"/>
                <w:lang w:val="en-US" w:eastAsia="zh-CN"/>
              </w:rPr>
              <w:t>选址合理性分析</w:t>
            </w:r>
          </w:p>
          <w:p>
            <w:pPr>
              <w:pStyle w:val="7"/>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宋体" w:hAnsi="宋体"/>
                <w:color w:val="auto"/>
                <w:sz w:val="24"/>
                <w:lang w:val="en-US" w:eastAsia="zh-CN"/>
              </w:rPr>
              <w:t>本项目选址于</w:t>
            </w:r>
            <w:r>
              <w:rPr>
                <w:rFonts w:hint="eastAsia" w:ascii="Times New Roman" w:hAnsi="Times New Roman" w:cs="Times New Roman"/>
                <w:color w:val="auto"/>
                <w:sz w:val="24"/>
                <w:szCs w:val="24"/>
                <w:highlight w:val="none"/>
                <w:lang w:eastAsia="zh-CN"/>
              </w:rPr>
              <w:t>四川省成都市温江区柳城镇麻市街33号成都市第五人民医院门急诊住院综合楼配套工程（三期）负三层放疗中心内</w:t>
            </w:r>
            <w:r>
              <w:rPr>
                <w:rFonts w:hint="eastAsia" w:ascii="宋体" w:hAnsi="宋体"/>
                <w:color w:val="auto"/>
                <w:sz w:val="24"/>
                <w:lang w:val="en-US" w:eastAsia="zh-CN"/>
              </w:rPr>
              <w:t>，医院</w:t>
            </w:r>
            <w:r>
              <w:rPr>
                <w:rFonts w:hint="default" w:ascii="宋体" w:hAnsi="宋体" w:eastAsia="宋体" w:cs="宋体"/>
                <w:color w:val="auto"/>
                <w:sz w:val="24"/>
                <w:szCs w:val="24"/>
              </w:rPr>
              <w:t>用地性质为</w:t>
            </w:r>
            <w:r>
              <w:rPr>
                <w:rFonts w:hint="default" w:ascii="宋体" w:hAnsi="宋体" w:eastAsia="宋体" w:cs="宋体"/>
                <w:color w:val="auto"/>
                <w:sz w:val="24"/>
                <w:szCs w:val="24"/>
                <w:u w:val="single"/>
              </w:rPr>
              <w:t>医疗</w:t>
            </w:r>
            <w:r>
              <w:rPr>
                <w:rFonts w:hint="eastAsia" w:ascii="宋体" w:hAnsi="宋体" w:cs="宋体"/>
                <w:color w:val="auto"/>
                <w:sz w:val="24"/>
                <w:szCs w:val="24"/>
                <w:u w:val="single"/>
                <w:lang w:val="en-US" w:eastAsia="zh-CN"/>
              </w:rPr>
              <w:t>卫生</w:t>
            </w:r>
            <w:r>
              <w:rPr>
                <w:rFonts w:hint="default" w:ascii="宋体" w:hAnsi="宋体" w:eastAsia="宋体" w:cs="宋体"/>
                <w:color w:val="auto"/>
                <w:sz w:val="24"/>
                <w:szCs w:val="24"/>
                <w:u w:val="single"/>
              </w:rPr>
              <w:t>用地</w:t>
            </w:r>
            <w:r>
              <w:rPr>
                <w:rFonts w:hint="eastAsia" w:ascii="宋体" w:hAnsi="宋体" w:cs="宋体"/>
                <w:color w:val="auto"/>
                <w:sz w:val="24"/>
                <w:szCs w:val="24"/>
                <w:lang w:eastAsia="zh-CN"/>
              </w:rPr>
              <w:t>，</w:t>
            </w:r>
            <w:r>
              <w:rPr>
                <w:rFonts w:hint="eastAsia" w:ascii="Times New Roman" w:hAnsi="Times New Roman" w:cs="Times New Roman"/>
                <w:color w:val="auto"/>
                <w:sz w:val="24"/>
                <w:szCs w:val="24"/>
                <w:highlight w:val="none"/>
                <w:lang w:val="en-US" w:eastAsia="zh-CN"/>
              </w:rPr>
              <w:t>项目所在的</w:t>
            </w:r>
            <w:r>
              <w:rPr>
                <w:rFonts w:hint="default" w:ascii="Times New Roman" w:hAnsi="Times New Roman" w:eastAsia="宋体" w:cs="Times New Roman"/>
                <w:color w:val="auto"/>
                <w:kern w:val="0"/>
                <w:sz w:val="24"/>
                <w:szCs w:val="24"/>
                <w:lang w:val="en-US" w:eastAsia="zh-CN" w:bidi="ar"/>
              </w:rPr>
              <w:t>门急诊住</w:t>
            </w:r>
            <w:r>
              <w:rPr>
                <w:rFonts w:hint="default" w:ascii="Times New Roman" w:hAnsi="Times New Roman" w:eastAsia="宋体" w:cs="Times New Roman"/>
                <w:color w:val="auto"/>
                <w:sz w:val="24"/>
                <w:szCs w:val="24"/>
                <w:highlight w:val="none"/>
                <w:lang w:val="en-US" w:eastAsia="zh-CN"/>
              </w:rPr>
              <w:t>院综合楼</w:t>
            </w:r>
            <w:r>
              <w:rPr>
                <w:rFonts w:hint="eastAsia" w:ascii="Times New Roman" w:hAnsi="Times New Roman" w:cs="Times New Roman"/>
                <w:color w:val="auto"/>
                <w:sz w:val="24"/>
                <w:szCs w:val="24"/>
                <w:highlight w:val="none"/>
                <w:lang w:val="en-US" w:eastAsia="zh-CN"/>
              </w:rPr>
              <w:t>配套工程（三期）</w:t>
            </w:r>
            <w:r>
              <w:rPr>
                <w:rFonts w:hint="default" w:ascii="Times New Roman" w:hAnsi="Times New Roman" w:eastAsia="宋体" w:cs="Times New Roman"/>
                <w:color w:val="auto"/>
                <w:sz w:val="24"/>
                <w:szCs w:val="24"/>
                <w:highlight w:val="none"/>
                <w:lang w:val="en-US" w:eastAsia="zh-CN"/>
              </w:rPr>
              <w:t>已于2020年10月12日在建设项目备案登记网已完成备案登记，备案号：202051011500000496（具体见附件</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，本项目仅为其中</w:t>
            </w:r>
            <w:r>
              <w:rPr>
                <w:rFonts w:hint="eastAsia" w:ascii="Times New Roman" w:hAnsi="Times New Roman" w:cs="Times New Roman"/>
                <w:color w:val="auto"/>
                <w:sz w:val="24"/>
                <w:szCs w:val="24"/>
                <w:highlight w:val="none"/>
                <w:lang w:val="en-US" w:eastAsia="zh-CN"/>
              </w:rPr>
              <w:t>配套</w:t>
            </w:r>
            <w:r>
              <w:rPr>
                <w:rFonts w:hint="default" w:ascii="Times New Roman" w:hAnsi="Times New Roman" w:cs="Times New Roman"/>
                <w:color w:val="auto"/>
                <w:sz w:val="24"/>
                <w:szCs w:val="24"/>
                <w:highlight w:val="none"/>
                <w:lang w:val="en-US" w:eastAsia="zh-CN"/>
              </w:rPr>
              <w:t>建设内容，不新增用地，</w:t>
            </w:r>
            <w:r>
              <w:rPr>
                <w:rFonts w:hint="default" w:ascii="Times New Roman" w:hAnsi="Times New Roman" w:eastAsia="宋体" w:cs="Times New Roman"/>
                <w:color w:val="auto"/>
                <w:sz w:val="24"/>
                <w:szCs w:val="24"/>
                <w:highlight w:val="none"/>
              </w:rPr>
              <w:t>且拟建的各辐射工作场所有良好的实体屏蔽设施和防护措施，产生的辐射经屏蔽和防护后对辐射工作人员和公众的照射剂量满足《电离辐射防护与辐射源安全基本标准》（GB18871-2002）中的剂量限值要求并满足报告表确定的剂量管理约束值的要求，从辐射安全防护的角度分析，本项目选址是合理的。</w:t>
            </w:r>
          </w:p>
          <w:p>
            <w:pPr>
              <w:keepNext w:val="0"/>
              <w:keepLines w:val="0"/>
              <w:suppressLineNumbers w:val="0"/>
              <w:spacing w:before="0" w:beforeAutospacing="0" w:after="0" w:afterAutospacing="0" w:line="360" w:lineRule="auto"/>
              <w:ind w:left="0" w:right="0"/>
              <w:rPr>
                <w:rFonts w:hint="default" w:ascii="Times New Roman" w:hAnsi="Times New Roman"/>
                <w:b/>
                <w:bCs/>
                <w:color w:val="auto"/>
                <w:sz w:val="28"/>
                <w:szCs w:val="28"/>
              </w:rPr>
            </w:pPr>
            <w:r>
              <w:rPr>
                <w:rFonts w:hint="eastAsia" w:ascii="Times New Roman" w:hAnsi="Times New Roman"/>
                <w:b/>
                <w:bCs/>
                <w:color w:val="auto"/>
                <w:sz w:val="28"/>
                <w:szCs w:val="28"/>
                <w:lang w:val="en-US" w:eastAsia="zh-CN"/>
              </w:rPr>
              <w:t>五</w:t>
            </w:r>
            <w:r>
              <w:rPr>
                <w:rFonts w:hint="default" w:ascii="Times New Roman" w:hAnsi="Times New Roman"/>
                <w:b/>
                <w:bCs/>
                <w:color w:val="auto"/>
                <w:sz w:val="28"/>
                <w:szCs w:val="28"/>
              </w:rPr>
              <w:t>、原有核技术利用情况</w:t>
            </w:r>
          </w:p>
          <w:p>
            <w:pPr>
              <w:keepNext w:val="0"/>
              <w:keepLines w:val="0"/>
              <w:suppressLineNumbers w:val="0"/>
              <w:spacing w:before="0" w:beforeAutospacing="0" w:after="0" w:afterAutospacing="0" w:line="360" w:lineRule="auto"/>
              <w:ind w:left="0" w:right="0"/>
              <w:rPr>
                <w:rFonts w:hint="eastAsia" w:ascii="宋体" w:hAnsi="宋体" w:cs="宋体"/>
                <w:b/>
                <w:bCs w:val="0"/>
                <w:color w:val="auto"/>
                <w:sz w:val="24"/>
              </w:rPr>
            </w:pPr>
            <w:r>
              <w:rPr>
                <w:rFonts w:hint="eastAsia" w:ascii="宋体" w:hAnsi="宋体"/>
                <w:b/>
                <w:bCs w:val="0"/>
                <w:color w:val="auto"/>
                <w:sz w:val="24"/>
                <w:lang w:eastAsia="zh-CN"/>
              </w:rPr>
              <w:t>（</w:t>
            </w:r>
            <w:r>
              <w:rPr>
                <w:rFonts w:hint="eastAsia" w:ascii="宋体" w:hAnsi="宋体"/>
                <w:b/>
                <w:bCs w:val="0"/>
                <w:color w:val="auto"/>
                <w:sz w:val="24"/>
                <w:lang w:val="en-US" w:eastAsia="zh-CN"/>
              </w:rPr>
              <w:t>一</w:t>
            </w:r>
            <w:r>
              <w:rPr>
                <w:rFonts w:hint="eastAsia" w:ascii="宋体" w:hAnsi="宋体"/>
                <w:b/>
                <w:bCs w:val="0"/>
                <w:color w:val="auto"/>
                <w:sz w:val="24"/>
                <w:lang w:eastAsia="zh-CN"/>
              </w:rPr>
              <w:t>）</w:t>
            </w:r>
            <w:r>
              <w:rPr>
                <w:rFonts w:hint="eastAsia" w:ascii="宋体" w:hAnsi="宋体" w:cs="宋体"/>
                <w:b/>
                <w:bCs w:val="0"/>
                <w:color w:val="auto"/>
                <w:sz w:val="24"/>
              </w:rPr>
              <w:t>医院原有核技术利用项目环保手续履行情况</w:t>
            </w:r>
          </w:p>
          <w:p>
            <w:pPr>
              <w:keepNext w:val="0"/>
              <w:keepLines w:val="0"/>
              <w:suppressLineNumbers w:val="0"/>
              <w:spacing w:before="0" w:beforeAutospacing="0" w:after="0" w:afterAutospacing="0" w:line="360" w:lineRule="auto"/>
              <w:ind w:left="0" w:right="0" w:firstLine="420" w:firstLineChars="200"/>
              <w:rPr>
                <w:rFonts w:hint="default"/>
                <w:color w:val="auto"/>
              </w:rPr>
            </w:pPr>
            <w:r>
              <w:rPr>
                <w:rFonts w:hint="eastAsia"/>
                <w:color w:val="auto"/>
                <w:lang w:val="en-US" w:eastAsia="zh-CN"/>
              </w:rPr>
              <w:t xml:space="preserve"> </w:t>
            </w:r>
            <w:r>
              <w:rPr>
                <w:rFonts w:hint="eastAsia" w:ascii="Times New Roman" w:hAnsi="Times New Roman" w:cs="Times New Roman"/>
                <w:color w:val="auto"/>
                <w:sz w:val="24"/>
                <w:szCs w:val="24"/>
                <w:highlight w:val="none"/>
                <w:lang w:eastAsia="zh-CN"/>
              </w:rPr>
              <w:t>成都市第五人民医院</w:t>
            </w:r>
            <w:r>
              <w:rPr>
                <w:rFonts w:hint="default" w:ascii="Times New Roman" w:hAnsi="Times New Roman" w:eastAsia="宋体" w:cs="Times New Roman"/>
                <w:color w:val="auto"/>
                <w:sz w:val="24"/>
                <w:szCs w:val="24"/>
                <w:highlight w:val="none"/>
              </w:rPr>
              <w:t>已取得辐射安全许可证，其许可证证书编号为川环辐证[00</w:t>
            </w:r>
            <w:r>
              <w:rPr>
                <w:rFonts w:hint="eastAsia" w:ascii="Times New Roman" w:hAnsi="Times New Roman" w:cs="Times New Roman"/>
                <w:color w:val="auto"/>
                <w:sz w:val="24"/>
                <w:szCs w:val="24"/>
                <w:highlight w:val="none"/>
                <w:lang w:val="en-US" w:eastAsia="zh-CN"/>
              </w:rPr>
              <w:t>372</w:t>
            </w:r>
            <w:r>
              <w:rPr>
                <w:rFonts w:hint="default" w:ascii="Times New Roman" w:hAnsi="Times New Roman" w:eastAsia="宋体" w:cs="Times New Roman"/>
                <w:color w:val="auto"/>
                <w:sz w:val="24"/>
                <w:szCs w:val="24"/>
                <w:highlight w:val="none"/>
              </w:rPr>
              <w:t>]号，许可的种类和范围为：使用</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5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cs="Times New Roman"/>
                <w:color w:val="auto"/>
                <w:sz w:val="24"/>
                <w:szCs w:val="24"/>
                <w:highlight w:val="none"/>
              </w:rPr>
              <w:t>V</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类放射源</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使用Ⅱ、Ⅲ类射线装置</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使用</w:t>
            </w:r>
            <w:r>
              <w:rPr>
                <w:rFonts w:hint="default" w:ascii="Times New Roman" w:hAnsi="Times New Roman" w:eastAsia="宋体" w:cs="Times New Roman"/>
                <w:color w:val="auto"/>
                <w:sz w:val="24"/>
                <w:szCs w:val="24"/>
                <w:highlight w:val="none"/>
              </w:rPr>
              <w:t>非密封放射性物质</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丙级非密封放射性工作场所</w:t>
            </w:r>
            <w:r>
              <w:rPr>
                <w:rFonts w:hint="default" w:ascii="Times New Roman" w:hAnsi="Times New Roman" w:eastAsia="宋体" w:cs="Times New Roman"/>
                <w:color w:val="auto"/>
                <w:sz w:val="24"/>
                <w:szCs w:val="24"/>
                <w:highlight w:val="none"/>
              </w:rPr>
              <w:t>；发证日期：20</w:t>
            </w:r>
            <w:r>
              <w:rPr>
                <w:rFonts w:hint="eastAsia"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rPr>
              <w:t>日，有效期至20</w:t>
            </w:r>
            <w:r>
              <w:rPr>
                <w:rFonts w:hint="eastAsia" w:ascii="Times New Roman" w:hAnsi="Times New Roman"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04</w:t>
            </w:r>
            <w:r>
              <w:rPr>
                <w:rFonts w:hint="default" w:ascii="Times New Roman" w:hAnsi="Times New Roman" w:eastAsia="宋体" w:cs="Times New Roman"/>
                <w:color w:val="auto"/>
                <w:sz w:val="24"/>
                <w:szCs w:val="24"/>
                <w:highlight w:val="none"/>
              </w:rPr>
              <w:t>日。</w:t>
            </w:r>
            <w:r>
              <w:rPr>
                <w:rFonts w:hint="default" w:ascii="Times New Roman" w:hAnsi="Times New Roman" w:cs="Times New Roman"/>
                <w:color w:val="auto"/>
                <w:sz w:val="24"/>
                <w:highlight w:val="none"/>
              </w:rPr>
              <w:t>具体许可项目见表1-</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7、1-8</w:t>
            </w:r>
            <w:r>
              <w:rPr>
                <w:rFonts w:hint="default" w:ascii="Times New Roman" w:hAnsi="Times New Roman" w:cs="Times New Roman"/>
                <w:color w:val="auto"/>
                <w:sz w:val="24"/>
                <w:highlight w:val="none"/>
              </w:rPr>
              <w:t>。</w:t>
            </w:r>
          </w:p>
          <w:p>
            <w:pPr>
              <w:pStyle w:val="3"/>
              <w:keepNext w:val="0"/>
              <w:keepLines w:val="0"/>
              <w:suppressLineNumbers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表1-</w:t>
            </w:r>
            <w:r>
              <w:rPr>
                <w:rFonts w:hint="eastAsia" w:ascii="Times New Roman" w:hAnsi="Times New Roman"/>
                <w:b/>
                <w:bCs/>
                <w:color w:val="auto"/>
                <w:sz w:val="21"/>
                <w:szCs w:val="21"/>
                <w:lang w:val="en-US" w:eastAsia="zh-CN"/>
              </w:rPr>
              <w:t>6</w:t>
            </w:r>
            <w:r>
              <w:rPr>
                <w:rFonts w:hint="default" w:ascii="Times New Roman" w:hAnsi="Times New Roman"/>
                <w:b/>
                <w:bCs/>
                <w:color w:val="auto"/>
                <w:sz w:val="21"/>
                <w:szCs w:val="21"/>
              </w:rPr>
              <w:t xml:space="preserve"> </w:t>
            </w:r>
            <w:r>
              <w:rPr>
                <w:rFonts w:hint="eastAsia" w:ascii="Times New Roman" w:hAnsi="Times New Roman"/>
                <w:b/>
                <w:bCs/>
                <w:color w:val="auto"/>
                <w:sz w:val="21"/>
                <w:szCs w:val="21"/>
                <w:lang w:val="en-US" w:eastAsia="zh-CN"/>
              </w:rPr>
              <w:t>放射源使用情况</w:t>
            </w:r>
          </w:p>
          <w:tbl>
            <w:tblPr>
              <w:tblStyle w:val="17"/>
              <w:tblW w:w="8880" w:type="dxa"/>
              <w:jc w:val="center"/>
              <w:tblBorders>
                <w:top w:val="single" w:color="auto" w:sz="12" w:space="0"/>
                <w:left w:val="none" w:color="auto" w:sz="0" w:space="0"/>
                <w:bottom w:val="single" w:color="000000"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398"/>
              <w:gridCol w:w="813"/>
              <w:gridCol w:w="1290"/>
              <w:gridCol w:w="904"/>
              <w:gridCol w:w="1817"/>
              <w:gridCol w:w="1894"/>
              <w:gridCol w:w="881"/>
              <w:gridCol w:w="883"/>
            </w:tblGrid>
            <w:tr>
              <w:tblPrEx>
                <w:tblBorders>
                  <w:top w:val="single" w:color="auto" w:sz="12" w:space="0"/>
                  <w:left w:val="none" w:color="auto" w:sz="0" w:space="0"/>
                  <w:bottom w:val="single" w:color="000000"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288" w:hRule="atLeast"/>
                <w:jc w:val="center"/>
              </w:trPr>
              <w:tc>
                <w:tcPr>
                  <w:tcW w:w="398"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序</w:t>
                  </w:r>
                </w:p>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号</w:t>
                  </w:r>
                </w:p>
              </w:tc>
              <w:tc>
                <w:tcPr>
                  <w:tcW w:w="813"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名称</w:t>
                  </w:r>
                </w:p>
              </w:tc>
              <w:tc>
                <w:tcPr>
                  <w:tcW w:w="1290"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出厂活度</w:t>
                  </w:r>
                </w:p>
              </w:tc>
              <w:tc>
                <w:tcPr>
                  <w:tcW w:w="904"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数量</w:t>
                  </w:r>
                </w:p>
              </w:tc>
              <w:tc>
                <w:tcPr>
                  <w:tcW w:w="1817"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编码</w:t>
                  </w:r>
                </w:p>
              </w:tc>
              <w:tc>
                <w:tcPr>
                  <w:tcW w:w="1894"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类别</w:t>
                  </w:r>
                </w:p>
              </w:tc>
              <w:tc>
                <w:tcPr>
                  <w:tcW w:w="88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工作</w:t>
                  </w:r>
                </w:p>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场所</w:t>
                  </w:r>
                </w:p>
              </w:tc>
              <w:tc>
                <w:tcPr>
                  <w:tcW w:w="883"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活动</w:t>
                  </w:r>
                </w:p>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种类</w:t>
                  </w:r>
                </w:p>
              </w:tc>
            </w:tr>
            <w:tr>
              <w:tblPrEx>
                <w:tblBorders>
                  <w:top w:val="single" w:color="auto" w:sz="12" w:space="0"/>
                  <w:left w:val="none" w:color="auto" w:sz="0" w:space="0"/>
                  <w:bottom w:val="single" w:color="000000"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599" w:hRule="atLeast"/>
                <w:jc w:val="center"/>
              </w:trPr>
              <w:tc>
                <w:tcPr>
                  <w:tcW w:w="39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81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14"/>
                    </w:rPr>
                    <w:t>90</w:t>
                  </w:r>
                  <w:r>
                    <w:rPr>
                      <w:rFonts w:hint="default" w:ascii="Times New Roman" w:hAnsi="Times New Roman" w:cs="Times New Roman"/>
                      <w:color w:val="auto"/>
                      <w:position w:val="-9"/>
                      <w:sz w:val="21"/>
                    </w:rPr>
                    <w:t>Sr</w:t>
                  </w:r>
                </w:p>
              </w:tc>
              <w:tc>
                <w:tcPr>
                  <w:tcW w:w="12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1.48×10 </w:t>
                  </w:r>
                  <w:r>
                    <w:rPr>
                      <w:rFonts w:hint="default" w:ascii="Times New Roman" w:hAnsi="Times New Roman" w:cs="Times New Roman"/>
                      <w:color w:val="auto"/>
                      <w:sz w:val="21"/>
                      <w:szCs w:val="21"/>
                      <w:vertAlign w:val="superscript"/>
                      <w:lang w:val="en-US" w:eastAsia="zh-CN"/>
                    </w:rPr>
                    <w:t>9</w:t>
                  </w:r>
                  <w:r>
                    <w:rPr>
                      <w:rFonts w:hint="default" w:ascii="Times New Roman" w:hAnsi="Times New Roman" w:cs="Times New Roman"/>
                      <w:color w:val="auto"/>
                      <w:sz w:val="21"/>
                      <w:szCs w:val="21"/>
                      <w:lang w:val="en-US" w:eastAsia="zh-CN"/>
                    </w:rPr>
                    <w:t>Bq</w:t>
                  </w:r>
                </w:p>
              </w:tc>
              <w:tc>
                <w:tcPr>
                  <w:tcW w:w="9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1枚</w:t>
                  </w:r>
                </w:p>
              </w:tc>
              <w:tc>
                <w:tcPr>
                  <w:tcW w:w="181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0100SYD01235</w:t>
                  </w:r>
                </w:p>
              </w:tc>
              <w:tc>
                <w:tcPr>
                  <w:tcW w:w="18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Ⅴ类</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放射源</w:t>
                  </w:r>
                </w:p>
              </w:tc>
              <w:tc>
                <w:tcPr>
                  <w:tcW w:w="8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lang w:val="en-US" w:eastAsia="zh-CN"/>
                    </w:rPr>
                    <w:t>1号楼</w:t>
                  </w:r>
                </w:p>
              </w:tc>
              <w:tc>
                <w:tcPr>
                  <w:tcW w:w="88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使用</w:t>
                  </w:r>
                </w:p>
              </w:tc>
            </w:tr>
          </w:tbl>
          <w:p>
            <w:pPr>
              <w:pStyle w:val="3"/>
              <w:keepNext w:val="0"/>
              <w:keepLines w:val="0"/>
              <w:suppressLineNumbers w:val="0"/>
              <w:spacing w:before="0" w:beforeAutospacing="0" w:after="0" w:afterAutospacing="0"/>
              <w:ind w:left="0" w:right="0"/>
              <w:jc w:val="center"/>
              <w:rPr>
                <w:rFonts w:hint="default" w:ascii="Times New Roman" w:hAnsi="Times New Roman" w:eastAsia="宋体"/>
                <w:b/>
                <w:bCs/>
                <w:color w:val="auto"/>
                <w:sz w:val="21"/>
                <w:szCs w:val="21"/>
                <w:lang w:val="en-US" w:eastAsia="zh-CN"/>
              </w:rPr>
            </w:pPr>
            <w:r>
              <w:rPr>
                <w:rFonts w:hint="default" w:ascii="Times New Roman" w:hAnsi="Times New Roman"/>
                <w:b/>
                <w:bCs/>
                <w:color w:val="auto"/>
                <w:sz w:val="21"/>
                <w:szCs w:val="21"/>
              </w:rPr>
              <w:t>表1-</w:t>
            </w:r>
            <w:r>
              <w:rPr>
                <w:rFonts w:hint="eastAsia" w:ascii="Times New Roman" w:hAnsi="Times New Roman"/>
                <w:b/>
                <w:bCs/>
                <w:color w:val="auto"/>
                <w:sz w:val="21"/>
                <w:szCs w:val="21"/>
                <w:lang w:val="en-US" w:eastAsia="zh-CN"/>
              </w:rPr>
              <w:t>7</w:t>
            </w:r>
            <w:r>
              <w:rPr>
                <w:rFonts w:hint="default" w:ascii="Times New Roman" w:hAnsi="Times New Roman"/>
                <w:b/>
                <w:bCs/>
                <w:color w:val="auto"/>
                <w:sz w:val="21"/>
                <w:szCs w:val="21"/>
              </w:rPr>
              <w:t>非密封放射性物质</w:t>
            </w:r>
            <w:r>
              <w:rPr>
                <w:rFonts w:hint="eastAsia" w:ascii="Times New Roman" w:hAnsi="Times New Roman"/>
                <w:b/>
                <w:bCs/>
                <w:color w:val="auto"/>
                <w:sz w:val="21"/>
                <w:szCs w:val="21"/>
                <w:lang w:val="en-US" w:eastAsia="zh-CN"/>
              </w:rPr>
              <w:t>使用情况</w:t>
            </w:r>
          </w:p>
          <w:tbl>
            <w:tblPr>
              <w:tblStyle w:val="17"/>
              <w:tblW w:w="8738" w:type="dxa"/>
              <w:jc w:val="center"/>
              <w:tblBorders>
                <w:top w:val="single" w:color="auto" w:sz="12" w:space="0"/>
                <w:left w:val="none" w:color="auto" w:sz="0" w:space="0"/>
                <w:bottom w:val="single" w:color="000000"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492"/>
              <w:gridCol w:w="1789"/>
              <w:gridCol w:w="1959"/>
              <w:gridCol w:w="2315"/>
              <w:gridCol w:w="1168"/>
              <w:gridCol w:w="1015"/>
            </w:tblGrid>
            <w:tr>
              <w:tblPrEx>
                <w:tblBorders>
                  <w:top w:val="single" w:color="auto" w:sz="12" w:space="0"/>
                  <w:left w:val="none" w:color="auto" w:sz="0" w:space="0"/>
                  <w:bottom w:val="single" w:color="000000"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279" w:hRule="atLeast"/>
                <w:jc w:val="center"/>
              </w:trPr>
              <w:tc>
                <w:tcPr>
                  <w:tcW w:w="4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序号</w:t>
                  </w:r>
                </w:p>
              </w:tc>
              <w:tc>
                <w:tcPr>
                  <w:tcW w:w="17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核素名称</w:t>
                  </w:r>
                </w:p>
              </w:tc>
              <w:tc>
                <w:tcPr>
                  <w:tcW w:w="19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日等效最大操作量（Bq）</w:t>
                  </w:r>
                </w:p>
              </w:tc>
              <w:tc>
                <w:tcPr>
                  <w:tcW w:w="231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年最大用量（Bq）</w:t>
                  </w:r>
                </w:p>
              </w:tc>
              <w:tc>
                <w:tcPr>
                  <w:tcW w:w="11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使用</w:t>
                  </w:r>
                </w:p>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场所</w:t>
                  </w:r>
                </w:p>
              </w:tc>
              <w:tc>
                <w:tcPr>
                  <w:tcW w:w="1015" w:type="dxa"/>
                  <w:tcBorders>
                    <w:tl2br w:val="nil"/>
                    <w:tr2bl w:val="nil"/>
                  </w:tcBorders>
                  <w:vAlign w:val="center"/>
                </w:tcPr>
                <w:p>
                  <w:pPr>
                    <w:pStyle w:val="25"/>
                    <w:keepNext w:val="0"/>
                    <w:keepLines w:val="0"/>
                    <w:suppressLineNumbers w:val="0"/>
                    <w:spacing w:before="22" w:beforeAutospacing="0" w:after="0" w:afterAutospacing="0"/>
                    <w:ind w:left="0" w:right="0"/>
                    <w:jc w:val="center"/>
                    <w:rPr>
                      <w:rFonts w:hint="default" w:ascii="Times New Roman" w:hAnsi="Times New Roman"/>
                      <w:color w:val="auto"/>
                      <w:sz w:val="21"/>
                      <w:szCs w:val="21"/>
                    </w:rPr>
                  </w:pPr>
                  <w:r>
                    <w:rPr>
                      <w:rFonts w:hint="default"/>
                      <w:color w:val="auto"/>
                      <w:sz w:val="21"/>
                    </w:rPr>
                    <w:t>活动种类</w:t>
                  </w:r>
                </w:p>
              </w:tc>
            </w:tr>
            <w:tr>
              <w:tblPrEx>
                <w:tblBorders>
                  <w:top w:val="single" w:color="auto" w:sz="12" w:space="0"/>
                  <w:left w:val="none" w:color="auto" w:sz="0" w:space="0"/>
                  <w:bottom w:val="single" w:color="000000"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141" w:hRule="atLeast"/>
                <w:jc w:val="center"/>
              </w:trPr>
              <w:tc>
                <w:tcPr>
                  <w:tcW w:w="49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17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vertAlign w:val="superscript"/>
                      <w:lang w:val="en-US" w:eastAsia="zh-CN"/>
                    </w:rPr>
                    <w:t>125</w:t>
                  </w:r>
                  <w:r>
                    <w:rPr>
                      <w:rFonts w:hint="eastAsia" w:ascii="Times New Roman" w:hAnsi="Times New Roman"/>
                      <w:color w:val="auto"/>
                      <w:sz w:val="21"/>
                      <w:szCs w:val="21"/>
                      <w:lang w:val="en-US" w:eastAsia="zh-CN"/>
                    </w:rPr>
                    <w:t>I</w:t>
                  </w:r>
                </w:p>
              </w:tc>
              <w:tc>
                <w:tcPr>
                  <w:tcW w:w="19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olor w:val="auto"/>
                      <w:sz w:val="21"/>
                      <w:lang w:val="en-US" w:eastAsia="zh-CN"/>
                    </w:rPr>
                    <w:t>3.55</w:t>
                  </w:r>
                  <w:r>
                    <w:rPr>
                      <w:rFonts w:hint="default" w:ascii="Times New Roman" w:hAnsi="Times New Roman" w:eastAsia="Times New Roman"/>
                      <w:color w:val="auto"/>
                      <w:sz w:val="21"/>
                    </w:rPr>
                    <w:t>×10</w:t>
                  </w:r>
                  <w:r>
                    <w:rPr>
                      <w:rFonts w:hint="eastAsia" w:ascii="Times New Roman" w:hAnsi="Times New Roman"/>
                      <w:color w:val="auto"/>
                      <w:sz w:val="21"/>
                      <w:vertAlign w:val="superscript"/>
                      <w:lang w:val="en-US" w:eastAsia="zh-CN"/>
                    </w:rPr>
                    <w:t>6</w:t>
                  </w:r>
                  <w:r>
                    <w:rPr>
                      <w:rFonts w:hint="default" w:ascii="Times New Roman" w:hAnsi="Times New Roman" w:eastAsia="Times New Roman"/>
                      <w:color w:val="auto"/>
                      <w:sz w:val="21"/>
                      <w:vertAlign w:val="baseline"/>
                    </w:rPr>
                    <w:t>Bq</w:t>
                  </w:r>
                </w:p>
              </w:tc>
              <w:tc>
                <w:tcPr>
                  <w:tcW w:w="231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eastAsia="Times New Roman"/>
                      <w:color w:val="auto"/>
                      <w:sz w:val="21"/>
                    </w:rPr>
                    <w:t>2.22×10</w:t>
                  </w:r>
                  <w:r>
                    <w:rPr>
                      <w:rFonts w:hint="default" w:ascii="Times New Roman" w:hAnsi="Times New Roman" w:eastAsia="Times New Roman"/>
                      <w:color w:val="auto"/>
                      <w:sz w:val="21"/>
                      <w:vertAlign w:val="superscript"/>
                    </w:rPr>
                    <w:t>7</w:t>
                  </w:r>
                  <w:r>
                    <w:rPr>
                      <w:rFonts w:hint="default" w:ascii="Times New Roman" w:hAnsi="Times New Roman" w:eastAsia="Times New Roman"/>
                      <w:color w:val="auto"/>
                      <w:sz w:val="21"/>
                      <w:vertAlign w:val="baseline"/>
                    </w:rPr>
                    <w:t>Bq</w:t>
                  </w:r>
                </w:p>
              </w:tc>
              <w:tc>
                <w:tcPr>
                  <w:tcW w:w="116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号楼</w:t>
                  </w:r>
                  <w:r>
                    <w:rPr>
                      <w:rFonts w:hint="eastAsia" w:ascii="Times New Roman" w:hAnsi="Times New Roman" w:cs="Times New Roman"/>
                      <w:color w:val="auto"/>
                      <w:lang w:val="en-US" w:eastAsia="zh-CN"/>
                    </w:rPr>
                    <w:t>1楼</w:t>
                  </w:r>
                </w:p>
              </w:tc>
              <w:tc>
                <w:tcPr>
                  <w:tcW w:w="101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color w:val="auto"/>
                      <w:sz w:val="21"/>
                    </w:rPr>
                    <w:t>使用</w:t>
                  </w:r>
                </w:p>
              </w:tc>
            </w:tr>
            <w:tr>
              <w:tblPrEx>
                <w:tblBorders>
                  <w:top w:val="single" w:color="auto" w:sz="12" w:space="0"/>
                  <w:left w:val="none" w:color="auto" w:sz="0" w:space="0"/>
                  <w:bottom w:val="single" w:color="000000"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141" w:hRule="atLeast"/>
                <w:jc w:val="center"/>
              </w:trPr>
              <w:tc>
                <w:tcPr>
                  <w:tcW w:w="4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178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 w:val="21"/>
                      <w:szCs w:val="21"/>
                      <w:vertAlign w:val="superscript"/>
                      <w:lang w:val="en-US" w:eastAsia="zh-CN"/>
                    </w:rPr>
                  </w:pPr>
                  <w:r>
                    <w:rPr>
                      <w:rFonts w:hint="default" w:ascii="Times New Roman"/>
                      <w:color w:val="auto"/>
                      <w:sz w:val="14"/>
                    </w:rPr>
                    <w:t>131</w:t>
                  </w:r>
                  <w:r>
                    <w:rPr>
                      <w:rFonts w:hint="default" w:ascii="Times New Roman"/>
                      <w:color w:val="auto"/>
                      <w:position w:val="-9"/>
                      <w:sz w:val="21"/>
                    </w:rPr>
                    <w:t>I</w:t>
                  </w:r>
                </w:p>
              </w:tc>
              <w:tc>
                <w:tcPr>
                  <w:tcW w:w="19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eastAsia="Times New Roman"/>
                      <w:color w:val="auto"/>
                      <w:sz w:val="21"/>
                    </w:rPr>
                    <w:t>2.</w:t>
                  </w:r>
                  <w:r>
                    <w:rPr>
                      <w:rFonts w:hint="eastAsia" w:ascii="Times New Roman" w:hAnsi="Times New Roman"/>
                      <w:color w:val="auto"/>
                      <w:sz w:val="21"/>
                      <w:lang w:val="en-US" w:eastAsia="zh-CN"/>
                    </w:rPr>
                    <w:t>28</w:t>
                  </w:r>
                  <w:r>
                    <w:rPr>
                      <w:rFonts w:hint="default" w:ascii="Times New Roman" w:hAnsi="Times New Roman" w:eastAsia="Times New Roman"/>
                      <w:color w:val="auto"/>
                      <w:sz w:val="21"/>
                    </w:rPr>
                    <w:t>×10</w:t>
                  </w:r>
                  <w:r>
                    <w:rPr>
                      <w:rFonts w:hint="eastAsia" w:ascii="Times New Roman" w:hAnsi="Times New Roman"/>
                      <w:color w:val="auto"/>
                      <w:sz w:val="21"/>
                      <w:vertAlign w:val="superscript"/>
                      <w:lang w:val="en-US" w:eastAsia="zh-CN"/>
                    </w:rPr>
                    <w:t>9</w:t>
                  </w:r>
                  <w:r>
                    <w:rPr>
                      <w:rFonts w:hint="default" w:ascii="Times New Roman" w:hAnsi="Times New Roman" w:eastAsia="Times New Roman"/>
                      <w:color w:val="auto"/>
                      <w:sz w:val="21"/>
                      <w:vertAlign w:val="baseline"/>
                    </w:rPr>
                    <w:t>Bq</w:t>
                  </w:r>
                </w:p>
              </w:tc>
              <w:tc>
                <w:tcPr>
                  <w:tcW w:w="231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 w:val="21"/>
                      <w:szCs w:val="21"/>
                    </w:rPr>
                  </w:pPr>
                  <w:r>
                    <w:rPr>
                      <w:rFonts w:hint="eastAsia" w:ascii="Times New Roman" w:hAnsi="Times New Roman"/>
                      <w:color w:val="auto"/>
                      <w:sz w:val="21"/>
                      <w:lang w:val="en-US" w:eastAsia="zh-CN"/>
                    </w:rPr>
                    <w:t>1.25</w:t>
                  </w:r>
                  <w:r>
                    <w:rPr>
                      <w:rFonts w:hint="default" w:ascii="Times New Roman" w:hAnsi="Times New Roman" w:eastAsia="Times New Roman"/>
                      <w:color w:val="auto"/>
                      <w:sz w:val="21"/>
                    </w:rPr>
                    <w:t>×10</w:t>
                  </w:r>
                  <w:r>
                    <w:rPr>
                      <w:rFonts w:hint="eastAsia" w:ascii="Times New Roman" w:hAnsi="Times New Roman"/>
                      <w:color w:val="auto"/>
                      <w:sz w:val="21"/>
                      <w:vertAlign w:val="superscript"/>
                      <w:lang w:val="en-US" w:eastAsia="zh-CN"/>
                    </w:rPr>
                    <w:t>12</w:t>
                  </w:r>
                  <w:r>
                    <w:rPr>
                      <w:rFonts w:hint="default" w:ascii="Times New Roman" w:hAnsi="Times New Roman" w:eastAsia="Times New Roman"/>
                      <w:color w:val="auto"/>
                      <w:sz w:val="21"/>
                      <w:vertAlign w:val="baseline"/>
                    </w:rPr>
                    <w:t>Bq</w:t>
                  </w:r>
                </w:p>
              </w:tc>
              <w:tc>
                <w:tcPr>
                  <w:tcW w:w="116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val="en-US" w:eastAsia="zh-CN"/>
                    </w:rPr>
                  </w:pPr>
                </w:p>
              </w:tc>
              <w:tc>
                <w:tcPr>
                  <w:tcW w:w="101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r>
            <w:tr>
              <w:tblPrEx>
                <w:tblBorders>
                  <w:top w:val="single" w:color="auto" w:sz="12" w:space="0"/>
                  <w:left w:val="none" w:color="auto" w:sz="0" w:space="0"/>
                  <w:bottom w:val="single" w:color="000000"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141" w:hRule="atLeast"/>
                <w:jc w:val="center"/>
              </w:trPr>
              <w:tc>
                <w:tcPr>
                  <w:tcW w:w="4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w:t>
                  </w:r>
                </w:p>
              </w:tc>
              <w:tc>
                <w:tcPr>
                  <w:tcW w:w="17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eastAsia="宋体"/>
                      <w:color w:val="auto"/>
                      <w:sz w:val="14"/>
                      <w:lang w:val="en-US" w:eastAsia="zh-CN"/>
                    </w:rPr>
                  </w:pPr>
                  <w:r>
                    <w:rPr>
                      <w:rFonts w:hint="eastAsia" w:ascii="Times New Roman"/>
                      <w:color w:val="auto"/>
                      <w:sz w:val="21"/>
                      <w:szCs w:val="21"/>
                      <w:vertAlign w:val="superscript"/>
                      <w:lang w:val="en-US" w:eastAsia="zh-CN"/>
                    </w:rPr>
                    <w:t>99m</w:t>
                  </w:r>
                  <w:r>
                    <w:rPr>
                      <w:rFonts w:hint="eastAsia" w:ascii="Times New Roman"/>
                      <w:color w:val="auto"/>
                      <w:sz w:val="21"/>
                      <w:szCs w:val="21"/>
                      <w:vertAlign w:val="baseline"/>
                      <w:lang w:val="en-US" w:eastAsia="zh-CN"/>
                    </w:rPr>
                    <w:t>Tc</w:t>
                  </w:r>
                </w:p>
              </w:tc>
              <w:tc>
                <w:tcPr>
                  <w:tcW w:w="19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2.22</w:t>
                  </w:r>
                  <w:r>
                    <w:rPr>
                      <w:rFonts w:hint="default" w:ascii="Times New Roman" w:hAnsi="Times New Roman" w:eastAsia="Times New Roman"/>
                      <w:color w:val="auto"/>
                      <w:sz w:val="21"/>
                    </w:rPr>
                    <w:t>×10</w:t>
                  </w:r>
                  <w:r>
                    <w:rPr>
                      <w:rFonts w:hint="eastAsia" w:ascii="Times New Roman" w:hAnsi="Times New Roman"/>
                      <w:color w:val="auto"/>
                      <w:sz w:val="21"/>
                      <w:vertAlign w:val="superscript"/>
                      <w:lang w:val="en-US" w:eastAsia="zh-CN"/>
                    </w:rPr>
                    <w:t>7</w:t>
                  </w:r>
                  <w:r>
                    <w:rPr>
                      <w:rFonts w:hint="default" w:ascii="Times New Roman" w:hAnsi="Times New Roman" w:eastAsia="Times New Roman"/>
                      <w:color w:val="auto"/>
                      <w:sz w:val="21"/>
                      <w:vertAlign w:val="baseline"/>
                    </w:rPr>
                    <w:t>Bq</w:t>
                  </w:r>
                </w:p>
              </w:tc>
              <w:tc>
                <w:tcPr>
                  <w:tcW w:w="231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lang w:val="en-US" w:eastAsia="zh-CN"/>
                    </w:rPr>
                  </w:pPr>
                  <w:r>
                    <w:rPr>
                      <w:rFonts w:hint="eastAsia" w:ascii="Times New Roman" w:hAnsi="Times New Roman"/>
                      <w:color w:val="auto"/>
                      <w:sz w:val="21"/>
                      <w:lang w:val="en-US" w:eastAsia="zh-CN"/>
                    </w:rPr>
                    <w:t>5.55</w:t>
                  </w:r>
                  <w:r>
                    <w:rPr>
                      <w:rFonts w:hint="default" w:ascii="Times New Roman" w:hAnsi="Times New Roman" w:eastAsia="Times New Roman"/>
                      <w:color w:val="auto"/>
                      <w:sz w:val="21"/>
                    </w:rPr>
                    <w:t>×10</w:t>
                  </w:r>
                  <w:r>
                    <w:rPr>
                      <w:rFonts w:hint="eastAsia" w:ascii="Times New Roman" w:hAnsi="Times New Roman"/>
                      <w:color w:val="auto"/>
                      <w:sz w:val="21"/>
                      <w:vertAlign w:val="superscript"/>
                      <w:lang w:val="en-US" w:eastAsia="zh-CN"/>
                    </w:rPr>
                    <w:t>12</w:t>
                  </w:r>
                  <w:r>
                    <w:rPr>
                      <w:rFonts w:hint="default" w:ascii="Times New Roman" w:hAnsi="Times New Roman" w:eastAsia="Times New Roman"/>
                      <w:color w:val="auto"/>
                      <w:sz w:val="21"/>
                      <w:vertAlign w:val="baseline"/>
                    </w:rPr>
                    <w:t>Bq</w:t>
                  </w:r>
                </w:p>
              </w:tc>
              <w:tc>
                <w:tcPr>
                  <w:tcW w:w="116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val="en-US" w:eastAsia="zh-CN"/>
                    </w:rPr>
                  </w:pPr>
                </w:p>
              </w:tc>
              <w:tc>
                <w:tcPr>
                  <w:tcW w:w="101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default"/>
                      <w:color w:val="auto"/>
                      <w:sz w:val="21"/>
                    </w:rPr>
                    <w:t>使用</w:t>
                  </w:r>
                </w:p>
              </w:tc>
            </w:tr>
            <w:tr>
              <w:tblPrEx>
                <w:tblBorders>
                  <w:top w:val="single" w:color="auto" w:sz="12" w:space="0"/>
                  <w:left w:val="none" w:color="auto" w:sz="0" w:space="0"/>
                  <w:bottom w:val="single" w:color="000000"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154" w:hRule="atLeast"/>
                <w:jc w:val="center"/>
              </w:trPr>
              <w:tc>
                <w:tcPr>
                  <w:tcW w:w="4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w:t>
                  </w:r>
                </w:p>
              </w:tc>
              <w:tc>
                <w:tcPr>
                  <w:tcW w:w="17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eastAsia="宋体"/>
                      <w:color w:val="auto"/>
                      <w:sz w:val="21"/>
                      <w:szCs w:val="21"/>
                      <w:lang w:val="en-US" w:eastAsia="zh-CN"/>
                    </w:rPr>
                  </w:pPr>
                  <w:r>
                    <w:rPr>
                      <w:rFonts w:hint="eastAsia" w:ascii="Times New Roman"/>
                      <w:color w:val="auto"/>
                      <w:sz w:val="21"/>
                      <w:szCs w:val="21"/>
                      <w:vertAlign w:val="superscript"/>
                      <w:lang w:val="en-US" w:eastAsia="zh-CN"/>
                    </w:rPr>
                    <w:t>89</w:t>
                  </w:r>
                  <w:r>
                    <w:rPr>
                      <w:rFonts w:hint="eastAsia" w:ascii="Times New Roman"/>
                      <w:color w:val="auto"/>
                      <w:sz w:val="21"/>
                      <w:szCs w:val="21"/>
                      <w:lang w:val="en-US" w:eastAsia="zh-CN"/>
                    </w:rPr>
                    <w:t>Sr</w:t>
                  </w:r>
                </w:p>
              </w:tc>
              <w:tc>
                <w:tcPr>
                  <w:tcW w:w="19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olor w:val="auto"/>
                      <w:sz w:val="21"/>
                      <w:szCs w:val="21"/>
                    </w:rPr>
                  </w:pPr>
                  <w:r>
                    <w:rPr>
                      <w:rFonts w:hint="eastAsia" w:ascii="Times New Roman" w:hAnsi="Times New Roman"/>
                      <w:color w:val="auto"/>
                      <w:sz w:val="21"/>
                      <w:lang w:val="en-US" w:eastAsia="zh-CN"/>
                    </w:rPr>
                    <w:t>1.85</w:t>
                  </w:r>
                  <w:r>
                    <w:rPr>
                      <w:rFonts w:hint="default" w:ascii="Times New Roman" w:hAnsi="Times New Roman" w:eastAsia="Times New Roman"/>
                      <w:color w:val="auto"/>
                      <w:sz w:val="21"/>
                    </w:rPr>
                    <w:t>×10</w:t>
                  </w:r>
                  <w:r>
                    <w:rPr>
                      <w:rFonts w:hint="eastAsia" w:ascii="Times New Roman" w:hAnsi="Times New Roman"/>
                      <w:color w:val="auto"/>
                      <w:sz w:val="21"/>
                      <w:vertAlign w:val="superscript"/>
                      <w:lang w:val="en-US" w:eastAsia="zh-CN"/>
                    </w:rPr>
                    <w:t>6</w:t>
                  </w:r>
                  <w:r>
                    <w:rPr>
                      <w:rFonts w:hint="default" w:ascii="Times New Roman" w:hAnsi="Times New Roman" w:eastAsia="Times New Roman"/>
                      <w:color w:val="auto"/>
                      <w:sz w:val="21"/>
                      <w:vertAlign w:val="baseline"/>
                    </w:rPr>
                    <w:t>Bq</w:t>
                  </w:r>
                </w:p>
              </w:tc>
              <w:tc>
                <w:tcPr>
                  <w:tcW w:w="231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3.70</w:t>
                  </w:r>
                  <w:r>
                    <w:rPr>
                      <w:rFonts w:hint="default" w:ascii="Times New Roman" w:hAnsi="Times New Roman" w:eastAsia="Times New Roman"/>
                      <w:color w:val="auto"/>
                      <w:sz w:val="21"/>
                    </w:rPr>
                    <w:t>×10</w:t>
                  </w:r>
                  <w:r>
                    <w:rPr>
                      <w:rFonts w:hint="eastAsia" w:ascii="Times New Roman" w:hAnsi="Times New Roman"/>
                      <w:color w:val="auto"/>
                      <w:sz w:val="21"/>
                      <w:vertAlign w:val="superscript"/>
                      <w:lang w:val="en-US" w:eastAsia="zh-CN"/>
                    </w:rPr>
                    <w:t>10</w:t>
                  </w:r>
                  <w:r>
                    <w:rPr>
                      <w:rFonts w:hint="default" w:ascii="Times New Roman" w:hAnsi="Times New Roman" w:eastAsia="Times New Roman"/>
                      <w:color w:val="auto"/>
                      <w:sz w:val="21"/>
                      <w:vertAlign w:val="baseline"/>
                    </w:rPr>
                    <w:t>Bq</w:t>
                  </w:r>
                </w:p>
              </w:tc>
              <w:tc>
                <w:tcPr>
                  <w:tcW w:w="116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val="en-US" w:eastAsia="zh-CN"/>
                    </w:rPr>
                  </w:pPr>
                </w:p>
              </w:tc>
              <w:tc>
                <w:tcPr>
                  <w:tcW w:w="101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default"/>
                      <w:color w:val="auto"/>
                      <w:sz w:val="21"/>
                    </w:rPr>
                    <w:t>使用</w:t>
                  </w:r>
                </w:p>
              </w:tc>
            </w:tr>
          </w:tbl>
          <w:p>
            <w:pPr>
              <w:pStyle w:val="2"/>
              <w:keepNext w:val="0"/>
              <w:keepLines w:val="0"/>
              <w:suppressLineNumbers w:val="0"/>
              <w:spacing w:before="0" w:beforeAutospacing="0" w:after="0" w:afterAutospacing="0"/>
              <w:ind w:left="0" w:right="0"/>
              <w:rPr>
                <w:rFonts w:hint="eastAsia"/>
                <w:color w:val="auto"/>
                <w:kern w:val="2"/>
                <w:sz w:val="18"/>
                <w:szCs w:val="18"/>
              </w:rPr>
            </w:pPr>
            <w:r>
              <w:rPr>
                <w:rFonts w:hint="eastAsia" w:ascii="黑体" w:hAnsi="黑体" w:eastAsia="黑体"/>
                <w:color w:val="auto"/>
                <w:kern w:val="2"/>
                <w:sz w:val="18"/>
                <w:szCs w:val="18"/>
              </w:rPr>
              <w:t xml:space="preserve">注：医院老核医学科目前使用 </w:t>
            </w:r>
            <w:r>
              <w:rPr>
                <w:rFonts w:hint="default" w:ascii="Times New Roman" w:hAnsi="Times New Roman" w:eastAsia="Times New Roman"/>
                <w:color w:val="auto"/>
                <w:kern w:val="2"/>
                <w:sz w:val="18"/>
                <w:szCs w:val="18"/>
                <w:vertAlign w:val="superscript"/>
              </w:rPr>
              <w:t>125</w:t>
            </w:r>
            <w:r>
              <w:rPr>
                <w:rFonts w:hint="default" w:ascii="Times New Roman" w:hAnsi="Times New Roman" w:eastAsia="Times New Roman"/>
                <w:color w:val="auto"/>
                <w:kern w:val="2"/>
                <w:sz w:val="18"/>
                <w:szCs w:val="18"/>
                <w:vertAlign w:val="baseline"/>
              </w:rPr>
              <w:t>I</w:t>
            </w:r>
            <w:r>
              <w:rPr>
                <w:rFonts w:hint="eastAsia" w:ascii="黑体" w:hAnsi="黑体" w:eastAsia="黑体"/>
                <w:color w:val="auto"/>
                <w:kern w:val="2"/>
                <w:sz w:val="18"/>
                <w:szCs w:val="18"/>
                <w:vertAlign w:val="baseline"/>
              </w:rPr>
              <w:t>（放免），已登记在辐射安全许可证上，但实际最大日使用量为</w:t>
            </w:r>
            <w:r>
              <w:rPr>
                <w:rFonts w:hint="default" w:ascii="黑体" w:hAnsi="黑体" w:eastAsia="黑体"/>
                <w:color w:val="auto"/>
                <w:kern w:val="2"/>
                <w:sz w:val="18"/>
                <w:szCs w:val="18"/>
                <w:vertAlign w:val="baseline"/>
              </w:rPr>
              <w:t>5μ</w:t>
            </w:r>
            <w:r>
              <w:rPr>
                <w:rFonts w:hint="default" w:ascii="Times New Roman" w:hAnsi="Times New Roman" w:eastAsia="Times New Roman"/>
                <w:color w:val="auto"/>
                <w:kern w:val="2"/>
                <w:sz w:val="18"/>
                <w:szCs w:val="18"/>
                <w:vertAlign w:val="baseline"/>
              </w:rPr>
              <w:t>Ci</w:t>
            </w:r>
            <w:r>
              <w:rPr>
                <w:rFonts w:hint="eastAsia" w:ascii="黑体" w:hAnsi="黑体" w:eastAsia="黑体"/>
                <w:color w:val="auto"/>
                <w:kern w:val="2"/>
                <w:sz w:val="18"/>
                <w:szCs w:val="18"/>
                <w:vertAlign w:val="baseline"/>
              </w:rPr>
              <w:t>（即</w:t>
            </w:r>
            <w:r>
              <w:rPr>
                <w:rFonts w:hint="default" w:ascii="Times New Roman" w:hAnsi="Times New Roman" w:eastAsia="Times New Roman"/>
                <w:color w:val="auto"/>
                <w:kern w:val="2"/>
                <w:sz w:val="18"/>
                <w:szCs w:val="18"/>
                <w:vertAlign w:val="baseline"/>
              </w:rPr>
              <w:t xml:space="preserve">1.85×10 </w:t>
            </w:r>
            <w:r>
              <w:rPr>
                <w:rFonts w:hint="default" w:ascii="Times New Roman" w:hAnsi="Times New Roman" w:eastAsia="Times New Roman"/>
                <w:color w:val="auto"/>
                <w:kern w:val="2"/>
                <w:sz w:val="18"/>
                <w:szCs w:val="18"/>
                <w:vertAlign w:val="superscript"/>
              </w:rPr>
              <w:t>5</w:t>
            </w:r>
            <w:r>
              <w:rPr>
                <w:rFonts w:hint="default" w:ascii="Times New Roman" w:hAnsi="Times New Roman" w:eastAsia="Times New Roman"/>
                <w:color w:val="auto"/>
                <w:kern w:val="2"/>
                <w:sz w:val="18"/>
                <w:szCs w:val="18"/>
                <w:vertAlign w:val="baseline"/>
              </w:rPr>
              <w:t>Bq</w:t>
            </w:r>
            <w:r>
              <w:rPr>
                <w:rFonts w:hint="eastAsia" w:ascii="黑体" w:hAnsi="黑体" w:eastAsia="黑体"/>
                <w:color w:val="auto"/>
                <w:kern w:val="2"/>
                <w:sz w:val="18"/>
                <w:szCs w:val="18"/>
                <w:vertAlign w:val="baseline"/>
              </w:rPr>
              <w:t>），属于豁免管理范围内。</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rPr>
                <w:rFonts w:hint="eastAsia"/>
                <w:color w:val="auto"/>
                <w:lang w:val="en-US" w:eastAsia="zh-CN"/>
              </w:rPr>
            </w:pPr>
            <w:r>
              <w:rPr>
                <w:rFonts w:hint="default" w:ascii="Times New Roman" w:hAnsi="Times New Roman"/>
                <w:b/>
                <w:bCs/>
                <w:color w:val="auto"/>
                <w:sz w:val="21"/>
                <w:szCs w:val="21"/>
              </w:rPr>
              <w:t>表1-</w:t>
            </w:r>
            <w:r>
              <w:rPr>
                <w:rFonts w:hint="eastAsia" w:ascii="Times New Roman" w:hAnsi="Times New Roman"/>
                <w:b/>
                <w:bCs/>
                <w:color w:val="auto"/>
                <w:sz w:val="21"/>
                <w:szCs w:val="21"/>
                <w:lang w:val="en-US" w:eastAsia="zh-CN"/>
              </w:rPr>
              <w:t>8</w:t>
            </w:r>
            <w:r>
              <w:rPr>
                <w:rFonts w:hint="default" w:ascii="Times New Roman" w:hAnsi="Times New Roman"/>
                <w:b/>
                <w:bCs/>
                <w:color w:val="auto"/>
                <w:sz w:val="21"/>
                <w:szCs w:val="21"/>
              </w:rPr>
              <w:t xml:space="preserve"> </w:t>
            </w:r>
            <w:r>
              <w:rPr>
                <w:rFonts w:hint="eastAsia" w:ascii="Times New Roman" w:hAnsi="Times New Roman"/>
                <w:b/>
                <w:bCs/>
                <w:color w:val="auto"/>
                <w:sz w:val="21"/>
                <w:szCs w:val="21"/>
                <w:lang w:val="en-US" w:eastAsia="zh-CN"/>
              </w:rPr>
              <w:t>医用射线装置使用情况</w:t>
            </w:r>
          </w:p>
          <w:tbl>
            <w:tblPr>
              <w:tblStyle w:val="17"/>
              <w:tblW w:w="88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598"/>
              <w:gridCol w:w="427"/>
              <w:gridCol w:w="451"/>
              <w:gridCol w:w="1622"/>
              <w:gridCol w:w="1793"/>
              <w:gridCol w:w="1670"/>
              <w:gridCol w:w="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20"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序</w:t>
                  </w:r>
                  <w:r>
                    <w:rPr>
                      <w:rFonts w:hint="default" w:ascii="Times New Roman" w:hAnsi="Times New Roman" w:cs="Times New Roman"/>
                      <w:color w:val="auto"/>
                      <w:sz w:val="21"/>
                      <w:szCs w:val="21"/>
                    </w:rPr>
                    <w:t>号</w:t>
                  </w:r>
                </w:p>
              </w:tc>
              <w:tc>
                <w:tcPr>
                  <w:tcW w:w="1598"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427"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451" w:type="dxa"/>
                  <w:tcBorders>
                    <w:bottom w:val="single" w:color="auto" w:sz="12" w:space="0"/>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c>
                <w:tcPr>
                  <w:tcW w:w="1622"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型号</w:t>
                  </w:r>
                </w:p>
              </w:tc>
              <w:tc>
                <w:tcPr>
                  <w:tcW w:w="1793" w:type="dxa"/>
                  <w:tcBorders>
                    <w:bottom w:val="single" w:color="auto" w:sz="12" w:space="0"/>
                  </w:tcBorders>
                  <w:vAlign w:val="center"/>
                </w:tcPr>
                <w:p>
                  <w:pPr>
                    <w:pStyle w:val="25"/>
                    <w:keepNext w:val="0"/>
                    <w:keepLines w:val="0"/>
                    <w:suppressLineNumbers w:val="0"/>
                    <w:spacing w:before="14" w:beforeAutospacing="0" w:after="0" w:afterAutospacing="0"/>
                    <w:ind w:left="109"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主要参</w:t>
                  </w:r>
                  <w:r>
                    <w:rPr>
                      <w:rFonts w:hint="default" w:ascii="Times New Roman" w:hAnsi="Times New Roman" w:cs="Times New Roman"/>
                      <w:color w:val="auto"/>
                      <w:spacing w:val="-13"/>
                      <w:sz w:val="21"/>
                      <w:szCs w:val="21"/>
                    </w:rPr>
                    <w:t>数</w:t>
                  </w:r>
                  <w:r>
                    <w:rPr>
                      <w:rFonts w:hint="default" w:ascii="Times New Roman" w:hAnsi="Times New Roman" w:cs="Times New Roman"/>
                      <w:color w:val="auto"/>
                      <w:sz w:val="21"/>
                      <w:szCs w:val="21"/>
                    </w:rPr>
                    <w:t>（</w:t>
                  </w:r>
                  <w:r>
                    <w:rPr>
                      <w:rFonts w:hint="default" w:ascii="Times New Roman" w:hAnsi="Times New Roman" w:cs="Times New Roman"/>
                      <w:color w:val="auto"/>
                      <w:spacing w:val="-2"/>
                      <w:sz w:val="21"/>
                      <w:szCs w:val="21"/>
                    </w:rPr>
                    <w:t>管电</w:t>
                  </w:r>
                  <w:r>
                    <w:rPr>
                      <w:rFonts w:hint="default" w:ascii="Times New Roman" w:hAnsi="Times New Roman" w:cs="Times New Roman"/>
                      <w:color w:val="auto"/>
                      <w:spacing w:val="-5"/>
                      <w:sz w:val="21"/>
                      <w:szCs w:val="21"/>
                    </w:rPr>
                    <w:t>压、管电</w:t>
                  </w:r>
                  <w:r>
                    <w:rPr>
                      <w:rFonts w:hint="default" w:ascii="Times New Roman" w:hAnsi="Times New Roman" w:cs="Times New Roman"/>
                      <w:color w:val="auto"/>
                      <w:sz w:val="21"/>
                      <w:szCs w:val="21"/>
                    </w:rPr>
                    <w:t>流）</w:t>
                  </w:r>
                </w:p>
              </w:tc>
              <w:tc>
                <w:tcPr>
                  <w:tcW w:w="1670"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工作场所</w:t>
                  </w:r>
                </w:p>
              </w:tc>
              <w:tc>
                <w:tcPr>
                  <w:tcW w:w="796"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20" w:type="dxa"/>
                  <w:tcBorders>
                    <w:top w:val="single" w:color="auto" w:sz="12"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1</w:t>
                  </w:r>
                </w:p>
              </w:tc>
              <w:tc>
                <w:tcPr>
                  <w:tcW w:w="1598" w:type="dxa"/>
                  <w:tcBorders>
                    <w:top w:val="single" w:color="auto" w:sz="12" w:space="0"/>
                    <w:tl2br w:val="nil"/>
                    <w:tr2bl w:val="nil"/>
                  </w:tcBorders>
                  <w:vAlign w:val="center"/>
                </w:tcPr>
                <w:p>
                  <w:pPr>
                    <w:pStyle w:val="25"/>
                    <w:keepNext w:val="0"/>
                    <w:keepLines w:val="0"/>
                    <w:suppressLineNumbers w:val="0"/>
                    <w:spacing w:before="22" w:beforeAutospacing="0" w:after="0" w:afterAutospacing="0" w:line="240" w:lineRule="auto"/>
                    <w:ind w:left="140" w:right="125"/>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数字减影血管造影系统</w:t>
                  </w:r>
                </w:p>
              </w:tc>
              <w:tc>
                <w:tcPr>
                  <w:tcW w:w="427" w:type="dxa"/>
                  <w:tcBorders>
                    <w:top w:val="single" w:color="auto" w:sz="12"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II</w:t>
                  </w:r>
                </w:p>
              </w:tc>
              <w:tc>
                <w:tcPr>
                  <w:tcW w:w="451" w:type="dxa"/>
                  <w:tcBorders>
                    <w:top w:val="single" w:color="auto" w:sz="12" w:space="0"/>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op w:val="single" w:color="auto" w:sz="12"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AlluraXper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FD20</w:t>
                  </w:r>
                </w:p>
              </w:tc>
              <w:tc>
                <w:tcPr>
                  <w:tcW w:w="1793" w:type="dxa"/>
                  <w:tcBorders>
                    <w:top w:val="single" w:color="auto" w:sz="12"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125kV</w:t>
                  </w:r>
                  <w:r>
                    <w:rPr>
                      <w:rFonts w:hint="default" w:ascii="Times New Roman" w:hAnsi="Calibri" w:eastAsia="Times New Roman"/>
                      <w:color w:val="auto"/>
                      <w:sz w:val="21"/>
                      <w:lang w:eastAsia="zh-CN"/>
                    </w:rPr>
                    <w:t>、</w:t>
                  </w:r>
                  <w:r>
                    <w:rPr>
                      <w:rFonts w:hint="default" w:ascii="Times New Roman" w:hAnsi="Calibri" w:eastAsia="Times New Roman"/>
                      <w:color w:val="auto"/>
                      <w:sz w:val="21"/>
                    </w:rPr>
                    <w:t>1250mA</w:t>
                  </w:r>
                </w:p>
              </w:tc>
              <w:tc>
                <w:tcPr>
                  <w:tcW w:w="1670" w:type="dxa"/>
                  <w:tcBorders>
                    <w:top w:val="single" w:color="auto" w:sz="12"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lang w:val="en-US"/>
                    </w:rPr>
                  </w:pPr>
                  <w:r>
                    <w:rPr>
                      <w:rFonts w:hint="eastAsia" w:ascii="Times New Roman" w:hAnsi="Times New Roman" w:cs="Times New Roman"/>
                      <w:color w:val="auto"/>
                      <w:lang w:val="en-US" w:eastAsia="zh-CN"/>
                    </w:rPr>
                    <w:t>介入室：导管一室</w:t>
                  </w:r>
                </w:p>
              </w:tc>
              <w:tc>
                <w:tcPr>
                  <w:tcW w:w="796" w:type="dxa"/>
                  <w:vMerge w:val="restart"/>
                  <w:tcBorders>
                    <w:top w:val="single" w:color="auto" w:sz="12"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已上证在用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eastAsia" w:ascii="Times New Roman" w:hAnsi="Times New Roman" w:cs="Times New Roman"/>
                      <w:color w:val="auto"/>
                      <w:sz w:val="21"/>
                      <w:szCs w:val="21"/>
                      <w:lang w:val="en-US" w:eastAsia="zh-CN"/>
                    </w:rPr>
                    <w:t>医用电子</w:t>
                  </w:r>
                  <w:r>
                    <w:rPr>
                      <w:rFonts w:hint="default" w:ascii="Times New Roman" w:hAnsi="Times New Roman" w:cs="Times New Roman"/>
                      <w:color w:val="auto"/>
                      <w:sz w:val="21"/>
                      <w:szCs w:val="21"/>
                    </w:rPr>
                    <w:t>直线加速器</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Clinac CX</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10MV</w:t>
                  </w:r>
                </w:p>
              </w:tc>
              <w:tc>
                <w:tcPr>
                  <w:tcW w:w="1670"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6号楼放疗中心加速器治疗室</w:t>
                  </w:r>
                </w:p>
              </w:tc>
              <w:tc>
                <w:tcPr>
                  <w:tcW w:w="796" w:type="dxa"/>
                  <w:vMerge w:val="continue"/>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3</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数字减影血管造影系统</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Innova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IGS 530</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125kV、1000mA</w:t>
                  </w:r>
                </w:p>
              </w:tc>
              <w:tc>
                <w:tcPr>
                  <w:tcW w:w="1670" w:type="dxa"/>
                  <w:tcBorders>
                    <w:tl2br w:val="nil"/>
                    <w:tr2bl w:val="nil"/>
                  </w:tcBorders>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lang w:val="en-US" w:eastAsia="zh-CN"/>
                    </w:rPr>
                    <w:t>介入室：导管二室</w:t>
                  </w:r>
                </w:p>
              </w:tc>
              <w:tc>
                <w:tcPr>
                  <w:tcW w:w="796" w:type="dxa"/>
                  <w:vMerge w:val="continue"/>
                  <w:tcBorders>
                    <w:tl2br w:val="nil"/>
                    <w:tr2bl w:val="nil"/>
                  </w:tcBorders>
                  <w:vAlign w:val="center"/>
                </w:tcPr>
                <w:p>
                  <w:pPr>
                    <w:keepNext w:val="0"/>
                    <w:keepLines w:val="0"/>
                    <w:suppressLineNumbers w:val="0"/>
                    <w:bidi w:val="0"/>
                    <w:spacing w:before="0" w:beforeAutospacing="0" w:after="0" w:afterAutospacing="0"/>
                    <w:ind w:left="0" w:right="0"/>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4</w:t>
                  </w:r>
                </w:p>
              </w:tc>
              <w:tc>
                <w:tcPr>
                  <w:tcW w:w="1598" w:type="dxa"/>
                  <w:tcBorders>
                    <w:tl2br w:val="nil"/>
                    <w:tr2bl w:val="nil"/>
                  </w:tcBorders>
                  <w:vAlign w:val="center"/>
                </w:tcPr>
                <w:p>
                  <w:pPr>
                    <w:pStyle w:val="25"/>
                    <w:keepNext w:val="0"/>
                    <w:keepLines w:val="0"/>
                    <w:suppressLineNumbers w:val="0"/>
                    <w:spacing w:before="0" w:beforeAutospacing="0" w:after="0" w:afterAutospacing="0" w:line="264" w:lineRule="exact"/>
                    <w:ind w:left="0" w:right="10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放射治疗</w:t>
                  </w:r>
                </w:p>
                <w:p>
                  <w:pPr>
                    <w:pStyle w:val="25"/>
                    <w:keepNext w:val="0"/>
                    <w:keepLines w:val="0"/>
                    <w:suppressLineNumbers w:val="0"/>
                    <w:spacing w:before="0" w:beforeAutospacing="0" w:after="0" w:afterAutospacing="0" w:line="264" w:lineRule="exact"/>
                    <w:ind w:left="0" w:right="109"/>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模拟机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rPr>
                    <w:t>HMD-</w:t>
                  </w:r>
                  <w:r>
                    <w:rPr>
                      <w:rFonts w:hint="eastAsia" w:ascii="Times New Roman" w:hAnsi="Times New Roman" w:cs="Times New Roman"/>
                      <w:color w:val="auto"/>
                      <w:sz w:val="21"/>
                      <w:szCs w:val="21"/>
                      <w:lang w:val="en-US" w:eastAsia="zh-CN"/>
                    </w:rPr>
                    <w:t>IB</w:t>
                  </w:r>
                </w:p>
              </w:tc>
              <w:tc>
                <w:tcPr>
                  <w:tcW w:w="1793" w:type="dxa"/>
                  <w:tcBorders>
                    <w:tl2br w:val="nil"/>
                    <w:tr2bl w:val="nil"/>
                  </w:tcBorders>
                  <w:vAlign w:val="center"/>
                </w:tcPr>
                <w:p>
                  <w:pPr>
                    <w:pStyle w:val="25"/>
                    <w:keepNext w:val="0"/>
                    <w:keepLines w:val="0"/>
                    <w:suppressLineNumbers w:val="0"/>
                    <w:spacing w:before="178" w:beforeAutospacing="0" w:after="0" w:afterAutospacing="0"/>
                    <w:ind w:left="0" w:right="0"/>
                    <w:jc w:val="center"/>
                    <w:rPr>
                      <w:rFonts w:hint="default" w:ascii="Times New Roman" w:hAnsi="Times New Roman" w:eastAsia="Times New Roman" w:cs="Times New Roman"/>
                      <w:color w:val="auto"/>
                      <w:spacing w:val="-1"/>
                      <w:sz w:val="21"/>
                      <w:szCs w:val="21"/>
                    </w:rPr>
                  </w:pPr>
                  <w:r>
                    <w:rPr>
                      <w:rFonts w:hint="default" w:ascii="Times New Roman" w:hAnsi="Times New Roman" w:eastAsia="Times New Roman" w:cs="Times New Roman"/>
                      <w:color w:val="auto"/>
                      <w:spacing w:val="-1"/>
                      <w:sz w:val="21"/>
                      <w:szCs w:val="21"/>
                    </w:rPr>
                    <w:t>125kV、500mA</w:t>
                  </w:r>
                </w:p>
              </w:tc>
              <w:tc>
                <w:tcPr>
                  <w:tcW w:w="1670"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6号楼放疗中心模拟定位室</w:t>
                  </w:r>
                </w:p>
              </w:tc>
              <w:tc>
                <w:tcPr>
                  <w:tcW w:w="796" w:type="dxa"/>
                  <w:vMerge w:val="continue"/>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5</w:t>
                  </w:r>
                </w:p>
              </w:tc>
              <w:tc>
                <w:tcPr>
                  <w:tcW w:w="1598" w:type="dxa"/>
                  <w:tcBorders>
                    <w:tl2br w:val="nil"/>
                    <w:tr2bl w:val="nil"/>
                  </w:tcBorders>
                  <w:vAlign w:val="center"/>
                </w:tcPr>
                <w:p>
                  <w:pPr>
                    <w:pStyle w:val="25"/>
                    <w:keepNext w:val="0"/>
                    <w:keepLines w:val="0"/>
                    <w:suppressLineNumbers w:val="0"/>
                    <w:spacing w:before="7" w:beforeAutospacing="0" w:after="0" w:afterAutospacing="0"/>
                    <w:ind w:left="0" w:right="125"/>
                    <w:jc w:val="center"/>
                    <w:rPr>
                      <w:rFonts w:hint="default" w:ascii="Times New Roman" w:hAnsi="Times New Roman" w:cs="Times New Roman"/>
                      <w:color w:val="auto"/>
                      <w:kern w:val="0"/>
                      <w:sz w:val="21"/>
                      <w:szCs w:val="21"/>
                    </w:rPr>
                  </w:pPr>
                  <w:r>
                    <w:rPr>
                      <w:rFonts w:hint="default" w:ascii="Times New Roman" w:hAnsi="Times New Roman" w:eastAsia="Times New Roman" w:cs="Times New Roman"/>
                      <w:color w:val="auto"/>
                      <w:sz w:val="21"/>
                      <w:szCs w:val="21"/>
                    </w:rPr>
                    <w:t>16 排螺旋CT</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Brightspeed</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Elite</w:t>
                  </w:r>
                </w:p>
              </w:tc>
              <w:tc>
                <w:tcPr>
                  <w:tcW w:w="1793" w:type="dxa"/>
                  <w:tcBorders>
                    <w:tl2br w:val="nil"/>
                    <w:tr2bl w:val="nil"/>
                  </w:tcBorders>
                  <w:vAlign w:val="center"/>
                </w:tcPr>
                <w:p>
                  <w:pPr>
                    <w:pStyle w:val="25"/>
                    <w:keepNext w:val="0"/>
                    <w:keepLines w:val="0"/>
                    <w:suppressLineNumbers w:val="0"/>
                    <w:spacing w:before="7" w:beforeAutospacing="0" w:after="0" w:afterAutospacing="0"/>
                    <w:ind w:left="130" w:right="0"/>
                    <w:rPr>
                      <w:rFonts w:hint="default" w:ascii="Times New Roman" w:hAnsi="Times New Roman" w:cs="Times New Roman"/>
                      <w:color w:val="auto"/>
                      <w:kern w:val="0"/>
                      <w:sz w:val="21"/>
                      <w:szCs w:val="21"/>
                    </w:rPr>
                  </w:pPr>
                  <w:r>
                    <w:rPr>
                      <w:rFonts w:hint="default" w:ascii="Times New Roman" w:eastAsia="Times New Roman"/>
                      <w:color w:val="auto"/>
                      <w:sz w:val="21"/>
                    </w:rPr>
                    <w:t>140kV</w:t>
                  </w:r>
                  <w:r>
                    <w:rPr>
                      <w:rFonts w:hint="default"/>
                      <w:color w:val="auto"/>
                      <w:sz w:val="21"/>
                    </w:rPr>
                    <w:t>、</w:t>
                  </w:r>
                  <w:r>
                    <w:rPr>
                      <w:rFonts w:hint="default" w:ascii="Times New Roman"/>
                      <w:color w:val="auto"/>
                      <w:sz w:val="21"/>
                    </w:rPr>
                    <w:t>440mA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eastAsia="Times New Roman"/>
                      <w:color w:val="auto"/>
                      <w:sz w:val="21"/>
                    </w:rPr>
                    <w:t>1</w:t>
                  </w:r>
                  <w:r>
                    <w:rPr>
                      <w:rFonts w:hint="default"/>
                      <w:color w:val="auto"/>
                      <w:sz w:val="21"/>
                    </w:rPr>
                    <w:t>号楼</w:t>
                  </w:r>
                  <w:r>
                    <w:rPr>
                      <w:rFonts w:hint="default" w:ascii="Times New Roman" w:eastAsia="Times New Roman"/>
                      <w:color w:val="auto"/>
                      <w:sz w:val="21"/>
                    </w:rPr>
                    <w:t>6</w:t>
                  </w:r>
                  <w:r>
                    <w:rPr>
                      <w:rFonts w:hint="default"/>
                      <w:color w:val="auto"/>
                      <w:sz w:val="21"/>
                    </w:rPr>
                    <w:t>层</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eastAsia="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bCs/>
                      <w:color w:val="auto"/>
                      <w:sz w:val="21"/>
                      <w:szCs w:val="21"/>
                    </w:rPr>
                    <w:t>6</w:t>
                  </w:r>
                </w:p>
              </w:tc>
              <w:tc>
                <w:tcPr>
                  <w:tcW w:w="1598" w:type="dxa"/>
                  <w:tcBorders>
                    <w:tl2br w:val="nil"/>
                    <w:tr2bl w:val="nil"/>
                  </w:tcBorders>
                  <w:vAlign w:val="center"/>
                </w:tcPr>
                <w:p>
                  <w:pPr>
                    <w:pStyle w:val="25"/>
                    <w:keepNext w:val="0"/>
                    <w:keepLines w:val="0"/>
                    <w:suppressLineNumbers w:val="0"/>
                    <w:spacing w:before="7" w:beforeAutospacing="0" w:after="0" w:afterAutospacing="0"/>
                    <w:ind w:left="0" w:right="125"/>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数字式医用</w:t>
                  </w:r>
                </w:p>
                <w:p>
                  <w:pPr>
                    <w:pStyle w:val="25"/>
                    <w:keepNext w:val="0"/>
                    <w:keepLines w:val="0"/>
                    <w:suppressLineNumbers w:val="0"/>
                    <w:spacing w:before="7" w:beforeAutospacing="0" w:after="0" w:afterAutospacing="0"/>
                    <w:ind w:left="0" w:right="125"/>
                    <w:jc w:val="center"/>
                    <w:rPr>
                      <w:rFonts w:hint="default" w:ascii="Times New Roman" w:hAnsi="Times New Roman" w:cs="Times New Roman"/>
                      <w:color w:val="auto"/>
                      <w:kern w:val="0"/>
                      <w:sz w:val="21"/>
                      <w:szCs w:val="21"/>
                    </w:rPr>
                  </w:pPr>
                  <w:r>
                    <w:rPr>
                      <w:rFonts w:hint="default" w:ascii="Times New Roman" w:hAnsi="Times New Roman" w:eastAsia="Times New Roman" w:cs="Times New Roman"/>
                      <w:color w:val="auto"/>
                      <w:sz w:val="21"/>
                      <w:szCs w:val="21"/>
                    </w:rPr>
                    <w:t>诊断X线机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pStyle w:val="25"/>
                    <w:keepNext w:val="0"/>
                    <w:keepLines w:val="0"/>
                    <w:suppressLineNumbers w:val="0"/>
                    <w:spacing w:before="21" w:beforeAutospacing="0" w:after="0" w:afterAutospacing="0"/>
                    <w:ind w:left="167" w:right="0"/>
                    <w:rPr>
                      <w:rFonts w:hint="default" w:ascii="Times New Roman"/>
                      <w:color w:val="auto"/>
                      <w:sz w:val="21"/>
                    </w:rPr>
                  </w:pPr>
                  <w:r>
                    <w:rPr>
                      <w:rFonts w:hint="default" w:ascii="Times New Roman"/>
                      <w:color w:val="auto"/>
                      <w:sz w:val="21"/>
                    </w:rPr>
                    <w:t>Philips Digital</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color w:val="auto"/>
                      <w:sz w:val="21"/>
                    </w:rPr>
                    <w:t>Diagnost VR</w:t>
                  </w:r>
                </w:p>
              </w:tc>
              <w:tc>
                <w:tcPr>
                  <w:tcW w:w="1793" w:type="dxa"/>
                  <w:tcBorders>
                    <w:tl2br w:val="nil"/>
                    <w:tr2bl w:val="nil"/>
                  </w:tcBorders>
                  <w:vAlign w:val="center"/>
                </w:tcPr>
                <w:p>
                  <w:pPr>
                    <w:pStyle w:val="25"/>
                    <w:keepNext w:val="0"/>
                    <w:keepLines w:val="0"/>
                    <w:suppressLineNumbers w:val="0"/>
                    <w:spacing w:before="10" w:beforeAutospacing="0" w:after="0" w:afterAutospacing="0"/>
                    <w:ind w:left="130" w:right="0"/>
                    <w:rPr>
                      <w:rFonts w:hint="default" w:ascii="Times New Roman" w:hAnsi="Times New Roman" w:cs="Times New Roman"/>
                      <w:color w:val="auto"/>
                      <w:kern w:val="0"/>
                      <w:sz w:val="21"/>
                      <w:szCs w:val="21"/>
                    </w:rPr>
                  </w:pPr>
                  <w:r>
                    <w:rPr>
                      <w:rFonts w:hint="default" w:ascii="Times New Roman" w:eastAsia="Times New Roman"/>
                      <w:color w:val="auto"/>
                      <w:sz w:val="21"/>
                    </w:rPr>
                    <w:t>150kV</w:t>
                  </w:r>
                  <w:r>
                    <w:rPr>
                      <w:rFonts w:hint="default"/>
                      <w:color w:val="auto"/>
                      <w:sz w:val="21"/>
                    </w:rPr>
                    <w:t>、</w:t>
                  </w:r>
                  <w:r>
                    <w:rPr>
                      <w:rFonts w:hint="default" w:ascii="Times New Roman"/>
                      <w:color w:val="auto"/>
                      <w:sz w:val="21"/>
                    </w:rPr>
                    <w:t>650mA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Calibri" w:eastAsia="Times New Roman"/>
                      <w:color w:val="auto"/>
                      <w:sz w:val="21"/>
                    </w:rPr>
                    <w:t>1号楼</w:t>
                  </w:r>
                  <w:r>
                    <w:rPr>
                      <w:rFonts w:hint="eastAsia" w:ascii="Times New Roman"/>
                      <w:color w:val="auto"/>
                      <w:sz w:val="21"/>
                      <w:lang w:val="en-US" w:eastAsia="zh-CN"/>
                    </w:rPr>
                    <w:t>1</w:t>
                  </w:r>
                  <w:r>
                    <w:rPr>
                      <w:rFonts w:hint="default" w:ascii="Times New Roman" w:hAnsi="Calibri" w:eastAsia="Times New Roman"/>
                      <w:color w:val="auto"/>
                      <w:sz w:val="21"/>
                    </w:rPr>
                    <w:t>层</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7</w:t>
                  </w:r>
                </w:p>
              </w:tc>
              <w:tc>
                <w:tcPr>
                  <w:tcW w:w="1598" w:type="dxa"/>
                  <w:tcBorders>
                    <w:tl2br w:val="nil"/>
                    <w:tr2bl w:val="nil"/>
                  </w:tcBorders>
                  <w:vAlign w:val="center"/>
                </w:tcPr>
                <w:p>
                  <w:pPr>
                    <w:pStyle w:val="25"/>
                    <w:keepNext w:val="0"/>
                    <w:keepLines w:val="0"/>
                    <w:suppressLineNumbers w:val="0"/>
                    <w:spacing w:before="7" w:beforeAutospacing="0" w:after="0" w:afterAutospacing="0"/>
                    <w:ind w:left="121" w:right="108"/>
                    <w:jc w:val="center"/>
                    <w:rPr>
                      <w:rFonts w:hint="default" w:ascii="Times New Roman" w:eastAsia="Times New Roman"/>
                      <w:color w:val="auto"/>
                      <w:sz w:val="21"/>
                    </w:rPr>
                  </w:pPr>
                  <w:r>
                    <w:rPr>
                      <w:rFonts w:hint="default" w:ascii="Times New Roman" w:eastAsia="Times New Roman"/>
                      <w:color w:val="auto"/>
                      <w:sz w:val="21"/>
                    </w:rPr>
                    <w:t xml:space="preserve">X </w:t>
                  </w:r>
                  <w:r>
                    <w:rPr>
                      <w:rFonts w:hint="default"/>
                      <w:color w:val="auto"/>
                      <w:sz w:val="21"/>
                    </w:rPr>
                    <w:t xml:space="preserve">射线 </w:t>
                  </w:r>
                  <w:r>
                    <w:rPr>
                      <w:rFonts w:hint="default" w:ascii="Times New Roman" w:eastAsia="Times New Roman"/>
                      <w:color w:val="auto"/>
                      <w:sz w:val="21"/>
                    </w:rPr>
                    <w:t>DR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bottom"/>
                    <w:rPr>
                      <w:rFonts w:hint="default" w:ascii="Times New Roman" w:hAnsi="Times New Roman" w:cs="Times New Roman"/>
                      <w:color w:val="auto"/>
                      <w:kern w:val="0"/>
                      <w:sz w:val="21"/>
                      <w:szCs w:val="21"/>
                    </w:rPr>
                  </w:pPr>
                  <w:r>
                    <w:rPr>
                      <w:rFonts w:hint="default"/>
                      <w:color w:val="auto"/>
                      <w:sz w:val="21"/>
                    </w:rPr>
                    <w:t>胃肠机二合一机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AXIOM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Luminos dRF</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150kV、800mA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Calibri" w:eastAsia="Times New Roman"/>
                      <w:color w:val="auto"/>
                      <w:sz w:val="21"/>
                    </w:rPr>
                    <w:t>1号楼2层</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8</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数字化乳腺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Cs w:val="21"/>
                    </w:rPr>
                  </w:pPr>
                  <w:r>
                    <w:rPr>
                      <w:rFonts w:hint="default" w:ascii="Times New Roman" w:hAnsi="Calibri" w:eastAsia="Times New Roman"/>
                      <w:color w:val="auto"/>
                      <w:sz w:val="21"/>
                    </w:rPr>
                    <w:t>X 射线系统</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Calibri" w:eastAsia="Times New Roman"/>
                      <w:color w:val="auto"/>
                      <w:sz w:val="21"/>
                    </w:rPr>
                    <w:t>MAMMOMAT</w:t>
                  </w:r>
                </w:p>
              </w:tc>
              <w:tc>
                <w:tcPr>
                  <w:tcW w:w="1793"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Calibri" w:eastAsia="Times New Roman"/>
                      <w:color w:val="auto"/>
                      <w:sz w:val="21"/>
                    </w:rPr>
                    <w:t>35kV、150mA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Calibri" w:eastAsia="Times New Roman"/>
                      <w:color w:val="auto"/>
                      <w:sz w:val="21"/>
                    </w:rPr>
                    <w:t>1号楼2层</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移动式数字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Calibri" w:eastAsia="Times New Roman"/>
                      <w:color w:val="auto"/>
                      <w:sz w:val="21"/>
                    </w:rPr>
                    <w:t>X 射线机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color w:val="auto"/>
                      <w:sz w:val="21"/>
                    </w:rPr>
                    <w:t>KD-C5000</w:t>
                  </w:r>
                </w:p>
              </w:tc>
              <w:tc>
                <w:tcPr>
                  <w:tcW w:w="1793" w:type="dxa"/>
                  <w:tcBorders>
                    <w:tl2br w:val="nil"/>
                    <w:tr2bl w:val="nil"/>
                  </w:tcBorders>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kern w:val="0"/>
                      <w:sz w:val="21"/>
                      <w:szCs w:val="21"/>
                    </w:rPr>
                  </w:pPr>
                  <w:r>
                    <w:rPr>
                      <w:rFonts w:hint="default" w:ascii="Times New Roman" w:eastAsia="Times New Roman"/>
                      <w:color w:val="auto"/>
                      <w:sz w:val="21"/>
                    </w:rPr>
                    <w:t>120kV</w:t>
                  </w:r>
                  <w:r>
                    <w:rPr>
                      <w:rFonts w:hint="default"/>
                      <w:color w:val="auto"/>
                      <w:sz w:val="21"/>
                    </w:rPr>
                    <w:t>、</w:t>
                  </w:r>
                  <w:r>
                    <w:rPr>
                      <w:rFonts w:hint="default" w:ascii="Times New Roman"/>
                      <w:color w:val="auto"/>
                      <w:sz w:val="21"/>
                    </w:rPr>
                    <w:t>100mA</w:t>
                  </w:r>
                </w:p>
              </w:tc>
              <w:tc>
                <w:tcPr>
                  <w:tcW w:w="1670" w:type="dxa"/>
                  <w:tcBorders>
                    <w:tl2br w:val="nil"/>
                    <w:tr2bl w:val="nil"/>
                  </w:tcBorders>
                  <w:vAlign w:val="center"/>
                </w:tcPr>
                <w:p>
                  <w:pPr>
                    <w:pStyle w:val="25"/>
                    <w:keepNext w:val="0"/>
                    <w:keepLines w:val="0"/>
                    <w:suppressLineNumbers w:val="0"/>
                    <w:spacing w:before="7" w:beforeAutospacing="0" w:after="0" w:afterAutospacing="0"/>
                    <w:ind w:left="169" w:right="0" w:hanging="60"/>
                    <w:jc w:val="center"/>
                    <w:rPr>
                      <w:rFonts w:hint="default"/>
                      <w:color w:val="auto"/>
                      <w:sz w:val="21"/>
                    </w:rPr>
                  </w:pPr>
                  <w:r>
                    <w:rPr>
                      <w:rFonts w:hint="default" w:ascii="Times New Roman" w:eastAsia="Times New Roman"/>
                      <w:color w:val="auto"/>
                      <w:sz w:val="21"/>
                    </w:rPr>
                    <w:t>2</w:t>
                  </w:r>
                  <w:r>
                    <w:rPr>
                      <w:rFonts w:hint="default"/>
                      <w:color w:val="auto"/>
                      <w:sz w:val="21"/>
                    </w:rPr>
                    <w:t>号楼</w:t>
                  </w:r>
                  <w:r>
                    <w:rPr>
                      <w:rFonts w:hint="default" w:ascii="Times New Roman" w:eastAsia="Times New Roman"/>
                      <w:color w:val="auto"/>
                      <w:sz w:val="21"/>
                    </w:rPr>
                    <w:t>4</w:t>
                  </w:r>
                  <w:r>
                    <w:rPr>
                      <w:rFonts w:hint="default"/>
                      <w:color w:val="auto"/>
                      <w:sz w:val="21"/>
                    </w:rPr>
                    <w:t>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color w:val="auto"/>
                      <w:sz w:val="21"/>
                    </w:rPr>
                    <w:t>手术室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eastAsia" w:ascii="Times New Roman" w:hAnsi="Calibri" w:eastAsia="宋体"/>
                      <w:color w:val="auto"/>
                      <w:sz w:val="21"/>
                      <w:lang w:val="en-US" w:eastAsia="zh-CN"/>
                    </w:rPr>
                  </w:pPr>
                  <w:r>
                    <w:rPr>
                      <w:rFonts w:hint="default" w:ascii="Times New Roman" w:hAnsi="Calibri" w:eastAsia="Times New Roman"/>
                      <w:color w:val="auto"/>
                      <w:sz w:val="21"/>
                    </w:rPr>
                    <w:t>医用</w:t>
                  </w:r>
                  <w:r>
                    <w:rPr>
                      <w:rFonts w:hint="eastAsia" w:ascii="Times New Roman"/>
                      <w:color w:val="auto"/>
                      <w:sz w:val="21"/>
                      <w:lang w:val="en-US" w:eastAsia="zh-CN"/>
                    </w:rPr>
                    <w:t>数字化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eastAsia" w:ascii="Times New Roman" w:hAnsi="Calibri" w:eastAsia="宋体"/>
                      <w:color w:val="auto"/>
                      <w:sz w:val="21"/>
                      <w:lang w:eastAsia="zh-CN"/>
                    </w:rPr>
                  </w:pPr>
                  <w:r>
                    <w:rPr>
                      <w:rFonts w:hint="default" w:ascii="Times New Roman" w:hAnsi="Calibri" w:eastAsia="Times New Roman"/>
                      <w:color w:val="auto"/>
                      <w:sz w:val="21"/>
                    </w:rPr>
                    <w:t>X 射线</w:t>
                  </w:r>
                  <w:r>
                    <w:rPr>
                      <w:rFonts w:hint="eastAsia" w:ascii="Times New Roman"/>
                      <w:color w:val="auto"/>
                      <w:sz w:val="21"/>
                      <w:lang w:val="en-US" w:eastAsia="zh-CN"/>
                    </w:rPr>
                    <w:t>摄影系统</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Calibri" w:eastAsia="Times New Roman"/>
                      <w:color w:val="auto"/>
                      <w:sz w:val="21"/>
                    </w:rPr>
                    <w:t>新东方1000</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150kV、630mA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万春东路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Calibri" w:eastAsia="Times New Roman"/>
                      <w:color w:val="auto"/>
                      <w:sz w:val="21"/>
                    </w:rPr>
                    <w:t>56号放射科 DR 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高频移动式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Calibri" w:eastAsia="Times New Roman"/>
                      <w:color w:val="auto"/>
                      <w:sz w:val="21"/>
                    </w:rPr>
                    <w:t>X射线机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color w:val="auto"/>
                      <w:sz w:val="21"/>
                    </w:rPr>
                    <w:t>PLX112C</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color w:val="auto"/>
                    </w:rPr>
                  </w:pPr>
                  <w:r>
                    <w:rPr>
                      <w:rFonts w:hint="default" w:ascii="Times New Roman" w:hAnsi="Calibri" w:eastAsia="Times New Roman"/>
                      <w:color w:val="auto"/>
                      <w:sz w:val="21"/>
                    </w:rPr>
                    <w:t>125kV、100mA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Calibri" w:eastAsia="Times New Roman"/>
                      <w:color w:val="auto"/>
                      <w:sz w:val="21"/>
                    </w:rPr>
                    <w:t>2号楼4层手术室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598"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Calibri" w:eastAsia="Times New Roman"/>
                      <w:color w:val="auto"/>
                      <w:sz w:val="21"/>
                    </w:rPr>
                    <w:t>X射线计算机断层摄影设备</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Brilliance CT 64 Slice</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140kV、500mA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1号楼</w:t>
                  </w:r>
                  <w:r>
                    <w:rPr>
                      <w:rFonts w:hint="eastAsia" w:ascii="Times New Roman"/>
                      <w:color w:val="auto"/>
                      <w:sz w:val="21"/>
                      <w:lang w:val="en-US" w:eastAsia="zh-CN"/>
                    </w:rPr>
                    <w:t>1</w:t>
                  </w:r>
                  <w:r>
                    <w:rPr>
                      <w:rFonts w:hint="default" w:ascii="Times New Roman" w:hAnsi="Calibri" w:eastAsia="Times New Roman"/>
                      <w:color w:val="auto"/>
                      <w:sz w:val="21"/>
                    </w:rPr>
                    <w:t>层</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口腔全景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Cs w:val="21"/>
                    </w:rPr>
                  </w:pPr>
                  <w:r>
                    <w:rPr>
                      <w:rFonts w:hint="default" w:ascii="Times New Roman" w:hAnsi="Calibri" w:eastAsia="Times New Roman"/>
                      <w:color w:val="auto"/>
                      <w:sz w:val="21"/>
                    </w:rPr>
                    <w:t>X射线机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color w:val="auto"/>
                      <w:sz w:val="21"/>
                    </w:rPr>
                    <w:t>PAPAYA Plus</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90kV、12mA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s="Times New Roman"/>
                      <w:color w:val="auto"/>
                      <w:kern w:val="2"/>
                      <w:sz w:val="21"/>
                      <w:szCs w:val="24"/>
                      <w:lang w:val="en-US" w:bidi="ar-SA"/>
                    </w:rPr>
                  </w:pPr>
                  <w:r>
                    <w:rPr>
                      <w:rFonts w:hint="default" w:ascii="Times New Roman" w:hAnsi="Calibri" w:eastAsia="Times New Roman" w:cs="Times New Roman"/>
                      <w:color w:val="auto"/>
                      <w:kern w:val="2"/>
                      <w:sz w:val="21"/>
                      <w:szCs w:val="24"/>
                      <w:lang w:val="en-US" w:bidi="ar-SA"/>
                    </w:rPr>
                    <w:t>1号楼5层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eastAsia" w:ascii="Times New Roman" w:hAnsi="Times New Roman" w:eastAsia="宋体" w:cs="Times New Roman"/>
                      <w:color w:val="auto"/>
                      <w:sz w:val="21"/>
                      <w:szCs w:val="21"/>
                      <w:lang w:val="en-US" w:eastAsia="zh-CN"/>
                    </w:rPr>
                  </w:pPr>
                  <w:r>
                    <w:rPr>
                      <w:rFonts w:hint="default" w:ascii="Times New Roman" w:hAnsi="Calibri" w:eastAsia="Times New Roman" w:cs="Times New Roman"/>
                      <w:color w:val="auto"/>
                      <w:kern w:val="2"/>
                      <w:sz w:val="21"/>
                      <w:szCs w:val="24"/>
                      <w:lang w:val="en-US" w:bidi="ar-SA"/>
                    </w:rPr>
                    <w:t>口腔科</w:t>
                  </w:r>
                  <w:r>
                    <w:rPr>
                      <w:rFonts w:hint="eastAsia" w:ascii="Times New Roman" w:cs="Times New Roman"/>
                      <w:color w:val="auto"/>
                      <w:kern w:val="2"/>
                      <w:sz w:val="21"/>
                      <w:szCs w:val="24"/>
                      <w:lang w:val="en-US" w:eastAsia="zh-CN" w:bidi="ar-SA"/>
                    </w:rPr>
                    <w:t>全景室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s="Times New Roman"/>
                      <w:color w:val="auto"/>
                      <w:kern w:val="2"/>
                      <w:sz w:val="21"/>
                      <w:szCs w:val="24"/>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牙科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0"/>
                      <w:szCs w:val="21"/>
                      <w:lang w:val="en-US" w:eastAsia="zh-CN" w:bidi="ar-SA"/>
                    </w:rPr>
                  </w:pPr>
                  <w:r>
                    <w:rPr>
                      <w:rFonts w:hint="default" w:ascii="Times New Roman" w:hAnsi="Calibri" w:eastAsia="Times New Roman"/>
                      <w:color w:val="auto"/>
                      <w:sz w:val="21"/>
                    </w:rPr>
                    <w:t>X射线机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Calibri" w:eastAsia="Times New Roman" w:cs="Times New Roman"/>
                      <w:color w:val="auto"/>
                      <w:kern w:val="2"/>
                      <w:sz w:val="21"/>
                      <w:szCs w:val="24"/>
                      <w:lang w:val="en-US" w:bidi="ar-SA"/>
                    </w:rPr>
                    <w:t>戴森DYS-M</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kern w:val="0"/>
                      <w:sz w:val="21"/>
                      <w:szCs w:val="21"/>
                    </w:rPr>
                  </w:pPr>
                  <w:r>
                    <w:rPr>
                      <w:rFonts w:hint="default" w:ascii="Times New Roman" w:hAnsi="Calibri" w:eastAsia="Times New Roman"/>
                      <w:color w:val="auto"/>
                      <w:sz w:val="21"/>
                    </w:rPr>
                    <w:t>70kV、7mA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s="Times New Roman"/>
                      <w:color w:val="auto"/>
                      <w:kern w:val="2"/>
                      <w:sz w:val="21"/>
                      <w:szCs w:val="24"/>
                      <w:lang w:val="en-US" w:bidi="ar-SA"/>
                    </w:rPr>
                  </w:pPr>
                  <w:r>
                    <w:rPr>
                      <w:rFonts w:hint="default" w:ascii="Times New Roman" w:hAnsi="Calibri" w:eastAsia="Times New Roman" w:cs="Times New Roman"/>
                      <w:color w:val="auto"/>
                      <w:kern w:val="2"/>
                      <w:sz w:val="21"/>
                      <w:szCs w:val="24"/>
                      <w:lang w:val="en-US" w:bidi="ar-SA"/>
                    </w:rPr>
                    <w:t>1号楼5层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eastAsia" w:ascii="Times New Roman" w:hAnsi="Times New Roman" w:eastAsia="宋体" w:cs="Times New Roman"/>
                      <w:color w:val="auto"/>
                      <w:kern w:val="0"/>
                      <w:sz w:val="21"/>
                      <w:szCs w:val="21"/>
                      <w:lang w:val="en-US" w:eastAsia="zh-CN" w:bidi="ar-SA"/>
                    </w:rPr>
                  </w:pPr>
                  <w:r>
                    <w:rPr>
                      <w:rFonts w:hint="default" w:ascii="Times New Roman" w:hAnsi="Calibri" w:eastAsia="Times New Roman" w:cs="Times New Roman"/>
                      <w:color w:val="auto"/>
                      <w:kern w:val="2"/>
                      <w:sz w:val="21"/>
                      <w:szCs w:val="24"/>
                      <w:lang w:val="en-US" w:bidi="ar-SA"/>
                    </w:rPr>
                    <w:t>口腔科</w:t>
                  </w:r>
                  <w:r>
                    <w:rPr>
                      <w:rFonts w:hint="eastAsia" w:ascii="Times New Roman" w:cs="Times New Roman"/>
                      <w:color w:val="auto"/>
                      <w:kern w:val="2"/>
                      <w:sz w:val="21"/>
                      <w:szCs w:val="24"/>
                      <w:lang w:val="en-US" w:eastAsia="zh-CN" w:bidi="ar-SA"/>
                    </w:rPr>
                    <w:t>牙片室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s="Times New Roman"/>
                      <w:color w:val="auto"/>
                      <w:kern w:val="2"/>
                      <w:sz w:val="21"/>
                      <w:szCs w:val="24"/>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5</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X射线骨密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Calibri" w:eastAsia="Times New Roman"/>
                      <w:color w:val="auto"/>
                      <w:sz w:val="21"/>
                    </w:rPr>
                    <w:t>度仪</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DPX</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Calibri" w:eastAsia="Times New Roman"/>
                      <w:color w:val="auto"/>
                      <w:sz w:val="21"/>
                    </w:rPr>
                    <w:t>-BRAVO</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75kV、3mA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s="Times New Roman"/>
                      <w:color w:val="auto"/>
                      <w:kern w:val="2"/>
                      <w:sz w:val="21"/>
                      <w:szCs w:val="24"/>
                      <w:lang w:val="en-US" w:bidi="ar-SA"/>
                    </w:rPr>
                  </w:pPr>
                  <w:r>
                    <w:rPr>
                      <w:rFonts w:hint="default" w:ascii="Times New Roman" w:hAnsi="Calibri" w:eastAsia="Times New Roman" w:cs="Times New Roman"/>
                      <w:color w:val="auto"/>
                      <w:kern w:val="2"/>
                      <w:sz w:val="21"/>
                      <w:szCs w:val="24"/>
                      <w:lang w:val="en-US" w:bidi="ar-SA"/>
                    </w:rPr>
                    <w:t>1号楼2层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Times New Roman" w:cs="Times New Roman"/>
                      <w:color w:val="auto"/>
                      <w:sz w:val="21"/>
                      <w:szCs w:val="21"/>
                    </w:rPr>
                  </w:pPr>
                  <w:r>
                    <w:rPr>
                      <w:rFonts w:hint="default" w:ascii="Times New Roman" w:hAnsi="Calibri" w:eastAsia="Times New Roman" w:cs="Times New Roman"/>
                      <w:color w:val="auto"/>
                      <w:kern w:val="2"/>
                      <w:sz w:val="21"/>
                      <w:szCs w:val="24"/>
                      <w:lang w:val="en-US" w:bidi="ar-SA"/>
                    </w:rPr>
                    <w:t>骨密度</w:t>
                  </w:r>
                  <w:r>
                    <w:rPr>
                      <w:rFonts w:hint="eastAsia" w:ascii="Times New Roman" w:cs="Times New Roman"/>
                      <w:color w:val="auto"/>
                      <w:kern w:val="2"/>
                      <w:sz w:val="21"/>
                      <w:szCs w:val="24"/>
                      <w:lang w:val="en-US" w:eastAsia="zh-CN" w:bidi="ar-SA"/>
                    </w:rPr>
                    <w:t>检查</w:t>
                  </w:r>
                  <w:r>
                    <w:rPr>
                      <w:rFonts w:hint="default" w:ascii="Times New Roman" w:hAnsi="Calibri" w:eastAsia="Times New Roman" w:cs="Times New Roman"/>
                      <w:color w:val="auto"/>
                      <w:kern w:val="2"/>
                      <w:sz w:val="21"/>
                      <w:szCs w:val="24"/>
                      <w:lang w:val="en-US" w:bidi="ar-SA"/>
                    </w:rPr>
                    <w:t>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s="Times New Roman"/>
                      <w:color w:val="auto"/>
                      <w:kern w:val="2"/>
                      <w:sz w:val="21"/>
                      <w:szCs w:val="24"/>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6</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s="Times New Roman"/>
                      <w:color w:val="auto"/>
                      <w:kern w:val="2"/>
                      <w:sz w:val="21"/>
                      <w:szCs w:val="24"/>
                      <w:lang w:val="en-US" w:bidi="ar-SA"/>
                    </w:rPr>
                  </w:pPr>
                  <w:r>
                    <w:rPr>
                      <w:rFonts w:hint="default" w:ascii="Times New Roman" w:hAnsi="Calibri" w:eastAsia="Times New Roman" w:cs="Times New Roman"/>
                      <w:color w:val="auto"/>
                      <w:kern w:val="2"/>
                      <w:sz w:val="21"/>
                      <w:szCs w:val="24"/>
                      <w:lang w:val="en-US" w:bidi="ar-SA"/>
                    </w:rPr>
                    <w:t>移动式数字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default" w:ascii="Times New Roman" w:hAnsi="Calibri" w:eastAsia="Times New Roman" w:cs="Times New Roman"/>
                      <w:color w:val="auto"/>
                      <w:kern w:val="2"/>
                      <w:sz w:val="21"/>
                      <w:szCs w:val="24"/>
                      <w:lang w:val="en-US" w:bidi="ar-SA"/>
                    </w:rPr>
                    <w:t>摄影X射线机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DX-D100</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150kV、90mA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s="Times New Roman"/>
                      <w:color w:val="auto"/>
                      <w:kern w:val="2"/>
                      <w:sz w:val="21"/>
                      <w:szCs w:val="24"/>
                      <w:lang w:val="en-US" w:bidi="ar-SA"/>
                    </w:rPr>
                  </w:pPr>
                  <w:r>
                    <w:rPr>
                      <w:rFonts w:hint="default" w:ascii="Times New Roman" w:hAnsi="Calibri" w:eastAsia="Times New Roman" w:cs="Times New Roman"/>
                      <w:color w:val="auto"/>
                      <w:kern w:val="2"/>
                      <w:sz w:val="21"/>
                      <w:szCs w:val="24"/>
                      <w:lang w:val="en-US" w:bidi="ar-SA"/>
                    </w:rPr>
                    <w:t>2号楼5层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s="Times New Roman"/>
                      <w:color w:val="auto"/>
                      <w:kern w:val="2"/>
                      <w:sz w:val="21"/>
                      <w:szCs w:val="24"/>
                      <w:lang w:val="en-US" w:bidi="ar-SA"/>
                    </w:rPr>
                  </w:pPr>
                  <w:r>
                    <w:rPr>
                      <w:rFonts w:hint="default" w:ascii="Times New Roman" w:hAnsi="Calibri" w:eastAsia="Times New Roman" w:cs="Times New Roman"/>
                      <w:color w:val="auto"/>
                      <w:kern w:val="2"/>
                      <w:sz w:val="21"/>
                      <w:szCs w:val="24"/>
                      <w:lang w:val="en-US" w:bidi="ar-SA"/>
                    </w:rPr>
                    <w:t>放射科监护室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s="Times New Roman"/>
                      <w:color w:val="auto"/>
                      <w:kern w:val="2"/>
                      <w:sz w:val="21"/>
                      <w:szCs w:val="24"/>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7</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ottom"/>
                    <w:rPr>
                      <w:rFonts w:hint="default" w:ascii="Times New Roman" w:hAnsi="Calibri" w:eastAsia="Times New Roman"/>
                      <w:color w:val="auto"/>
                      <w:sz w:val="21"/>
                      <w:lang w:val="en-US"/>
                    </w:rPr>
                  </w:pPr>
                  <w:r>
                    <w:rPr>
                      <w:rFonts w:hint="default" w:ascii="Times New Roman" w:hAnsi="Calibri" w:eastAsia="Times New Roman"/>
                      <w:color w:val="auto"/>
                      <w:sz w:val="21"/>
                      <w:lang w:val="en-US"/>
                    </w:rPr>
                    <w:t>数字化医用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lang w:val="en-US"/>
                    </w:rPr>
                    <w:t>X射线摄影系统</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rPr>
                  </w:pPr>
                  <w:r>
                    <w:rPr>
                      <w:rFonts w:hint="default" w:ascii="Times New Roman"/>
                      <w:color w:val="auto"/>
                      <w:sz w:val="21"/>
                    </w:rPr>
                    <w:t>VX3733-SYS</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150kV、1000mA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s="Times New Roman"/>
                      <w:color w:val="auto"/>
                      <w:kern w:val="2"/>
                      <w:sz w:val="21"/>
                      <w:szCs w:val="24"/>
                      <w:lang w:val="en-US" w:bidi="ar-SA"/>
                    </w:rPr>
                  </w:pPr>
                  <w:r>
                    <w:rPr>
                      <w:rFonts w:hint="default" w:ascii="Times New Roman" w:eastAsia="Times New Roman"/>
                      <w:color w:val="auto"/>
                      <w:sz w:val="21"/>
                    </w:rPr>
                    <w:t>1</w:t>
                  </w:r>
                  <w:r>
                    <w:rPr>
                      <w:rFonts w:hint="default"/>
                      <w:color w:val="auto"/>
                      <w:sz w:val="21"/>
                    </w:rPr>
                    <w:t>号楼</w:t>
                  </w:r>
                  <w:r>
                    <w:rPr>
                      <w:rFonts w:hint="default" w:ascii="Times New Roman" w:eastAsia="Times New Roman"/>
                      <w:color w:val="auto"/>
                      <w:sz w:val="21"/>
                    </w:rPr>
                    <w:t>2</w:t>
                  </w:r>
                  <w:r>
                    <w:rPr>
                      <w:rFonts w:hint="default"/>
                      <w:color w:val="auto"/>
                      <w:sz w:val="21"/>
                    </w:rPr>
                    <w:t>层</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eastAsia="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8</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X射线计算机体层摄影设备</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rPr>
                  </w:pPr>
                  <w:r>
                    <w:rPr>
                      <w:rFonts w:hint="default" w:ascii="Times New Roman" w:hAnsi="Calibri" w:eastAsia="Times New Roman"/>
                      <w:color w:val="auto"/>
                      <w:sz w:val="21"/>
                    </w:rPr>
                    <w:t>uCT530</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140kV、420mA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s="Times New Roman"/>
                      <w:color w:val="auto"/>
                      <w:kern w:val="2"/>
                      <w:sz w:val="21"/>
                      <w:szCs w:val="24"/>
                      <w:lang w:val="en-US" w:bidi="ar-SA"/>
                    </w:rPr>
                  </w:pPr>
                  <w:r>
                    <w:rPr>
                      <w:rFonts w:hint="default" w:ascii="Times New Roman" w:hAnsi="Calibri" w:eastAsia="Times New Roman" w:cs="Times New Roman"/>
                      <w:color w:val="auto"/>
                      <w:kern w:val="2"/>
                      <w:sz w:val="21"/>
                      <w:szCs w:val="24"/>
                      <w:lang w:val="en-US" w:bidi="ar-SA"/>
                    </w:rPr>
                    <w:t>万春东路56号放射科CT室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s="Times New Roman"/>
                      <w:color w:val="auto"/>
                      <w:kern w:val="2"/>
                      <w:sz w:val="21"/>
                      <w:szCs w:val="24"/>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19</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X射线计算机体层摄影设备</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rPr>
                  </w:pPr>
                  <w:r>
                    <w:rPr>
                      <w:rFonts w:hint="default" w:ascii="Times New Roman" w:hAnsi="Calibri" w:eastAsia="Times New Roman"/>
                      <w:color w:val="auto"/>
                      <w:sz w:val="21"/>
                    </w:rPr>
                    <w:t>uCT530</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default" w:ascii="Times New Roman" w:hAnsi="Calibri" w:eastAsia="Times New Roman"/>
                      <w:color w:val="auto"/>
                      <w:sz w:val="21"/>
                    </w:rPr>
                    <w:t>140kV、420mA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Calibri" w:eastAsia="Times New Roman"/>
                      <w:color w:val="auto"/>
                      <w:sz w:val="21"/>
                    </w:rPr>
                  </w:pPr>
                  <w:r>
                    <w:rPr>
                      <w:rFonts w:hint="default" w:ascii="Times New Roman" w:hAnsi="Calibri" w:eastAsia="Times New Roman"/>
                      <w:color w:val="auto"/>
                      <w:sz w:val="21"/>
                    </w:rPr>
                    <w:t>1号楼1层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s="Times New Roman"/>
                      <w:color w:val="auto"/>
                      <w:kern w:val="2"/>
                      <w:sz w:val="21"/>
                      <w:szCs w:val="24"/>
                      <w:lang w:val="en-US" w:bidi="ar-SA"/>
                    </w:rPr>
                  </w:pPr>
                  <w:r>
                    <w:rPr>
                      <w:rFonts w:hint="default" w:ascii="Times New Roman" w:hAnsi="Calibri" w:eastAsia="Times New Roman"/>
                      <w:color w:val="auto"/>
                      <w:sz w:val="21"/>
                    </w:rPr>
                    <w:t>急诊科</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20</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cs="Times New Roman"/>
                      <w:color w:val="auto"/>
                      <w:kern w:val="0"/>
                      <w:sz w:val="21"/>
                      <w:szCs w:val="21"/>
                    </w:rPr>
                  </w:pPr>
                  <w:r>
                    <w:rPr>
                      <w:rFonts w:hint="default" w:ascii="Times New Roman" w:hAnsi="Calibri" w:eastAsia="Times New Roman"/>
                      <w:color w:val="auto"/>
                      <w:sz w:val="21"/>
                    </w:rPr>
                    <w:t>平板 DR（数字化医用X 射线摄影系统）</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rPr>
                  </w:pPr>
                  <w:r>
                    <w:rPr>
                      <w:rFonts w:hint="default" w:ascii="Times New Roman"/>
                      <w:color w:val="auto"/>
                      <w:sz w:val="21"/>
                    </w:rPr>
                    <w:t>DigiEye 680E</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cs="Times New Roman"/>
                      <w:color w:val="auto"/>
                      <w:kern w:val="0"/>
                      <w:sz w:val="21"/>
                      <w:szCs w:val="21"/>
                    </w:rPr>
                  </w:pPr>
                  <w:r>
                    <w:rPr>
                      <w:rFonts w:hint="default" w:ascii="Times New Roman" w:hAnsi="Calibri" w:eastAsia="Times New Roman"/>
                      <w:color w:val="auto"/>
                      <w:sz w:val="21"/>
                    </w:rPr>
                    <w:t>150kV、790mA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lang w:val="en-US" w:eastAsia="zh-CN"/>
                    </w:rPr>
                  </w:pPr>
                  <w:r>
                    <w:rPr>
                      <w:rFonts w:hint="default" w:ascii="Times New Roman" w:hAnsi="Calibri" w:eastAsia="Times New Roman"/>
                      <w:color w:val="auto"/>
                      <w:sz w:val="21"/>
                      <w:lang w:val="en-US" w:eastAsia="zh-CN"/>
                    </w:rPr>
                    <w:t>1号楼6层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kern w:val="0"/>
                      <w:sz w:val="21"/>
                      <w:szCs w:val="21"/>
                    </w:rPr>
                  </w:pPr>
                  <w:r>
                    <w:rPr>
                      <w:rFonts w:hint="default" w:ascii="Times New Roman" w:hAnsi="Calibri" w:eastAsia="Times New Roman"/>
                      <w:color w:val="auto"/>
                      <w:sz w:val="21"/>
                      <w:lang w:val="en-US" w:eastAsia="zh-CN"/>
                    </w:rPr>
                    <w:t>体检中心</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21</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宋体"/>
                      <w:color w:val="auto"/>
                      <w:sz w:val="21"/>
                      <w:lang w:val="en-US" w:eastAsia="zh-CN"/>
                    </w:rPr>
                  </w:pPr>
                  <w:r>
                    <w:rPr>
                      <w:rFonts w:hint="eastAsia" w:ascii="Times New Roman"/>
                      <w:color w:val="auto"/>
                      <w:sz w:val="21"/>
                      <w:lang w:val="en-US" w:eastAsia="zh-CN"/>
                    </w:rPr>
                    <w:t>移动式C型臂X射线机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eastAsia="宋体"/>
                      <w:color w:val="auto"/>
                      <w:sz w:val="21"/>
                      <w:lang w:val="en-US" w:eastAsia="zh-CN"/>
                    </w:rPr>
                  </w:pPr>
                  <w:r>
                    <w:rPr>
                      <w:rFonts w:hint="eastAsia" w:ascii="Times New Roman"/>
                      <w:color w:val="auto"/>
                      <w:sz w:val="21"/>
                      <w:lang w:val="en-US" w:eastAsia="zh-CN"/>
                    </w:rPr>
                    <w:t>OEC 9900 Elite</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宋体"/>
                      <w:color w:val="auto"/>
                      <w:sz w:val="21"/>
                      <w:lang w:val="en-US" w:eastAsia="zh-CN"/>
                    </w:rPr>
                  </w:pPr>
                  <w:r>
                    <w:rPr>
                      <w:rFonts w:hint="eastAsia" w:ascii="Times New Roman"/>
                      <w:color w:val="auto"/>
                      <w:sz w:val="21"/>
                      <w:lang w:val="en-US" w:eastAsia="zh-CN"/>
                    </w:rPr>
                    <w:t>120</w:t>
                  </w:r>
                  <w:r>
                    <w:rPr>
                      <w:rFonts w:hint="default" w:ascii="Times New Roman" w:hAnsi="Calibri" w:eastAsia="Times New Roman"/>
                      <w:color w:val="auto"/>
                      <w:sz w:val="21"/>
                    </w:rPr>
                    <w:t>kV、</w:t>
                  </w:r>
                  <w:r>
                    <w:rPr>
                      <w:rFonts w:hint="eastAsia" w:ascii="Times New Roman"/>
                      <w:color w:val="auto"/>
                      <w:sz w:val="21"/>
                      <w:lang w:val="en-US" w:eastAsia="zh-CN"/>
                    </w:rPr>
                    <w:t>150</w:t>
                  </w:r>
                  <w:r>
                    <w:rPr>
                      <w:rFonts w:hint="default" w:ascii="Times New Roman" w:hAnsi="Calibri" w:eastAsia="Times New Roman"/>
                      <w:color w:val="auto"/>
                      <w:sz w:val="21"/>
                    </w:rPr>
                    <w:t>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lang w:val="en-US" w:eastAsia="zh-CN"/>
                    </w:rPr>
                  </w:pPr>
                  <w:r>
                    <w:rPr>
                      <w:rFonts w:hint="default" w:ascii="Times New Roman" w:hAnsi="Calibri" w:eastAsia="Times New Roman"/>
                      <w:color w:val="auto"/>
                      <w:sz w:val="21"/>
                      <w:lang w:val="en-US" w:eastAsia="zh-CN"/>
                    </w:rPr>
                    <w:t>放射科：胃镜室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宋体"/>
                      <w:color w:val="auto"/>
                      <w:sz w:val="21"/>
                      <w:lang w:val="en-US" w:eastAsia="zh-CN"/>
                    </w:rPr>
                  </w:pPr>
                  <w:r>
                    <w:rPr>
                      <w:rFonts w:hint="eastAsia" w:ascii="Times New Roman"/>
                      <w:color w:val="auto"/>
                      <w:sz w:val="21"/>
                      <w:lang w:val="en-US" w:eastAsia="zh-CN"/>
                    </w:rPr>
                    <w:t>移动式摄影X射线机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color w:val="auto"/>
                      <w:sz w:val="21"/>
                    </w:rPr>
                  </w:pPr>
                  <w:r>
                    <w:rPr>
                      <w:rFonts w:hint="eastAsia" w:ascii="Times New Roman"/>
                      <w:color w:val="auto"/>
                      <w:sz w:val="21"/>
                      <w:lang w:val="en-US" w:eastAsia="zh-CN"/>
                    </w:rPr>
                    <w:t>M40-1A</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olor w:val="auto"/>
                      <w:sz w:val="21"/>
                    </w:rPr>
                  </w:pPr>
                  <w:r>
                    <w:rPr>
                      <w:rFonts w:hint="eastAsia" w:ascii="Times New Roman"/>
                      <w:color w:val="auto"/>
                      <w:sz w:val="21"/>
                      <w:lang w:val="en-US" w:eastAsia="zh-CN"/>
                    </w:rPr>
                    <w:t>125</w:t>
                  </w:r>
                  <w:r>
                    <w:rPr>
                      <w:rFonts w:hint="default" w:ascii="Times New Roman" w:hAnsi="Calibri" w:eastAsia="Times New Roman"/>
                      <w:color w:val="auto"/>
                      <w:sz w:val="21"/>
                    </w:rPr>
                    <w:t>kV、</w:t>
                  </w:r>
                  <w:r>
                    <w:rPr>
                      <w:rFonts w:hint="eastAsia" w:ascii="Times New Roman"/>
                      <w:color w:val="auto"/>
                      <w:sz w:val="21"/>
                      <w:lang w:val="en-US" w:eastAsia="zh-CN"/>
                    </w:rPr>
                    <w:t>400</w:t>
                  </w:r>
                  <w:r>
                    <w:rPr>
                      <w:rFonts w:hint="default" w:ascii="Times New Roman" w:hAnsi="Calibri" w:eastAsia="Times New Roman"/>
                      <w:color w:val="auto"/>
                      <w:sz w:val="21"/>
                    </w:rPr>
                    <w:t>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lang w:val="en-US" w:eastAsia="zh-CN"/>
                    </w:rPr>
                  </w:pPr>
                  <w:r>
                    <w:rPr>
                      <w:rFonts w:hint="eastAsia" w:ascii="Times New Roman" w:eastAsia="Times New Roman"/>
                      <w:color w:val="auto"/>
                      <w:sz w:val="21"/>
                      <w:lang w:val="en-US" w:eastAsia="zh-CN"/>
                    </w:rPr>
                    <w:t>放射科</w:t>
                  </w:r>
                  <w:r>
                    <w:rPr>
                      <w:rFonts w:hint="default" w:ascii="Times New Roman" w:hAnsi="Calibri" w:eastAsia="Times New Roman"/>
                      <w:color w:val="auto"/>
                      <w:sz w:val="21"/>
                      <w:lang w:val="en-US" w:eastAsia="zh-CN"/>
                    </w:rPr>
                    <w:t>：</w:t>
                  </w:r>
                  <w:r>
                    <w:rPr>
                      <w:rFonts w:hint="eastAsia" w:ascii="Times New Roman" w:eastAsia="Times New Roman"/>
                      <w:color w:val="auto"/>
                      <w:sz w:val="21"/>
                      <w:lang w:val="en-US" w:eastAsia="zh-CN"/>
                    </w:rPr>
                    <w:t>新生儿科拍片室</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eastAsia="Times New Roman"/>
                      <w:color w:val="auto"/>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w:t>
                  </w:r>
                </w:p>
              </w:tc>
              <w:tc>
                <w:tcPr>
                  <w:tcW w:w="15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宋体"/>
                      <w:color w:val="auto"/>
                      <w:sz w:val="21"/>
                      <w:lang w:val="en-US" w:eastAsia="zh-CN"/>
                    </w:rPr>
                  </w:pPr>
                  <w:r>
                    <w:rPr>
                      <w:rFonts w:hint="eastAsia" w:ascii="Times New Roman"/>
                      <w:color w:val="auto"/>
                      <w:sz w:val="21"/>
                      <w:lang w:val="en-US" w:eastAsia="zh-CN"/>
                    </w:rPr>
                    <w:t>CT机</w:t>
                  </w:r>
                </w:p>
              </w:tc>
              <w:tc>
                <w:tcPr>
                  <w:tcW w:w="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w:t>
                  </w:r>
                </w:p>
              </w:tc>
              <w:tc>
                <w:tcPr>
                  <w:tcW w:w="451" w:type="dxa"/>
                  <w:tcBorders>
                    <w:tl2br w:val="nil"/>
                    <w:tr2bl w:val="nil"/>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2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color w:val="auto"/>
                      <w:sz w:val="21"/>
                    </w:rPr>
                  </w:pPr>
                  <w:r>
                    <w:rPr>
                      <w:rFonts w:hint="default" w:ascii="Times New Roman" w:hAnsi="Calibri" w:eastAsia="Times New Roman"/>
                      <w:color w:val="auto"/>
                      <w:sz w:val="21"/>
                    </w:rPr>
                    <w:t>uCT5</w:t>
                  </w:r>
                  <w:r>
                    <w:rPr>
                      <w:rFonts w:hint="eastAsia" w:ascii="Times New Roman"/>
                      <w:color w:val="auto"/>
                      <w:sz w:val="21"/>
                      <w:lang w:val="en-US" w:eastAsia="zh-CN"/>
                    </w:rPr>
                    <w:t>5</w:t>
                  </w:r>
                  <w:r>
                    <w:rPr>
                      <w:rFonts w:hint="default" w:ascii="Times New Roman" w:hAnsi="Calibri" w:eastAsia="Times New Roman"/>
                      <w:color w:val="auto"/>
                      <w:sz w:val="21"/>
                    </w:rPr>
                    <w:t>0</w:t>
                  </w:r>
                </w:p>
              </w:tc>
              <w:tc>
                <w:tcPr>
                  <w:tcW w:w="17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Calibri" w:eastAsia="Times New Roman" w:cs="Times New Roman"/>
                      <w:color w:val="auto"/>
                      <w:kern w:val="2"/>
                      <w:sz w:val="21"/>
                      <w:szCs w:val="24"/>
                      <w:lang w:val="en-US" w:eastAsia="zh-CN" w:bidi="ar-SA"/>
                    </w:rPr>
                  </w:pPr>
                  <w:r>
                    <w:rPr>
                      <w:rFonts w:hint="default" w:ascii="Times New Roman" w:hAnsi="Calibri" w:eastAsia="Times New Roman"/>
                      <w:color w:val="auto"/>
                      <w:sz w:val="21"/>
                    </w:rPr>
                    <w:t>140kV、420mA</w:t>
                  </w:r>
                </w:p>
              </w:tc>
              <w:tc>
                <w:tcPr>
                  <w:tcW w:w="16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Calibri" w:eastAsia="Times New Roman"/>
                      <w:color w:val="auto"/>
                      <w:sz w:val="21"/>
                      <w:lang w:val="en-US" w:eastAsia="zh-CN"/>
                    </w:rPr>
                  </w:pPr>
                  <w:r>
                    <w:rPr>
                      <w:rFonts w:hint="eastAsia" w:ascii="Times New Roman" w:eastAsia="Times New Roman"/>
                      <w:color w:val="auto"/>
                      <w:sz w:val="21"/>
                      <w:lang w:val="en-US" w:eastAsia="zh-CN"/>
                    </w:rPr>
                    <w:t>放射科</w:t>
                  </w:r>
                </w:p>
              </w:tc>
              <w:tc>
                <w:tcPr>
                  <w:tcW w:w="79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eastAsia="Times New Roman"/>
                      <w:color w:val="auto"/>
                      <w:sz w:val="21"/>
                      <w:lang w:val="en-US" w:eastAsia="zh-CN"/>
                    </w:rPr>
                  </w:pPr>
                </w:p>
              </w:tc>
            </w:tr>
          </w:tbl>
          <w:p>
            <w:pPr>
              <w:keepNext w:val="0"/>
              <w:keepLines w:val="0"/>
              <w:suppressLineNumbers w:val="0"/>
              <w:spacing w:before="0" w:beforeAutospacing="0" w:after="0" w:afterAutospacing="0" w:line="360" w:lineRule="auto"/>
              <w:ind w:left="0" w:right="0"/>
              <w:rPr>
                <w:rFonts w:hint="default" w:ascii="宋体" w:hAnsi="宋体" w:cs="宋体"/>
                <w:b/>
                <w:bCs w:val="0"/>
                <w:color w:val="auto"/>
                <w:sz w:val="24"/>
              </w:rPr>
            </w:pPr>
            <w:r>
              <w:rPr>
                <w:rFonts w:hint="eastAsia" w:ascii="宋体" w:hAnsi="宋体"/>
                <w:b/>
                <w:bCs w:val="0"/>
                <w:color w:val="auto"/>
                <w:sz w:val="24"/>
                <w:lang w:eastAsia="zh-CN"/>
              </w:rPr>
              <w:t>（</w:t>
            </w:r>
            <w:r>
              <w:rPr>
                <w:rFonts w:hint="eastAsia" w:ascii="宋体" w:hAnsi="宋体"/>
                <w:b/>
                <w:bCs w:val="0"/>
                <w:color w:val="auto"/>
                <w:sz w:val="24"/>
                <w:lang w:val="en-US" w:eastAsia="zh-CN"/>
              </w:rPr>
              <w:t>二）</w:t>
            </w:r>
            <w:r>
              <w:rPr>
                <w:rFonts w:hint="eastAsia" w:ascii="宋体" w:hAnsi="宋体" w:cs="宋体"/>
                <w:b/>
                <w:bCs w:val="0"/>
                <w:color w:val="auto"/>
                <w:sz w:val="24"/>
              </w:rPr>
              <w:t>辐射工作人员培训情况</w:t>
            </w:r>
          </w:p>
          <w:p>
            <w:pPr>
              <w:pStyle w:val="25"/>
              <w:keepNext w:val="0"/>
              <w:keepLines w:val="0"/>
              <w:pageBreakBefore w:val="0"/>
              <w:widowControl w:val="0"/>
              <w:suppressLineNumbers w:val="0"/>
              <w:kinsoku/>
              <w:wordWrap/>
              <w:overflowPunct/>
              <w:topLinePunct w:val="0"/>
              <w:autoSpaceDE w:val="0"/>
              <w:autoSpaceDN w:val="0"/>
              <w:bidi w:val="0"/>
              <w:adjustRightInd w:val="0"/>
              <w:snapToGrid/>
              <w:spacing w:before="10" w:beforeAutospacing="0" w:after="0" w:afterAutospacing="0" w:line="365" w:lineRule="auto"/>
              <w:ind w:left="0" w:right="91" w:firstLine="480"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医院有</w:t>
            </w:r>
            <w:r>
              <w:rPr>
                <w:rFonts w:hint="eastAsia" w:ascii="Times New Roman" w:hAnsi="Times New Roman" w:cs="Times New Roman"/>
                <w:b w:val="0"/>
                <w:color w:val="auto"/>
                <w:kern w:val="2"/>
                <w:sz w:val="24"/>
                <w:szCs w:val="24"/>
                <w:highlight w:val="none"/>
                <w:lang w:val="en-US" w:eastAsia="zh-CN" w:bidi="ar-SA"/>
              </w:rPr>
              <w:t>168</w:t>
            </w:r>
            <w:r>
              <w:rPr>
                <w:rFonts w:hint="default" w:ascii="Times New Roman" w:hAnsi="Times New Roman" w:eastAsia="宋体" w:cs="Times New Roman"/>
                <w:b w:val="0"/>
                <w:color w:val="auto"/>
                <w:kern w:val="2"/>
                <w:sz w:val="24"/>
                <w:szCs w:val="24"/>
                <w:highlight w:val="none"/>
                <w:lang w:val="en-US" w:eastAsia="zh-CN" w:bidi="ar-SA"/>
              </w:rPr>
              <w:t>人参加了</w:t>
            </w:r>
            <w:r>
              <w:rPr>
                <w:rFonts w:hint="default" w:ascii="Times New Roman" w:hAnsi="Times New Roman" w:eastAsia="宋体" w:cs="Times New Roman"/>
                <w:b w:val="0"/>
                <w:bCs w:val="0"/>
                <w:color w:val="auto"/>
                <w:kern w:val="2"/>
                <w:sz w:val="24"/>
                <w:szCs w:val="24"/>
                <w:highlight w:val="none"/>
                <w:lang w:val="en-US" w:eastAsia="zh-CN" w:bidi="ar-SA"/>
              </w:rPr>
              <w:t>辐射安全与防护培训班学习和考核，并取得培训合格证书。</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sz w:val="24"/>
                <w:highlight w:val="none"/>
              </w:rPr>
              <w:t>根据《放射性同位素与射线装置安全和防护条例》和《放射性同位素与射线装置安全和防护管理办法》的相关规定，</w:t>
            </w:r>
            <w:r>
              <w:rPr>
                <w:rFonts w:hint="default" w:ascii="宋体" w:hAnsi="宋体" w:eastAsia="宋体" w:cs="宋体"/>
                <w:b/>
                <w:bCs/>
                <w:color w:val="auto"/>
                <w:sz w:val="24"/>
                <w:szCs w:val="24"/>
              </w:rPr>
              <w:t>新从事辐射活动的人员，以及原持有的辐射安全培训合格证书到期的人员，应当通过</w:t>
            </w:r>
            <w:r>
              <w:rPr>
                <w:rFonts w:hint="eastAsia" w:ascii="宋体" w:hAnsi="宋体" w:cs="宋体"/>
                <w:b/>
                <w:bCs/>
                <w:color w:val="auto"/>
                <w:sz w:val="24"/>
                <w:szCs w:val="24"/>
                <w:lang w:val="en-US" w:eastAsia="zh-CN"/>
              </w:rPr>
              <w:t>国家核技术利用辐射安全与防护</w:t>
            </w:r>
            <w:r>
              <w:rPr>
                <w:rFonts w:hint="default" w:ascii="宋体" w:hAnsi="宋体" w:eastAsia="宋体" w:cs="宋体"/>
                <w:b/>
                <w:bCs/>
                <w:color w:val="auto"/>
                <w:sz w:val="24"/>
                <w:szCs w:val="24"/>
              </w:rPr>
              <w:t>培训平台</w:t>
            </w:r>
            <w:r>
              <w:rPr>
                <w:rFonts w:hint="default" w:ascii="Times New Roman" w:hAnsi="Times New Roman" w:cs="Times New Roman"/>
                <w:b/>
                <w:bCs/>
                <w:color w:val="auto"/>
                <w:sz w:val="24"/>
                <w:highlight w:val="none"/>
              </w:rPr>
              <w:t>（网址：http://fushe.mee.gov.cn）</w:t>
            </w:r>
            <w:r>
              <w:rPr>
                <w:rFonts w:hint="default" w:ascii="宋体" w:hAnsi="宋体" w:eastAsia="宋体" w:cs="宋体"/>
                <w:b/>
                <w:bCs/>
                <w:color w:val="auto"/>
                <w:sz w:val="24"/>
                <w:szCs w:val="24"/>
              </w:rPr>
              <w:t>报名并参加考核。</w:t>
            </w:r>
            <w:r>
              <w:rPr>
                <w:rFonts w:hint="default" w:ascii="Times New Roman" w:hAnsi="Times New Roman" w:cs="Times New Roman"/>
                <w:b/>
                <w:bCs/>
                <w:color w:val="auto"/>
                <w:sz w:val="24"/>
                <w:highlight w:val="none"/>
              </w:rPr>
              <w:t>辐射安全与防护培训成绩合格单有效期为五年。</w:t>
            </w:r>
          </w:p>
          <w:p>
            <w:pPr>
              <w:keepNext w:val="0"/>
              <w:keepLines w:val="0"/>
              <w:suppressLineNumbers w:val="0"/>
              <w:spacing w:before="0" w:beforeAutospacing="0" w:after="0" w:afterAutospacing="0" w:line="360" w:lineRule="auto"/>
              <w:ind w:left="0" w:right="0"/>
              <w:rPr>
                <w:rFonts w:hint="default" w:ascii="宋体" w:hAnsi="宋体" w:cs="Times New Roman"/>
                <w:b/>
                <w:bCs w:val="0"/>
                <w:color w:val="auto"/>
                <w:sz w:val="24"/>
                <w:lang w:eastAsia="zh-CN"/>
              </w:rPr>
            </w:pPr>
            <w:r>
              <w:rPr>
                <w:rFonts w:hint="eastAsia" w:ascii="宋体" w:hAnsi="宋体" w:cs="Times New Roman"/>
                <w:b/>
                <w:bCs w:val="0"/>
                <w:color w:val="auto"/>
                <w:sz w:val="24"/>
                <w:lang w:eastAsia="zh-CN"/>
              </w:rPr>
              <w:t>（</w:t>
            </w:r>
            <w:r>
              <w:rPr>
                <w:rFonts w:hint="eastAsia" w:ascii="宋体" w:hAnsi="宋体" w:cs="Times New Roman"/>
                <w:b/>
                <w:bCs w:val="0"/>
                <w:color w:val="auto"/>
                <w:sz w:val="24"/>
                <w:lang w:val="en-US" w:eastAsia="zh-CN"/>
              </w:rPr>
              <w:t>三</w:t>
            </w:r>
            <w:r>
              <w:rPr>
                <w:rFonts w:hint="eastAsia" w:ascii="宋体" w:hAnsi="宋体" w:cs="Times New Roman"/>
                <w:b/>
                <w:bCs w:val="0"/>
                <w:color w:val="auto"/>
                <w:sz w:val="24"/>
                <w:lang w:eastAsia="zh-CN"/>
              </w:rPr>
              <w:t>）</w:t>
            </w:r>
            <w:r>
              <w:rPr>
                <w:rFonts w:hint="default" w:ascii="宋体" w:hAnsi="宋体" w:cs="Times New Roman"/>
                <w:b/>
                <w:bCs w:val="0"/>
                <w:color w:val="auto"/>
                <w:sz w:val="24"/>
                <w:lang w:eastAsia="zh-CN"/>
              </w:rPr>
              <w:t>是否发生过辐射安全事故</w:t>
            </w:r>
          </w:p>
          <w:p>
            <w:pPr>
              <w:keepNext w:val="0"/>
              <w:keepLines w:val="0"/>
              <w:suppressLineNumbers w:val="0"/>
              <w:autoSpaceDN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据了解，医院自取得《辐射安全许可证》以来，未发生过辐射安全事故。</w:t>
            </w:r>
          </w:p>
          <w:p>
            <w:pPr>
              <w:keepNext w:val="0"/>
              <w:keepLines w:val="0"/>
              <w:suppressLineNumbers w:val="0"/>
              <w:spacing w:before="0" w:beforeAutospacing="0" w:after="0" w:afterAutospacing="0" w:line="360" w:lineRule="auto"/>
              <w:ind w:left="0" w:right="0"/>
              <w:rPr>
                <w:rFonts w:hint="default" w:ascii="宋体" w:hAnsi="宋体" w:cs="Times New Roman"/>
                <w:b/>
                <w:bCs w:val="0"/>
                <w:color w:val="auto"/>
                <w:sz w:val="24"/>
                <w:lang w:eastAsia="zh-CN"/>
              </w:rPr>
            </w:pPr>
            <w:r>
              <w:rPr>
                <w:rFonts w:hint="eastAsia" w:ascii="宋体" w:hAnsi="宋体" w:cs="Times New Roman"/>
                <w:b/>
                <w:bCs w:val="0"/>
                <w:color w:val="auto"/>
                <w:sz w:val="24"/>
                <w:lang w:eastAsia="zh-CN"/>
              </w:rPr>
              <w:t>（</w:t>
            </w:r>
            <w:r>
              <w:rPr>
                <w:rFonts w:hint="eastAsia" w:ascii="宋体" w:hAnsi="宋体" w:cs="Times New Roman"/>
                <w:b/>
                <w:bCs w:val="0"/>
                <w:color w:val="auto"/>
                <w:sz w:val="24"/>
                <w:lang w:val="en-US" w:eastAsia="zh-CN"/>
              </w:rPr>
              <w:t>四</w:t>
            </w:r>
            <w:r>
              <w:rPr>
                <w:rFonts w:hint="eastAsia" w:ascii="宋体" w:hAnsi="宋体" w:cs="Times New Roman"/>
                <w:b/>
                <w:bCs w:val="0"/>
                <w:color w:val="auto"/>
                <w:sz w:val="24"/>
                <w:lang w:eastAsia="zh-CN"/>
              </w:rPr>
              <w:t>）</w:t>
            </w:r>
            <w:r>
              <w:rPr>
                <w:rFonts w:hint="default" w:ascii="宋体" w:hAnsi="宋体" w:cs="Times New Roman"/>
                <w:b/>
                <w:bCs w:val="0"/>
                <w:color w:val="auto"/>
                <w:sz w:val="24"/>
                <w:lang w:eastAsia="zh-CN"/>
              </w:rPr>
              <w:t>年度评估报告</w:t>
            </w:r>
          </w:p>
          <w:p>
            <w:pPr>
              <w:pStyle w:val="2"/>
              <w:spacing w:line="360" w:lineRule="auto"/>
              <w:ind w:firstLine="480" w:firstLineChars="200"/>
              <w:rPr>
                <w:rFonts w:hint="eastAsia"/>
                <w:color w:val="auto"/>
                <w:lang w:val="en-US" w:eastAsia="zh-CN"/>
              </w:rPr>
            </w:pPr>
            <w:r>
              <w:rPr>
                <w:rFonts w:hint="default" w:ascii="Times New Roman" w:hAnsi="Times New Roman" w:eastAsia="宋体" w:cs="Times New Roman"/>
                <w:color w:val="auto"/>
                <w:kern w:val="2"/>
                <w:sz w:val="24"/>
                <w:szCs w:val="24"/>
                <w:highlight w:val="none"/>
                <w:lang w:val="en-US" w:eastAsia="zh-CN" w:bidi="ar-SA"/>
              </w:rPr>
              <w:t>医院在全国核技术利用辐射安全申报系统（rr.mee.gov.cn）中提交了“20</w:t>
            </w:r>
            <w:r>
              <w:rPr>
                <w:rFonts w:hint="eastAsia" w:ascii="Times New Roman" w:hAnsi="Times New Roman" w:eastAsia="宋体" w:cs="Times New Roman"/>
                <w:color w:val="auto"/>
                <w:kern w:val="2"/>
                <w:sz w:val="24"/>
                <w:szCs w:val="24"/>
                <w:highlight w:val="none"/>
                <w:lang w:val="en-US" w:eastAsia="zh-CN" w:bidi="ar-SA"/>
              </w:rPr>
              <w:t>20</w:t>
            </w:r>
            <w:r>
              <w:rPr>
                <w:rFonts w:hint="default" w:ascii="Times New Roman" w:hAnsi="Times New Roman" w:eastAsia="宋体" w:cs="Times New Roman"/>
                <w:color w:val="auto"/>
                <w:kern w:val="2"/>
                <w:sz w:val="24"/>
                <w:szCs w:val="24"/>
                <w:highlight w:val="none"/>
                <w:lang w:val="en-US" w:eastAsia="zh-CN" w:bidi="ar-SA"/>
              </w:rPr>
              <w:t>年度四川省核技术利用单位放射性同位素与射线装置安全和防护状况年度评估报告”，医院对20</w:t>
            </w:r>
            <w:r>
              <w:rPr>
                <w:rFonts w:hint="eastAsia" w:ascii="Times New Roman" w:hAnsi="Times New Roman" w:cs="Times New Roman"/>
                <w:color w:val="auto"/>
                <w:kern w:val="2"/>
                <w:sz w:val="24"/>
                <w:szCs w:val="24"/>
                <w:highlight w:val="none"/>
                <w:lang w:val="en-US" w:eastAsia="zh-CN" w:bidi="ar-SA"/>
              </w:rPr>
              <w:t>20</w:t>
            </w:r>
            <w:r>
              <w:rPr>
                <w:rFonts w:hint="default" w:ascii="Times New Roman" w:hAnsi="Times New Roman" w:eastAsia="宋体" w:cs="Times New Roman"/>
                <w:color w:val="auto"/>
                <w:kern w:val="2"/>
                <w:sz w:val="24"/>
                <w:szCs w:val="24"/>
                <w:highlight w:val="none"/>
                <w:lang w:val="en-US" w:eastAsia="zh-CN" w:bidi="ar-SA"/>
              </w:rPr>
              <w:t>年度的辐射场所的安全和防护状况以及辐射管理情况进行了评估说明。</w:t>
            </w:r>
          </w:p>
          <w:p>
            <w:pPr>
              <w:keepNext w:val="0"/>
              <w:keepLines w:val="0"/>
              <w:suppressLineNumbers w:val="0"/>
              <w:autoSpaceDN w:val="0"/>
              <w:spacing w:before="0" w:beforeAutospacing="0" w:after="0" w:afterAutospacing="0" w:line="360" w:lineRule="auto"/>
              <w:ind w:left="0" w:right="0"/>
              <w:jc w:val="left"/>
              <w:rPr>
                <w:rFonts w:hint="eastAsia" w:ascii="Times New Roman" w:hAnsi="Times New Roman" w:eastAsia="宋体"/>
                <w:b/>
                <w:bCs/>
                <w:color w:val="auto"/>
                <w:szCs w:val="21"/>
                <w:lang w:eastAsia="zh-CN"/>
              </w:rPr>
            </w:pPr>
          </w:p>
        </w:tc>
      </w:tr>
    </w:tbl>
    <w:p>
      <w:pPr>
        <w:rPr>
          <w:rFonts w:ascii="Times New Roman" w:hAnsi="Times New Roman"/>
          <w:color w:val="auto"/>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bookmarkStart w:id="75" w:name="_GoBack"/>
      <w:bookmarkEnd w:id="75"/>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1" w:name="_Toc20865"/>
      <w:r>
        <w:rPr>
          <w:rFonts w:hint="default" w:ascii="Times New Roman" w:hAnsi="Times New Roman" w:eastAsia="宋体" w:cs="Times New Roman"/>
          <w:b/>
          <w:bCs w:val="0"/>
          <w:color w:val="auto"/>
          <w:kern w:val="0"/>
          <w:sz w:val="30"/>
          <w:szCs w:val="30"/>
        </w:rPr>
        <w:t>表2  放射源</w:t>
      </w:r>
      <w:bookmarkEnd w:id="1"/>
    </w:p>
    <w:tbl>
      <w:tblPr>
        <w:tblStyle w:val="17"/>
        <w:tblW w:w="14660" w:type="dxa"/>
        <w:tblInd w:w="-2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
        <w:gridCol w:w="640"/>
        <w:gridCol w:w="3720"/>
        <w:gridCol w:w="660"/>
        <w:gridCol w:w="640"/>
        <w:gridCol w:w="2060"/>
        <w:gridCol w:w="2960"/>
        <w:gridCol w:w="296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序号</w:t>
            </w:r>
          </w:p>
        </w:tc>
        <w:tc>
          <w:tcPr>
            <w:tcW w:w="64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核素名称</w:t>
            </w:r>
          </w:p>
        </w:tc>
        <w:tc>
          <w:tcPr>
            <w:tcW w:w="372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总活度（Bq）/活度（Bq）×枚数</w:t>
            </w:r>
          </w:p>
        </w:tc>
        <w:tc>
          <w:tcPr>
            <w:tcW w:w="66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类别</w:t>
            </w:r>
          </w:p>
        </w:tc>
        <w:tc>
          <w:tcPr>
            <w:tcW w:w="64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活动种类</w:t>
            </w:r>
          </w:p>
        </w:tc>
        <w:tc>
          <w:tcPr>
            <w:tcW w:w="206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用途</w:t>
            </w:r>
          </w:p>
        </w:tc>
        <w:tc>
          <w:tcPr>
            <w:tcW w:w="296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使用场所</w:t>
            </w:r>
          </w:p>
        </w:tc>
        <w:tc>
          <w:tcPr>
            <w:tcW w:w="296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贮存方式与地点</w:t>
            </w:r>
          </w:p>
        </w:tc>
        <w:tc>
          <w:tcPr>
            <w:tcW w:w="70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32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1</w:t>
            </w:r>
          </w:p>
        </w:tc>
        <w:tc>
          <w:tcPr>
            <w:tcW w:w="64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vertAlign w:val="superscript"/>
              </w:rPr>
              <w:t>192</w:t>
            </w:r>
            <w:r>
              <w:rPr>
                <w:rFonts w:hint="default" w:ascii="Times New Roman" w:hAnsi="Times New Roman"/>
                <w:color w:val="auto"/>
                <w:szCs w:val="21"/>
              </w:rPr>
              <w:t>Ir</w:t>
            </w:r>
          </w:p>
        </w:tc>
        <w:tc>
          <w:tcPr>
            <w:tcW w:w="372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bCs/>
                <w:color w:val="auto"/>
                <w:szCs w:val="21"/>
              </w:rPr>
              <w:t>3.7×10</w:t>
            </w:r>
            <w:r>
              <w:rPr>
                <w:rFonts w:hint="default" w:ascii="Times New Roman" w:hAnsi="Times New Roman"/>
                <w:bCs/>
                <w:color w:val="auto"/>
                <w:szCs w:val="21"/>
                <w:vertAlign w:val="superscript"/>
              </w:rPr>
              <w:t>11</w:t>
            </w:r>
            <w:r>
              <w:rPr>
                <w:rFonts w:hint="default" w:ascii="Times New Roman" w:hAnsi="Times New Roman"/>
                <w:bCs/>
                <w:color w:val="auto"/>
                <w:szCs w:val="21"/>
              </w:rPr>
              <w:t>Bq/3.7×10</w:t>
            </w:r>
            <w:r>
              <w:rPr>
                <w:rFonts w:hint="default" w:ascii="Times New Roman" w:hAnsi="Times New Roman"/>
                <w:bCs/>
                <w:color w:val="auto"/>
                <w:szCs w:val="21"/>
                <w:vertAlign w:val="superscript"/>
              </w:rPr>
              <w:t>11</w:t>
            </w:r>
            <w:r>
              <w:rPr>
                <w:rFonts w:hint="default" w:ascii="Times New Roman" w:hAnsi="Times New Roman"/>
                <w:bCs/>
                <w:color w:val="auto"/>
                <w:szCs w:val="21"/>
              </w:rPr>
              <w:t>Bq×1</w:t>
            </w:r>
          </w:p>
        </w:tc>
        <w:tc>
          <w:tcPr>
            <w:tcW w:w="66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bCs/>
                <w:color w:val="auto"/>
                <w:szCs w:val="21"/>
              </w:rPr>
              <w:t>Ⅲ类</w:t>
            </w:r>
          </w:p>
        </w:tc>
        <w:tc>
          <w:tcPr>
            <w:tcW w:w="64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使用</w:t>
            </w:r>
          </w:p>
        </w:tc>
        <w:tc>
          <w:tcPr>
            <w:tcW w:w="206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用于后装机治疗</w:t>
            </w:r>
          </w:p>
        </w:tc>
        <w:tc>
          <w:tcPr>
            <w:tcW w:w="2960" w:type="dxa"/>
            <w:vAlign w:val="center"/>
          </w:tcPr>
          <w:p>
            <w:pPr>
              <w:keepNext w:val="0"/>
              <w:keepLines w:val="0"/>
              <w:suppressLineNumbers w:val="0"/>
              <w:spacing w:before="0" w:beforeAutospacing="0" w:after="0" w:afterAutospacing="0" w:line="312" w:lineRule="auto"/>
              <w:ind w:left="0" w:right="0"/>
              <w:jc w:val="center"/>
              <w:rPr>
                <w:rFonts w:hint="eastAsia" w:ascii="Times New Roman" w:hAnsi="Times New Roman" w:eastAsia="宋体"/>
                <w:color w:val="auto"/>
                <w:szCs w:val="21"/>
                <w:lang w:eastAsia="zh-CN"/>
              </w:rPr>
            </w:pPr>
            <w:r>
              <w:rPr>
                <w:rFonts w:hint="eastAsia" w:ascii="Times New Roman" w:hAnsi="Times New Roman"/>
                <w:color w:val="auto"/>
                <w:szCs w:val="21"/>
              </w:rPr>
              <w:t>放疗</w:t>
            </w:r>
            <w:r>
              <w:rPr>
                <w:rFonts w:hint="default" w:ascii="Times New Roman" w:hAnsi="Times New Roman"/>
                <w:color w:val="auto"/>
                <w:szCs w:val="21"/>
              </w:rPr>
              <w:t>中心负</w:t>
            </w:r>
            <w:r>
              <w:rPr>
                <w:rFonts w:hint="eastAsia" w:ascii="Times New Roman" w:hAnsi="Times New Roman"/>
                <w:color w:val="auto"/>
                <w:szCs w:val="21"/>
              </w:rPr>
              <w:t>1层</w:t>
            </w:r>
            <w:r>
              <w:rPr>
                <w:rFonts w:hint="eastAsia" w:ascii="Times New Roman" w:hAnsi="Times New Roman"/>
                <w:color w:val="auto"/>
                <w:szCs w:val="21"/>
                <w:lang w:eastAsia="zh-CN"/>
              </w:rPr>
              <w:t>后装治疗室</w:t>
            </w:r>
          </w:p>
        </w:tc>
        <w:tc>
          <w:tcPr>
            <w:tcW w:w="296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cs="Times New Roman"/>
                <w:color w:val="auto"/>
                <w:sz w:val="21"/>
                <w:szCs w:val="21"/>
                <w:highlight w:val="none"/>
                <w:lang w:val="en-US" w:eastAsia="zh-CN"/>
              </w:rPr>
              <w:t>在建门急诊住院综合楼配套工程（三期）负三层放疗中心</w:t>
            </w:r>
            <w:r>
              <w:rPr>
                <w:rFonts w:hint="eastAsia" w:ascii="Times New Roman" w:hAnsi="Times New Roman"/>
                <w:color w:val="auto"/>
                <w:szCs w:val="21"/>
                <w:lang w:eastAsia="zh-CN"/>
              </w:rPr>
              <w:t>后装治疗室</w:t>
            </w:r>
          </w:p>
        </w:tc>
        <w:tc>
          <w:tcPr>
            <w:tcW w:w="700" w:type="dxa"/>
            <w:vAlign w:val="center"/>
          </w:tcPr>
          <w:p>
            <w:pPr>
              <w:keepNext w:val="0"/>
              <w:keepLines w:val="0"/>
              <w:suppressLineNumbers w:val="0"/>
              <w:spacing w:before="0" w:beforeAutospacing="0" w:after="0" w:afterAutospacing="0" w:line="312" w:lineRule="auto"/>
              <w:ind w:left="0" w:right="0"/>
              <w:jc w:val="center"/>
              <w:rPr>
                <w:rFonts w:hint="default" w:ascii="Times New Roman" w:hAnsi="Times New Roman"/>
                <w:color w:val="auto"/>
                <w:szCs w:val="21"/>
              </w:rPr>
            </w:pPr>
            <w:r>
              <w:rPr>
                <w:rFonts w:hint="default" w:ascii="Times New Roman" w:hAnsi="Times New Roman"/>
                <w:color w:val="auto"/>
                <w:szCs w:val="21"/>
              </w:rPr>
              <w:t>拟购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20" w:type="dxa"/>
            <w:vAlign w:val="center"/>
          </w:tcPr>
          <w:p>
            <w:pPr>
              <w:keepNext w:val="0"/>
              <w:keepLines w:val="0"/>
              <w:suppressLineNumbers w:val="0"/>
              <w:spacing w:before="0" w:beforeAutospacing="0" w:after="0" w:afterAutospacing="0" w:line="312" w:lineRule="auto"/>
              <w:ind w:left="0" w:leftChars="0" w:right="0" w:rightChars="0"/>
              <w:jc w:val="center"/>
              <w:rPr>
                <w:rFonts w:hint="eastAsia" w:ascii="Times New Roman" w:hAnsi="Times New Roman" w:eastAsia="宋体"/>
                <w:color w:val="auto"/>
                <w:szCs w:val="21"/>
                <w:lang w:val="en-US" w:eastAsia="zh-CN"/>
              </w:rPr>
            </w:pPr>
            <w:r>
              <w:rPr>
                <w:rFonts w:hint="eastAsia" w:ascii="Times New Roman" w:hAnsi="Times New Roman" w:cs="Times New Roman"/>
                <w:color w:val="auto"/>
                <w:sz w:val="21"/>
                <w:szCs w:val="21"/>
                <w:highlight w:val="none"/>
                <w:lang w:eastAsia="zh-CN"/>
              </w:rPr>
              <w:t>—</w:t>
            </w:r>
          </w:p>
        </w:tc>
        <w:tc>
          <w:tcPr>
            <w:tcW w:w="64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372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6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64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20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29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29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70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32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64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372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6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64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20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29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29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70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32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64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372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6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64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20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29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296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700" w:type="dxa"/>
            <w:vAlign w:val="center"/>
          </w:tcPr>
          <w:p>
            <w:pPr>
              <w:keepNext w:val="0"/>
              <w:keepLines w:val="0"/>
              <w:suppressLineNumbers w:val="0"/>
              <w:spacing w:before="0" w:beforeAutospacing="0" w:after="0" w:afterAutospacing="0" w:line="312" w:lineRule="auto"/>
              <w:ind w:left="0" w:leftChars="0" w:right="0" w:rightChars="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r>
    </w:tbl>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2" w:name="_Toc30844"/>
      <w:r>
        <w:rPr>
          <w:rFonts w:hint="default" w:ascii="Times New Roman" w:hAnsi="Times New Roman" w:eastAsia="宋体" w:cs="Times New Roman"/>
          <w:b/>
          <w:bCs w:val="0"/>
          <w:color w:val="auto"/>
          <w:kern w:val="0"/>
          <w:sz w:val="30"/>
          <w:szCs w:val="30"/>
        </w:rPr>
        <w:t>表3  非密封放射性物质</w:t>
      </w:r>
      <w:bookmarkEnd w:id="2"/>
    </w:p>
    <w:tbl>
      <w:tblPr>
        <w:tblStyle w:val="17"/>
        <w:tblW w:w="14640" w:type="dxa"/>
        <w:tblInd w:w="-235" w:type="dxa"/>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80"/>
        <w:gridCol w:w="1740"/>
        <w:gridCol w:w="880"/>
        <w:gridCol w:w="1380"/>
        <w:gridCol w:w="1380"/>
        <w:gridCol w:w="1524"/>
        <w:gridCol w:w="1404"/>
        <w:gridCol w:w="1080"/>
        <w:gridCol w:w="1750"/>
        <w:gridCol w:w="2042"/>
      </w:tblGrid>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序号</w:t>
            </w:r>
          </w:p>
        </w:tc>
        <w:tc>
          <w:tcPr>
            <w:tcW w:w="9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核素名称</w:t>
            </w:r>
          </w:p>
        </w:tc>
        <w:tc>
          <w:tcPr>
            <w:tcW w:w="17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理化性质</w:t>
            </w:r>
          </w:p>
        </w:tc>
        <w:tc>
          <w:tcPr>
            <w:tcW w:w="8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活动种类</w:t>
            </w:r>
          </w:p>
        </w:tc>
        <w:tc>
          <w:tcPr>
            <w:tcW w:w="13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实际日最大操作量（Bq）</w:t>
            </w:r>
          </w:p>
        </w:tc>
        <w:tc>
          <w:tcPr>
            <w:tcW w:w="13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日等效最大操作量（Bq）</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年最大用量（Bq）</w:t>
            </w:r>
          </w:p>
        </w:tc>
        <w:tc>
          <w:tcPr>
            <w:tcW w:w="14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用途</w:t>
            </w:r>
          </w:p>
        </w:tc>
        <w:tc>
          <w:tcPr>
            <w:tcW w:w="10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操作方式</w:t>
            </w:r>
          </w:p>
        </w:tc>
        <w:tc>
          <w:tcPr>
            <w:tcW w:w="1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使用场所</w:t>
            </w:r>
          </w:p>
        </w:tc>
        <w:tc>
          <w:tcPr>
            <w:tcW w:w="20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贮存方式与地点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8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val="en-US" w:eastAsia="zh-CN"/>
              </w:rPr>
            </w:pPr>
            <w:r>
              <w:rPr>
                <w:rFonts w:hint="eastAsia" w:ascii="Times New Roman" w:hAnsi="Times New Roman" w:cs="Times New Roman"/>
                <w:color w:val="auto"/>
                <w:sz w:val="21"/>
                <w:szCs w:val="21"/>
                <w:highlight w:val="none"/>
                <w:lang w:eastAsia="zh-CN"/>
              </w:rPr>
              <w:t>—</w:t>
            </w:r>
          </w:p>
        </w:tc>
        <w:tc>
          <w:tcPr>
            <w:tcW w:w="9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 w:val="21"/>
                <w:szCs w:val="21"/>
                <w:highlight w:val="none"/>
                <w:lang w:eastAsia="zh-CN"/>
              </w:rPr>
              <w:t>—</w:t>
            </w:r>
          </w:p>
        </w:tc>
        <w:tc>
          <w:tcPr>
            <w:tcW w:w="17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88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val="en-US" w:eastAsia="zh-CN"/>
              </w:rPr>
            </w:pPr>
            <w:r>
              <w:rPr>
                <w:rFonts w:hint="eastAsia" w:ascii="Times New Roman" w:hAnsi="Times New Roman" w:cs="Times New Roman"/>
                <w:color w:val="auto"/>
                <w:sz w:val="21"/>
                <w:szCs w:val="21"/>
                <w:highlight w:val="none"/>
                <w:lang w:eastAsia="zh-CN"/>
              </w:rPr>
              <w:t>—</w:t>
            </w:r>
          </w:p>
        </w:tc>
        <w:tc>
          <w:tcPr>
            <w:tcW w:w="1380"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380"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4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0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7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val="en-US" w:eastAsia="zh-CN"/>
              </w:rPr>
            </w:pPr>
            <w:r>
              <w:rPr>
                <w:rFonts w:hint="eastAsia" w:ascii="Times New Roman" w:hAnsi="Times New Roman" w:cs="Times New Roman"/>
                <w:color w:val="auto"/>
                <w:sz w:val="21"/>
                <w:szCs w:val="21"/>
                <w:highlight w:val="none"/>
                <w:lang w:eastAsia="zh-CN"/>
              </w:rPr>
              <w:t>—</w:t>
            </w:r>
          </w:p>
        </w:tc>
        <w:tc>
          <w:tcPr>
            <w:tcW w:w="20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9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74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8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3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3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4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08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20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9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74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8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3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3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524"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404"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0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75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2042"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9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74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8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3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3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524"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404"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08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175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c>
          <w:tcPr>
            <w:tcW w:w="2042"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eastAsia" w:ascii="Times New Roman" w:hAnsi="Times New Roman" w:cs="Times New Roman"/>
                <w:color w:val="auto"/>
                <w:sz w:val="21"/>
                <w:szCs w:val="21"/>
                <w:highlight w:val="none"/>
                <w:lang w:eastAsia="zh-CN"/>
              </w:rPr>
              <w:t>—</w:t>
            </w:r>
          </w:p>
        </w:tc>
      </w:tr>
    </w:tbl>
    <w:p>
      <w:pPr>
        <w:rPr>
          <w:rFonts w:ascii="Times New Roman" w:hAnsi="Times New Roman"/>
          <w:color w:val="auto"/>
        </w:rPr>
      </w:pPr>
    </w:p>
    <w:p>
      <w:pPr>
        <w:rPr>
          <w:rFonts w:ascii="Times New Roman" w:hAnsi="Times New Roman"/>
          <w:b/>
          <w:bCs/>
          <w:color w:val="auto"/>
          <w:sz w:val="30"/>
          <w:szCs w:val="30"/>
        </w:rPr>
      </w:pPr>
    </w:p>
    <w:p>
      <w:pPr>
        <w:pStyle w:val="2"/>
        <w:rPr>
          <w:color w:val="auto"/>
        </w:rPr>
      </w:pPr>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3" w:name="_Toc8819"/>
      <w:r>
        <w:rPr>
          <w:rFonts w:hint="default" w:ascii="Times New Roman" w:hAnsi="Times New Roman" w:eastAsia="宋体" w:cs="Times New Roman"/>
          <w:b/>
          <w:bCs w:val="0"/>
          <w:color w:val="auto"/>
          <w:kern w:val="0"/>
          <w:sz w:val="30"/>
          <w:szCs w:val="30"/>
        </w:rPr>
        <w:t>表4  射线装置</w:t>
      </w:r>
      <w:bookmarkEnd w:id="3"/>
    </w:p>
    <w:p>
      <w:pPr>
        <w:numPr>
          <w:ilvl w:val="0"/>
          <w:numId w:val="1"/>
        </w:numPr>
        <w:rPr>
          <w:rFonts w:ascii="Times New Roman" w:hAnsi="Times New Roman"/>
          <w:color w:val="auto"/>
          <w:sz w:val="28"/>
          <w:szCs w:val="28"/>
        </w:rPr>
      </w:pPr>
      <w:r>
        <w:rPr>
          <w:rFonts w:ascii="Times New Roman" w:hAnsi="Times New Roman"/>
          <w:color w:val="auto"/>
          <w:sz w:val="28"/>
          <w:szCs w:val="28"/>
        </w:rPr>
        <w:t>加速器，包括医用、工农业、科研、教学等用途的各种类型加速器</w:t>
      </w:r>
    </w:p>
    <w:tbl>
      <w:tblPr>
        <w:tblStyle w:val="18"/>
        <w:tblW w:w="14680" w:type="dxa"/>
        <w:tblInd w:w="-2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343"/>
        <w:gridCol w:w="1500"/>
        <w:gridCol w:w="340"/>
        <w:gridCol w:w="680"/>
        <w:gridCol w:w="646"/>
        <w:gridCol w:w="1641"/>
        <w:gridCol w:w="2208"/>
        <w:gridCol w:w="1075"/>
        <w:gridCol w:w="4180"/>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343"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500"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类别</w:t>
            </w:r>
          </w:p>
        </w:tc>
        <w:tc>
          <w:tcPr>
            <w:tcW w:w="340"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680"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w:t>
            </w:r>
          </w:p>
        </w:tc>
        <w:tc>
          <w:tcPr>
            <w:tcW w:w="646"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加速粒子</w:t>
            </w:r>
          </w:p>
        </w:tc>
        <w:tc>
          <w:tcPr>
            <w:tcW w:w="1641"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最大能量</w:t>
            </w:r>
          </w:p>
        </w:tc>
        <w:tc>
          <w:tcPr>
            <w:tcW w:w="2208"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额定电流（mA)/剂量率（Gy/h）</w:t>
            </w:r>
          </w:p>
        </w:tc>
        <w:tc>
          <w:tcPr>
            <w:tcW w:w="1075"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用途</w:t>
            </w:r>
          </w:p>
        </w:tc>
        <w:tc>
          <w:tcPr>
            <w:tcW w:w="4180"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工作场所</w:t>
            </w:r>
          </w:p>
        </w:tc>
        <w:tc>
          <w:tcPr>
            <w:tcW w:w="66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0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134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医用</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直线加速器</w:t>
            </w:r>
          </w:p>
        </w:tc>
        <w:tc>
          <w:tcPr>
            <w:tcW w:w="150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2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类射线装置</w:t>
            </w:r>
          </w:p>
        </w:tc>
        <w:tc>
          <w:tcPr>
            <w:tcW w:w="34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68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ClincCX</w:t>
            </w:r>
          </w:p>
        </w:tc>
        <w:tc>
          <w:tcPr>
            <w:tcW w:w="64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电子</w:t>
            </w:r>
          </w:p>
        </w:tc>
        <w:tc>
          <w:tcPr>
            <w:tcW w:w="1641"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X射线：</w:t>
            </w: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MV</w:t>
            </w:r>
          </w:p>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电子线：21MeV</w:t>
            </w:r>
          </w:p>
        </w:tc>
        <w:tc>
          <w:tcPr>
            <w:tcW w:w="2208"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8"/>
                <w:lang w:val="zh-CN"/>
              </w:rPr>
              <w:t>X射线</w:t>
            </w:r>
            <w:r>
              <w:rPr>
                <w:rFonts w:hint="default" w:ascii="Times New Roman" w:hAnsi="Times New Roman" w:cs="Times New Roman"/>
                <w:color w:val="auto"/>
                <w:szCs w:val="28"/>
              </w:rPr>
              <w:t>治疗时</w:t>
            </w:r>
            <w:r>
              <w:rPr>
                <w:rFonts w:hint="default" w:ascii="Times New Roman" w:hAnsi="Times New Roman" w:cs="Times New Roman"/>
                <w:color w:val="auto"/>
                <w:szCs w:val="28"/>
                <w:lang w:val="zh-CN"/>
              </w:rPr>
              <w:t>1m处最大剂量率</w:t>
            </w:r>
            <w:r>
              <w:rPr>
                <w:rFonts w:hint="default" w:ascii="Times New Roman" w:hAnsi="Times New Roman" w:cs="Times New Roman"/>
                <w:color w:val="auto"/>
                <w:szCs w:val="28"/>
              </w:rPr>
              <w:t>6</w:t>
            </w:r>
            <w:r>
              <w:rPr>
                <w:rFonts w:hint="default" w:ascii="Times New Roman" w:hAnsi="Times New Roman" w:cs="Times New Roman"/>
                <w:color w:val="auto"/>
                <w:szCs w:val="28"/>
                <w:lang w:val="zh-CN"/>
              </w:rPr>
              <w:t>Gy/</w:t>
            </w:r>
            <w:r>
              <w:rPr>
                <w:rFonts w:hint="default" w:ascii="Times New Roman" w:hAnsi="Times New Roman" w:cs="Times New Roman"/>
                <w:color w:val="auto"/>
                <w:szCs w:val="28"/>
              </w:rPr>
              <w:t>min</w:t>
            </w:r>
          </w:p>
        </w:tc>
        <w:tc>
          <w:tcPr>
            <w:tcW w:w="1075"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放射治疗</w:t>
            </w:r>
          </w:p>
        </w:tc>
        <w:tc>
          <w:tcPr>
            <w:tcW w:w="418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在建门急诊住院综合楼配套工程（三期）负三层放疗中心</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1#加速器治疗室</w:t>
            </w:r>
          </w:p>
        </w:tc>
        <w:tc>
          <w:tcPr>
            <w:tcW w:w="667"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0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134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医用</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直线加速器</w:t>
            </w:r>
          </w:p>
        </w:tc>
        <w:tc>
          <w:tcPr>
            <w:tcW w:w="150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2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类射线装置</w:t>
            </w:r>
          </w:p>
        </w:tc>
        <w:tc>
          <w:tcPr>
            <w:tcW w:w="34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68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待定</w:t>
            </w:r>
          </w:p>
        </w:tc>
        <w:tc>
          <w:tcPr>
            <w:tcW w:w="64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电子</w:t>
            </w:r>
          </w:p>
        </w:tc>
        <w:tc>
          <w:tcPr>
            <w:tcW w:w="1641"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X射线：</w:t>
            </w:r>
            <w:r>
              <w:rPr>
                <w:rFonts w:hint="default" w:ascii="Times New Roman" w:hAnsi="Times New Roman" w:cs="Times New Roman"/>
                <w:color w:val="auto"/>
                <w:sz w:val="21"/>
                <w:szCs w:val="21"/>
                <w:highlight w:val="none"/>
              </w:rPr>
              <w:t>15MV</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电子线：22</w:t>
            </w:r>
            <w:r>
              <w:rPr>
                <w:rFonts w:hint="default" w:ascii="Times New Roman" w:hAnsi="Times New Roman" w:cs="Times New Roman"/>
                <w:color w:val="auto"/>
                <w:sz w:val="21"/>
                <w:szCs w:val="21"/>
                <w:highlight w:val="none"/>
              </w:rPr>
              <w:t>MeV</w:t>
            </w:r>
          </w:p>
        </w:tc>
        <w:tc>
          <w:tcPr>
            <w:tcW w:w="2208"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Cs w:val="28"/>
                <w:lang w:val="zh-CN"/>
              </w:rPr>
              <w:t>X射线</w:t>
            </w:r>
            <w:r>
              <w:rPr>
                <w:rFonts w:hint="default" w:ascii="Times New Roman" w:hAnsi="Times New Roman" w:cs="Times New Roman"/>
                <w:color w:val="auto"/>
                <w:szCs w:val="28"/>
              </w:rPr>
              <w:t>治疗时</w:t>
            </w:r>
            <w:r>
              <w:rPr>
                <w:rFonts w:hint="default" w:ascii="Times New Roman" w:hAnsi="Times New Roman" w:cs="Times New Roman"/>
                <w:color w:val="auto"/>
                <w:szCs w:val="28"/>
                <w:lang w:val="zh-CN"/>
              </w:rPr>
              <w:t>1m处最大剂量率</w:t>
            </w:r>
            <w:r>
              <w:rPr>
                <w:rFonts w:hint="eastAsia" w:ascii="Times New Roman" w:hAnsi="Times New Roman" w:cs="Times New Roman"/>
                <w:color w:val="auto"/>
                <w:szCs w:val="28"/>
                <w:lang w:val="en-US" w:eastAsia="zh-CN"/>
              </w:rPr>
              <w:t>24</w:t>
            </w:r>
            <w:r>
              <w:rPr>
                <w:rFonts w:hint="default" w:ascii="Times New Roman" w:hAnsi="Times New Roman" w:cs="Times New Roman"/>
                <w:color w:val="auto"/>
                <w:szCs w:val="28"/>
                <w:lang w:val="zh-CN"/>
              </w:rPr>
              <w:t>Gy/</w:t>
            </w:r>
            <w:r>
              <w:rPr>
                <w:rFonts w:hint="default" w:ascii="Times New Roman" w:hAnsi="Times New Roman" w:cs="Times New Roman"/>
                <w:color w:val="auto"/>
                <w:szCs w:val="28"/>
              </w:rPr>
              <w:t>min</w:t>
            </w:r>
          </w:p>
        </w:tc>
        <w:tc>
          <w:tcPr>
            <w:tcW w:w="1075"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放射治疗</w:t>
            </w:r>
          </w:p>
        </w:tc>
        <w:tc>
          <w:tcPr>
            <w:tcW w:w="418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在建门急诊住院综合楼配套工程（三期）负三层放疗中心</w:t>
            </w:r>
          </w:p>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2#加速器治疗室</w:t>
            </w:r>
          </w:p>
        </w:tc>
        <w:tc>
          <w:tcPr>
            <w:tcW w:w="667"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拟购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00"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343"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医用</w:t>
            </w:r>
          </w:p>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直线加速器</w:t>
            </w:r>
          </w:p>
        </w:tc>
        <w:tc>
          <w:tcPr>
            <w:tcW w:w="1500"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2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类射线装置</w:t>
            </w:r>
          </w:p>
        </w:tc>
        <w:tc>
          <w:tcPr>
            <w:tcW w:w="340"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680"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待定</w:t>
            </w:r>
          </w:p>
        </w:tc>
        <w:tc>
          <w:tcPr>
            <w:tcW w:w="646"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电子</w:t>
            </w:r>
          </w:p>
        </w:tc>
        <w:tc>
          <w:tcPr>
            <w:tcW w:w="1641"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X射线：</w:t>
            </w: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MV</w:t>
            </w:r>
          </w:p>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电子线：21MeV</w:t>
            </w:r>
          </w:p>
        </w:tc>
        <w:tc>
          <w:tcPr>
            <w:tcW w:w="2208"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Cs w:val="28"/>
                <w:lang w:val="zh-CN"/>
              </w:rPr>
              <w:t>X射线</w:t>
            </w:r>
            <w:r>
              <w:rPr>
                <w:rFonts w:hint="default" w:ascii="Times New Roman" w:hAnsi="Times New Roman" w:cs="Times New Roman"/>
                <w:color w:val="auto"/>
                <w:szCs w:val="28"/>
              </w:rPr>
              <w:t>治疗时</w:t>
            </w:r>
            <w:r>
              <w:rPr>
                <w:rFonts w:hint="default" w:ascii="Times New Roman" w:hAnsi="Times New Roman" w:cs="Times New Roman"/>
                <w:color w:val="auto"/>
                <w:szCs w:val="28"/>
                <w:lang w:val="zh-CN"/>
              </w:rPr>
              <w:t>1m处最大剂量率</w:t>
            </w:r>
            <w:r>
              <w:rPr>
                <w:rFonts w:hint="default" w:ascii="Times New Roman" w:hAnsi="Times New Roman" w:cs="Times New Roman"/>
                <w:color w:val="auto"/>
                <w:szCs w:val="28"/>
              </w:rPr>
              <w:t>6</w:t>
            </w:r>
            <w:r>
              <w:rPr>
                <w:rFonts w:hint="default" w:ascii="Times New Roman" w:hAnsi="Times New Roman" w:cs="Times New Roman"/>
                <w:color w:val="auto"/>
                <w:szCs w:val="28"/>
                <w:lang w:val="zh-CN"/>
              </w:rPr>
              <w:t>Gy/</w:t>
            </w:r>
            <w:r>
              <w:rPr>
                <w:rFonts w:hint="default" w:ascii="Times New Roman" w:hAnsi="Times New Roman" w:cs="Times New Roman"/>
                <w:color w:val="auto"/>
                <w:szCs w:val="28"/>
              </w:rPr>
              <w:t>min</w:t>
            </w:r>
          </w:p>
        </w:tc>
        <w:tc>
          <w:tcPr>
            <w:tcW w:w="1075"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放射治疗</w:t>
            </w:r>
          </w:p>
        </w:tc>
        <w:tc>
          <w:tcPr>
            <w:tcW w:w="4180"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在建门急诊住院综合楼配套工程（三期）负三层放疗中心</w:t>
            </w:r>
          </w:p>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3#加速器治疗室</w:t>
            </w:r>
          </w:p>
        </w:tc>
        <w:tc>
          <w:tcPr>
            <w:tcW w:w="667" w:type="dxa"/>
            <w:tcBorders>
              <w:top w:val="single" w:color="auto" w:sz="4" w:space="0"/>
              <w:bottom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拟购</w:t>
            </w:r>
          </w:p>
        </w:tc>
      </w:tr>
    </w:tbl>
    <w:p>
      <w:pPr>
        <w:numPr>
          <w:ilvl w:val="0"/>
          <w:numId w:val="1"/>
        </w:numPr>
        <w:rPr>
          <w:rFonts w:ascii="Times New Roman" w:hAnsi="Times New Roman"/>
          <w:color w:val="auto"/>
          <w:sz w:val="28"/>
          <w:szCs w:val="28"/>
        </w:rPr>
      </w:pPr>
      <w:r>
        <w:rPr>
          <w:rFonts w:ascii="Times New Roman" w:hAnsi="Times New Roman"/>
          <w:color w:val="auto"/>
          <w:sz w:val="28"/>
          <w:szCs w:val="28"/>
        </w:rPr>
        <w:t>X射线机，包括工业探伤、医用诊断和治疗、分析等用途</w:t>
      </w:r>
    </w:p>
    <w:tbl>
      <w:tblPr>
        <w:tblStyle w:val="17"/>
        <w:tblW w:w="14740" w:type="dxa"/>
        <w:tblInd w:w="-2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966"/>
        <w:gridCol w:w="714"/>
        <w:gridCol w:w="714"/>
        <w:gridCol w:w="1985"/>
        <w:gridCol w:w="1348"/>
        <w:gridCol w:w="1464"/>
        <w:gridCol w:w="1128"/>
        <w:gridCol w:w="2722"/>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序号</w:t>
            </w:r>
          </w:p>
        </w:tc>
        <w:tc>
          <w:tcPr>
            <w:tcW w:w="2966"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名称</w:t>
            </w:r>
          </w:p>
        </w:tc>
        <w:tc>
          <w:tcPr>
            <w:tcW w:w="714"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类别</w:t>
            </w:r>
          </w:p>
        </w:tc>
        <w:tc>
          <w:tcPr>
            <w:tcW w:w="714"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数量</w:t>
            </w:r>
          </w:p>
        </w:tc>
        <w:tc>
          <w:tcPr>
            <w:tcW w:w="1985"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型号</w:t>
            </w:r>
          </w:p>
        </w:tc>
        <w:tc>
          <w:tcPr>
            <w:tcW w:w="1348"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最大管电压（kV）</w:t>
            </w:r>
          </w:p>
        </w:tc>
        <w:tc>
          <w:tcPr>
            <w:tcW w:w="1464"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最大管电流（mA）</w:t>
            </w:r>
          </w:p>
        </w:tc>
        <w:tc>
          <w:tcPr>
            <w:tcW w:w="1128"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用途</w:t>
            </w:r>
          </w:p>
        </w:tc>
        <w:tc>
          <w:tcPr>
            <w:tcW w:w="2722"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工作场所</w:t>
            </w:r>
          </w:p>
        </w:tc>
        <w:tc>
          <w:tcPr>
            <w:tcW w:w="1154"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45" w:type="dxa"/>
            <w:vAlign w:val="center"/>
          </w:tcPr>
          <w:p>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ascii="Times New Roman" w:hAnsi="Times New Roman" w:cs="Times New Roman"/>
                <w:color w:val="auto"/>
                <w:sz w:val="21"/>
                <w:szCs w:val="21"/>
                <w:highlight w:val="none"/>
                <w:lang w:eastAsia="zh-CN"/>
              </w:rPr>
              <w:t>—</w:t>
            </w:r>
          </w:p>
        </w:tc>
        <w:tc>
          <w:tcPr>
            <w:tcW w:w="2966" w:type="dxa"/>
            <w:vAlign w:val="center"/>
          </w:tcPr>
          <w:p>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ascii="Times New Roman" w:hAnsi="Times New Roman" w:cs="Times New Roman"/>
                <w:color w:val="auto"/>
                <w:sz w:val="21"/>
                <w:szCs w:val="21"/>
                <w:highlight w:val="none"/>
                <w:lang w:eastAsia="zh-CN"/>
              </w:rPr>
              <w:t>—</w:t>
            </w:r>
          </w:p>
        </w:tc>
        <w:tc>
          <w:tcPr>
            <w:tcW w:w="714"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714"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985"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348"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464"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128"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2722"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154"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45" w:type="dxa"/>
            <w:vAlign w:val="center"/>
          </w:tcPr>
          <w:p>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ascii="Times New Roman" w:hAnsi="Times New Roman" w:cs="Times New Roman"/>
                <w:color w:val="auto"/>
                <w:sz w:val="21"/>
                <w:szCs w:val="21"/>
                <w:highlight w:val="none"/>
                <w:lang w:eastAsia="zh-CN"/>
              </w:rPr>
              <w:t>—</w:t>
            </w:r>
          </w:p>
        </w:tc>
        <w:tc>
          <w:tcPr>
            <w:tcW w:w="2966"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714"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714"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985"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348"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464"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128"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2722"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ascii="Times New Roman" w:hAnsi="Times New Roman" w:cs="Times New Roman"/>
                <w:color w:val="auto"/>
                <w:sz w:val="21"/>
                <w:szCs w:val="21"/>
                <w:highlight w:val="none"/>
                <w:lang w:eastAsia="zh-CN"/>
              </w:rPr>
              <w:t>—</w:t>
            </w:r>
          </w:p>
        </w:tc>
        <w:tc>
          <w:tcPr>
            <w:tcW w:w="1154"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r>
    </w:tbl>
    <w:p>
      <w:pPr>
        <w:rPr>
          <w:rFonts w:ascii="Times New Roman" w:hAnsi="Times New Roman"/>
          <w:color w:val="auto"/>
          <w:sz w:val="28"/>
          <w:szCs w:val="28"/>
        </w:rPr>
      </w:pPr>
      <w:r>
        <w:rPr>
          <w:rFonts w:ascii="Times New Roman" w:hAnsi="Times New Roman"/>
          <w:color w:val="auto"/>
          <w:sz w:val="28"/>
          <w:szCs w:val="28"/>
        </w:rPr>
        <w:t>（三）中子发生器，包括中子管，但不包括放射性中子源</w:t>
      </w:r>
    </w:p>
    <w:tbl>
      <w:tblPr>
        <w:tblStyle w:val="17"/>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640"/>
        <w:gridCol w:w="760"/>
        <w:gridCol w:w="740"/>
        <w:gridCol w:w="840"/>
        <w:gridCol w:w="1320"/>
        <w:gridCol w:w="1559"/>
        <w:gridCol w:w="1012"/>
        <w:gridCol w:w="769"/>
        <w:gridCol w:w="1257"/>
        <w:gridCol w:w="1013"/>
        <w:gridCol w:w="1013"/>
        <w:gridCol w:w="1013"/>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2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序号</w:t>
            </w:r>
          </w:p>
        </w:tc>
        <w:tc>
          <w:tcPr>
            <w:tcW w:w="164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名称</w:t>
            </w:r>
          </w:p>
        </w:tc>
        <w:tc>
          <w:tcPr>
            <w:tcW w:w="76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类别</w:t>
            </w:r>
          </w:p>
        </w:tc>
        <w:tc>
          <w:tcPr>
            <w:tcW w:w="74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数量</w:t>
            </w:r>
          </w:p>
        </w:tc>
        <w:tc>
          <w:tcPr>
            <w:tcW w:w="84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型号</w:t>
            </w:r>
          </w:p>
        </w:tc>
        <w:tc>
          <w:tcPr>
            <w:tcW w:w="132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最大管电压（kV）</w:t>
            </w:r>
          </w:p>
        </w:tc>
        <w:tc>
          <w:tcPr>
            <w:tcW w:w="1559"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最大靶电流（μA）</w:t>
            </w:r>
          </w:p>
        </w:tc>
        <w:tc>
          <w:tcPr>
            <w:tcW w:w="101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中子强度（n/s）</w:t>
            </w:r>
          </w:p>
        </w:tc>
        <w:tc>
          <w:tcPr>
            <w:tcW w:w="769"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用途</w:t>
            </w:r>
          </w:p>
        </w:tc>
        <w:tc>
          <w:tcPr>
            <w:tcW w:w="125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工作场所</w:t>
            </w:r>
          </w:p>
        </w:tc>
        <w:tc>
          <w:tcPr>
            <w:tcW w:w="3039"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氚靶情况</w:t>
            </w:r>
          </w:p>
        </w:tc>
        <w:tc>
          <w:tcPr>
            <w:tcW w:w="128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52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164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76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74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84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132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15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101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76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125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c>
          <w:tcPr>
            <w:tcW w:w="1013"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活度（Bq）</w:t>
            </w:r>
          </w:p>
        </w:tc>
        <w:tc>
          <w:tcPr>
            <w:tcW w:w="1013"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贮存</w:t>
            </w:r>
          </w:p>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方式</w:t>
            </w:r>
          </w:p>
        </w:tc>
        <w:tc>
          <w:tcPr>
            <w:tcW w:w="1013"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数量</w:t>
            </w:r>
          </w:p>
        </w:tc>
        <w:tc>
          <w:tcPr>
            <w:tcW w:w="128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164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76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74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84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132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1559"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1012"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769"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1257"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1013"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1013"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1013"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c>
          <w:tcPr>
            <w:tcW w:w="1284"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eastAsia="zh-CN"/>
              </w:rPr>
              <w:t>—</w:t>
            </w:r>
          </w:p>
        </w:tc>
      </w:tr>
    </w:tbl>
    <w:p>
      <w:pPr>
        <w:rPr>
          <w:rFonts w:ascii="Times New Roman" w:hAnsi="Times New Roman"/>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4" w:name="_Toc25227"/>
      <w:r>
        <w:rPr>
          <w:rFonts w:hint="default" w:ascii="Times New Roman" w:hAnsi="Times New Roman" w:eastAsia="宋体" w:cs="Times New Roman"/>
          <w:b/>
          <w:bCs w:val="0"/>
          <w:color w:val="auto"/>
          <w:kern w:val="0"/>
          <w:sz w:val="30"/>
          <w:szCs w:val="30"/>
        </w:rPr>
        <w:t>表5  废弃物（重点是放射性废弃物）</w:t>
      </w:r>
      <w:bookmarkEnd w:id="4"/>
    </w:p>
    <w:tbl>
      <w:tblPr>
        <w:tblStyle w:val="17"/>
        <w:tblW w:w="9057"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196"/>
        <w:gridCol w:w="1494"/>
        <w:gridCol w:w="1317"/>
        <w:gridCol w:w="1736"/>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31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名称</w:t>
            </w:r>
          </w:p>
        </w:tc>
        <w:tc>
          <w:tcPr>
            <w:tcW w:w="119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状态</w:t>
            </w:r>
          </w:p>
        </w:tc>
        <w:tc>
          <w:tcPr>
            <w:tcW w:w="1494"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年排放总量</w:t>
            </w:r>
          </w:p>
        </w:tc>
        <w:tc>
          <w:tcPr>
            <w:tcW w:w="1317"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排放口浓度</w:t>
            </w:r>
          </w:p>
        </w:tc>
        <w:tc>
          <w:tcPr>
            <w:tcW w:w="173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暂存情况</w:t>
            </w:r>
          </w:p>
        </w:tc>
        <w:tc>
          <w:tcPr>
            <w:tcW w:w="1998"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31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退役</w:t>
            </w:r>
            <w:r>
              <w:rPr>
                <w:rFonts w:hint="default" w:ascii="Times New Roman" w:hAnsi="Times New Roman"/>
                <w:bCs/>
                <w:color w:val="auto"/>
                <w:szCs w:val="21"/>
                <w:vertAlign w:val="superscript"/>
              </w:rPr>
              <w:t>192</w:t>
            </w:r>
            <w:r>
              <w:rPr>
                <w:rFonts w:hint="default" w:ascii="Times New Roman" w:hAnsi="Times New Roman"/>
                <w:bCs/>
                <w:color w:val="auto"/>
                <w:szCs w:val="21"/>
              </w:rPr>
              <w:t>Ir 放射源</w:t>
            </w:r>
          </w:p>
        </w:tc>
        <w:tc>
          <w:tcPr>
            <w:tcW w:w="119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固体</w:t>
            </w:r>
          </w:p>
        </w:tc>
        <w:tc>
          <w:tcPr>
            <w:tcW w:w="1494"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约</w:t>
            </w:r>
            <w:r>
              <w:rPr>
                <w:rFonts w:hint="eastAsia" w:ascii="Times New Roman" w:hAnsi="Times New Roman"/>
                <w:color w:val="auto"/>
                <w:szCs w:val="21"/>
              </w:rPr>
              <w:t>半年</w:t>
            </w:r>
            <w:r>
              <w:rPr>
                <w:rFonts w:hint="default" w:ascii="Times New Roman" w:hAnsi="Times New Roman"/>
                <w:color w:val="auto"/>
                <w:szCs w:val="21"/>
              </w:rPr>
              <w:t>更换一次</w:t>
            </w:r>
          </w:p>
        </w:tc>
        <w:tc>
          <w:tcPr>
            <w:tcW w:w="1317"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w:t>
            </w:r>
          </w:p>
        </w:tc>
        <w:tc>
          <w:tcPr>
            <w:tcW w:w="173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eastAsia" w:ascii="Times New Roman" w:hAnsi="Times New Roman"/>
                <w:color w:val="auto"/>
                <w:szCs w:val="21"/>
                <w:lang w:eastAsia="zh-CN"/>
              </w:rPr>
              <w:t>后装治疗室</w:t>
            </w:r>
            <w:r>
              <w:rPr>
                <w:rFonts w:hint="default" w:ascii="Times New Roman" w:hAnsi="Times New Roman"/>
                <w:color w:val="auto"/>
                <w:szCs w:val="21"/>
              </w:rPr>
              <w:t>暂存</w:t>
            </w:r>
          </w:p>
        </w:tc>
        <w:tc>
          <w:tcPr>
            <w:tcW w:w="1998"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由源生产厂家回收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1316" w:type="dxa"/>
            <w:vAlign w:val="center"/>
          </w:tcPr>
          <w:p>
            <w:pPr>
              <w:keepNext w:val="0"/>
              <w:keepLines w:val="0"/>
              <w:suppressLineNumbers w:val="0"/>
              <w:spacing w:before="0" w:beforeAutospacing="0" w:after="0" w:afterAutospacing="0" w:line="264" w:lineRule="auto"/>
              <w:ind w:left="0" w:right="0"/>
              <w:jc w:val="center"/>
              <w:rPr>
                <w:rFonts w:hint="eastAsia" w:ascii="Times New Roman" w:hAnsi="Times New Roman" w:eastAsia="宋体"/>
                <w:color w:val="auto"/>
                <w:szCs w:val="21"/>
                <w:lang w:eastAsia="zh-CN"/>
              </w:rPr>
            </w:pPr>
            <w:r>
              <w:rPr>
                <w:rFonts w:hint="default" w:ascii="Times New Roman" w:hAnsi="Times New Roman"/>
                <w:color w:val="auto"/>
                <w:szCs w:val="21"/>
              </w:rPr>
              <w:t>O</w:t>
            </w:r>
            <w:r>
              <w:rPr>
                <w:rFonts w:hint="default" w:ascii="Times New Roman" w:hAnsi="Times New Roman"/>
                <w:color w:val="auto"/>
                <w:szCs w:val="21"/>
                <w:vertAlign w:val="subscript"/>
              </w:rPr>
              <w:t>3</w:t>
            </w:r>
            <w:r>
              <w:rPr>
                <w:rFonts w:hint="eastAsia" w:ascii="Times New Roman" w:hAnsi="Times New Roman"/>
                <w:color w:val="auto"/>
                <w:szCs w:val="21"/>
                <w:vertAlign w:val="baseline"/>
                <w:lang w:eastAsia="zh-CN"/>
              </w:rPr>
              <w:t>（</w:t>
            </w:r>
            <w:r>
              <w:rPr>
                <w:rFonts w:hint="eastAsia" w:ascii="Times New Roman" w:hAnsi="Times New Roman"/>
                <w:color w:val="auto"/>
                <w:szCs w:val="21"/>
                <w:vertAlign w:val="baseline"/>
                <w:lang w:val="en-US" w:eastAsia="zh-CN"/>
              </w:rPr>
              <w:t>10MV直线加速器治疗室</w:t>
            </w:r>
            <w:r>
              <w:rPr>
                <w:rFonts w:hint="eastAsia" w:ascii="Times New Roman" w:hAnsi="Times New Roman"/>
                <w:color w:val="auto"/>
                <w:szCs w:val="21"/>
                <w:vertAlign w:val="baseline"/>
                <w:lang w:eastAsia="zh-CN"/>
              </w:rPr>
              <w:t>）</w:t>
            </w:r>
          </w:p>
        </w:tc>
        <w:tc>
          <w:tcPr>
            <w:tcW w:w="119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eastAsia" w:ascii="Times New Roman" w:hAnsi="Times New Roman"/>
                <w:color w:val="auto"/>
                <w:szCs w:val="21"/>
                <w:lang w:val="en-US" w:eastAsia="zh-CN"/>
              </w:rPr>
              <w:t>气体</w:t>
            </w:r>
          </w:p>
        </w:tc>
        <w:tc>
          <w:tcPr>
            <w:tcW w:w="1494" w:type="dxa"/>
            <w:vAlign w:val="center"/>
          </w:tcPr>
          <w:p>
            <w:pPr>
              <w:keepNext w:val="0"/>
              <w:keepLines w:val="0"/>
              <w:suppressLineNumbers w:val="0"/>
              <w:spacing w:before="0" w:beforeAutospacing="0" w:after="0" w:afterAutospacing="0" w:line="264" w:lineRule="auto"/>
              <w:ind w:left="0" w:right="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w:t>
            </w:r>
          </w:p>
        </w:tc>
        <w:tc>
          <w:tcPr>
            <w:tcW w:w="1317"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 w:val="21"/>
                <w:szCs w:val="21"/>
              </w:rPr>
            </w:pPr>
            <w:r>
              <w:rPr>
                <w:rFonts w:hint="default" w:ascii="Times New Roman" w:hAnsi="Times New Roman" w:cs="Times New Roman"/>
                <w:bCs/>
                <w:color w:val="auto"/>
                <w:sz w:val="21"/>
                <w:szCs w:val="21"/>
                <w:lang w:val="en-US" w:eastAsia="zh-CN"/>
              </w:rPr>
              <w:t>1.39</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default" w:ascii="Times New Roman" w:hAnsi="Times New Roman" w:cs="Times New Roman"/>
                <w:bCs/>
                <w:color w:val="auto"/>
                <w:sz w:val="21"/>
                <w:szCs w:val="21"/>
                <w:vertAlign w:val="superscript"/>
                <w:lang w:val="en-US" w:eastAsia="zh-CN"/>
              </w:rPr>
              <w:t>3</w:t>
            </w:r>
          </w:p>
        </w:tc>
        <w:tc>
          <w:tcPr>
            <w:tcW w:w="173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 w:val="21"/>
                <w:szCs w:val="21"/>
              </w:rPr>
            </w:pPr>
            <w:r>
              <w:rPr>
                <w:rFonts w:hint="default" w:ascii="Times New Roman" w:hAnsi="Times New Roman"/>
                <w:color w:val="auto"/>
                <w:sz w:val="21"/>
                <w:szCs w:val="21"/>
              </w:rPr>
              <w:t>经过专用通排风系统排放</w:t>
            </w:r>
          </w:p>
        </w:tc>
        <w:tc>
          <w:tcPr>
            <w:tcW w:w="1998"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环境大气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131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O</w:t>
            </w:r>
            <w:r>
              <w:rPr>
                <w:rFonts w:hint="default" w:ascii="Times New Roman" w:hAnsi="Times New Roman"/>
                <w:color w:val="auto"/>
                <w:szCs w:val="21"/>
                <w:vertAlign w:val="subscript"/>
              </w:rPr>
              <w:t>3</w:t>
            </w:r>
            <w:r>
              <w:rPr>
                <w:rFonts w:hint="eastAsia" w:ascii="Times New Roman" w:hAnsi="Times New Roman"/>
                <w:color w:val="auto"/>
                <w:szCs w:val="21"/>
                <w:vertAlign w:val="baseline"/>
                <w:lang w:eastAsia="zh-CN"/>
              </w:rPr>
              <w:t>（</w:t>
            </w:r>
            <w:r>
              <w:rPr>
                <w:rFonts w:hint="eastAsia" w:ascii="Times New Roman" w:hAnsi="Times New Roman"/>
                <w:color w:val="auto"/>
                <w:szCs w:val="21"/>
                <w:vertAlign w:val="baseline"/>
                <w:lang w:val="en-US" w:eastAsia="zh-CN"/>
              </w:rPr>
              <w:t>15MV直线加速器治疗室</w:t>
            </w:r>
            <w:r>
              <w:rPr>
                <w:rFonts w:hint="eastAsia" w:ascii="Times New Roman" w:hAnsi="Times New Roman"/>
                <w:color w:val="auto"/>
                <w:szCs w:val="21"/>
                <w:vertAlign w:val="baseline"/>
                <w:lang w:eastAsia="zh-CN"/>
              </w:rPr>
              <w:t>）</w:t>
            </w:r>
          </w:p>
        </w:tc>
        <w:tc>
          <w:tcPr>
            <w:tcW w:w="119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eastAsia" w:ascii="Times New Roman" w:hAnsi="Times New Roman"/>
                <w:color w:val="auto"/>
                <w:szCs w:val="21"/>
                <w:lang w:val="en-US" w:eastAsia="zh-CN"/>
              </w:rPr>
              <w:t>气体</w:t>
            </w:r>
          </w:p>
        </w:tc>
        <w:tc>
          <w:tcPr>
            <w:tcW w:w="1494" w:type="dxa"/>
            <w:vAlign w:val="center"/>
          </w:tcPr>
          <w:p>
            <w:pPr>
              <w:keepNext w:val="0"/>
              <w:keepLines w:val="0"/>
              <w:suppressLineNumbers w:val="0"/>
              <w:spacing w:before="0" w:beforeAutospacing="0" w:after="0" w:afterAutospacing="0" w:line="264" w:lineRule="auto"/>
              <w:ind w:left="0" w:right="0"/>
              <w:jc w:val="center"/>
              <w:rPr>
                <w:rFonts w:hint="eastAsia" w:ascii="Times New Roman" w:hAnsi="Times New Roman"/>
                <w:color w:val="auto"/>
                <w:szCs w:val="21"/>
                <w:lang w:eastAsia="zh-CN"/>
              </w:rPr>
            </w:pPr>
            <w:r>
              <w:rPr>
                <w:rFonts w:hint="eastAsia" w:ascii="Times New Roman" w:hAnsi="Times New Roman"/>
                <w:color w:val="auto"/>
                <w:szCs w:val="21"/>
                <w:lang w:eastAsia="zh-CN"/>
              </w:rPr>
              <w:t>—</w:t>
            </w:r>
          </w:p>
        </w:tc>
        <w:tc>
          <w:tcPr>
            <w:tcW w:w="1317" w:type="dxa"/>
            <w:vAlign w:val="center"/>
          </w:tcPr>
          <w:p>
            <w:pPr>
              <w:keepNext w:val="0"/>
              <w:keepLines w:val="0"/>
              <w:suppressLineNumbers w:val="0"/>
              <w:spacing w:before="0" w:beforeAutospacing="0" w:after="0" w:afterAutospacing="0" w:line="264" w:lineRule="auto"/>
              <w:ind w:left="0" w:right="0"/>
              <w:jc w:val="center"/>
              <w:rPr>
                <w:rFonts w:hint="eastAsia" w:ascii="Times New Roman" w:hAnsi="Times New Roman"/>
                <w:color w:val="auto"/>
                <w:sz w:val="21"/>
                <w:szCs w:val="21"/>
                <w:highlight w:val="yellow"/>
              </w:rPr>
            </w:pPr>
            <w:r>
              <w:rPr>
                <w:rFonts w:hint="default" w:ascii="Times New Roman" w:hAnsi="Times New Roman" w:cs="Times New Roman"/>
                <w:color w:val="auto"/>
                <w:sz w:val="21"/>
                <w:szCs w:val="21"/>
                <w:highlight w:val="none"/>
                <w:lang w:val="en-US" w:eastAsia="zh-CN"/>
              </w:rPr>
              <w:t>8</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9</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vertAlign w:val="superscript"/>
                <w:lang w:val="en-US" w:eastAsia="zh-CN"/>
              </w:rPr>
              <w:t>-2</w:t>
            </w:r>
          </w:p>
        </w:tc>
        <w:tc>
          <w:tcPr>
            <w:tcW w:w="1736" w:type="dxa"/>
            <w:vAlign w:val="center"/>
          </w:tcPr>
          <w:p>
            <w:pPr>
              <w:keepNext w:val="0"/>
              <w:keepLines w:val="0"/>
              <w:suppressLineNumbers w:val="0"/>
              <w:spacing w:before="0" w:beforeAutospacing="0" w:after="0" w:afterAutospacing="0" w:line="264" w:lineRule="auto"/>
              <w:ind w:left="0" w:leftChars="0" w:right="0" w:rightChars="0"/>
              <w:jc w:val="center"/>
              <w:rPr>
                <w:rFonts w:hint="default" w:ascii="Times New Roman" w:hAnsi="Times New Roman"/>
                <w:color w:val="auto"/>
                <w:szCs w:val="21"/>
              </w:rPr>
            </w:pPr>
            <w:r>
              <w:rPr>
                <w:rFonts w:hint="default" w:ascii="Times New Roman" w:hAnsi="Times New Roman"/>
                <w:color w:val="auto"/>
                <w:szCs w:val="21"/>
              </w:rPr>
              <w:t>经过专用通排风系统排放</w:t>
            </w:r>
          </w:p>
        </w:tc>
        <w:tc>
          <w:tcPr>
            <w:tcW w:w="1998" w:type="dxa"/>
            <w:vAlign w:val="center"/>
          </w:tcPr>
          <w:p>
            <w:pPr>
              <w:keepNext w:val="0"/>
              <w:keepLines w:val="0"/>
              <w:suppressLineNumbers w:val="0"/>
              <w:spacing w:before="0" w:beforeAutospacing="0" w:after="0" w:afterAutospacing="0" w:line="264" w:lineRule="auto"/>
              <w:ind w:left="0" w:leftChars="0" w:right="0" w:rightChars="0"/>
              <w:jc w:val="center"/>
              <w:rPr>
                <w:rFonts w:hint="default" w:ascii="Times New Roman" w:hAnsi="Times New Roman"/>
                <w:color w:val="auto"/>
                <w:szCs w:val="21"/>
              </w:rPr>
            </w:pPr>
            <w:r>
              <w:rPr>
                <w:rFonts w:hint="default" w:ascii="Times New Roman" w:hAnsi="Times New Roman"/>
                <w:color w:val="auto"/>
                <w:szCs w:val="21"/>
              </w:rPr>
              <w:t>环境大气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31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default" w:ascii="Times New Roman" w:hAnsi="Times New Roman"/>
                <w:color w:val="auto"/>
                <w:szCs w:val="21"/>
              </w:rPr>
              <w:t>O</w:t>
            </w:r>
            <w:r>
              <w:rPr>
                <w:rFonts w:hint="default" w:ascii="Times New Roman" w:hAnsi="Times New Roman"/>
                <w:color w:val="auto"/>
                <w:szCs w:val="21"/>
                <w:vertAlign w:val="subscript"/>
              </w:rPr>
              <w:t>3</w:t>
            </w:r>
            <w:r>
              <w:rPr>
                <w:rFonts w:hint="eastAsia" w:ascii="Times New Roman" w:hAnsi="Times New Roman"/>
                <w:color w:val="auto"/>
                <w:szCs w:val="21"/>
                <w:vertAlign w:val="baseline"/>
                <w:lang w:eastAsia="zh-CN"/>
              </w:rPr>
              <w:t>（</w:t>
            </w:r>
            <w:r>
              <w:rPr>
                <w:rFonts w:hint="default" w:ascii="Times New Roman" w:hAnsi="Times New Roman"/>
                <w:color w:val="auto"/>
                <w:szCs w:val="21"/>
              </w:rPr>
              <w:t>后装</w:t>
            </w:r>
            <w:r>
              <w:rPr>
                <w:rFonts w:hint="eastAsia" w:ascii="Times New Roman" w:hAnsi="Times New Roman"/>
                <w:color w:val="auto"/>
                <w:szCs w:val="21"/>
                <w:lang w:val="en-US" w:eastAsia="zh-CN"/>
              </w:rPr>
              <w:t>治疗室</w:t>
            </w:r>
            <w:r>
              <w:rPr>
                <w:rFonts w:hint="eastAsia" w:ascii="Times New Roman" w:hAnsi="Times New Roman"/>
                <w:color w:val="auto"/>
                <w:szCs w:val="21"/>
                <w:vertAlign w:val="baseline"/>
                <w:lang w:eastAsia="zh-CN"/>
              </w:rPr>
              <w:t>）</w:t>
            </w:r>
          </w:p>
        </w:tc>
        <w:tc>
          <w:tcPr>
            <w:tcW w:w="1196" w:type="dxa"/>
            <w:vAlign w:val="center"/>
          </w:tcPr>
          <w:p>
            <w:pPr>
              <w:keepNext w:val="0"/>
              <w:keepLines w:val="0"/>
              <w:suppressLineNumbers w:val="0"/>
              <w:spacing w:before="0" w:beforeAutospacing="0" w:after="0" w:afterAutospacing="0" w:line="264" w:lineRule="auto"/>
              <w:ind w:left="0" w:right="0"/>
              <w:jc w:val="center"/>
              <w:rPr>
                <w:rFonts w:hint="default" w:ascii="Times New Roman" w:hAnsi="Times New Roman"/>
                <w:color w:val="auto"/>
                <w:szCs w:val="21"/>
              </w:rPr>
            </w:pPr>
            <w:r>
              <w:rPr>
                <w:rFonts w:hint="eastAsia" w:ascii="Times New Roman" w:hAnsi="Times New Roman"/>
                <w:color w:val="auto"/>
                <w:szCs w:val="21"/>
                <w:lang w:val="en-US" w:eastAsia="zh-CN"/>
              </w:rPr>
              <w:t>气体</w:t>
            </w:r>
          </w:p>
        </w:tc>
        <w:tc>
          <w:tcPr>
            <w:tcW w:w="1494" w:type="dxa"/>
            <w:vAlign w:val="center"/>
          </w:tcPr>
          <w:p>
            <w:pPr>
              <w:keepNext w:val="0"/>
              <w:keepLines w:val="0"/>
              <w:suppressLineNumbers w:val="0"/>
              <w:spacing w:before="0" w:beforeAutospacing="0" w:after="0" w:afterAutospacing="0" w:line="264" w:lineRule="auto"/>
              <w:ind w:left="0" w:right="0"/>
              <w:jc w:val="center"/>
              <w:rPr>
                <w:rFonts w:hint="eastAsia" w:ascii="Times New Roman" w:hAnsi="Times New Roman"/>
                <w:color w:val="auto"/>
                <w:szCs w:val="21"/>
                <w:lang w:eastAsia="zh-CN"/>
              </w:rPr>
            </w:pPr>
            <w:r>
              <w:rPr>
                <w:rFonts w:hint="eastAsia" w:ascii="Times New Roman" w:hAnsi="Times New Roman"/>
                <w:color w:val="auto"/>
                <w:szCs w:val="21"/>
                <w:lang w:eastAsia="zh-CN"/>
              </w:rPr>
              <w:t>—</w:t>
            </w:r>
          </w:p>
        </w:tc>
        <w:tc>
          <w:tcPr>
            <w:tcW w:w="1317" w:type="dxa"/>
            <w:vAlign w:val="center"/>
          </w:tcPr>
          <w:p>
            <w:pPr>
              <w:keepNext w:val="0"/>
              <w:keepLines w:val="0"/>
              <w:suppressLineNumbers w:val="0"/>
              <w:spacing w:before="0" w:beforeAutospacing="0" w:after="0" w:afterAutospacing="0" w:line="264" w:lineRule="auto"/>
              <w:ind w:left="0" w:right="0"/>
              <w:jc w:val="center"/>
              <w:rPr>
                <w:rFonts w:hint="eastAsia" w:ascii="Times New Roman" w:hAnsi="Times New Roman"/>
                <w:color w:val="auto"/>
                <w:sz w:val="21"/>
                <w:szCs w:val="21"/>
                <w:highlight w:val="yellow"/>
              </w:rPr>
            </w:pPr>
            <w:r>
              <w:rPr>
                <w:rFonts w:hint="eastAsia" w:ascii="Times New Roman" w:hAnsi="Times New Roman" w:cs="Times New Roman"/>
                <w:color w:val="auto"/>
                <w:sz w:val="21"/>
                <w:szCs w:val="21"/>
                <w:lang w:val="en-US" w:eastAsia="zh-CN"/>
              </w:rPr>
              <w:t>9.65</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superscript"/>
                <w:lang w:val="en-US" w:eastAsia="zh-CN"/>
              </w:rPr>
              <w:t>6</w:t>
            </w:r>
          </w:p>
        </w:tc>
        <w:tc>
          <w:tcPr>
            <w:tcW w:w="1736" w:type="dxa"/>
            <w:vAlign w:val="center"/>
          </w:tcPr>
          <w:p>
            <w:pPr>
              <w:keepNext w:val="0"/>
              <w:keepLines w:val="0"/>
              <w:suppressLineNumbers w:val="0"/>
              <w:spacing w:before="0" w:beforeAutospacing="0" w:after="0" w:afterAutospacing="0" w:line="264" w:lineRule="auto"/>
              <w:ind w:left="0" w:leftChars="0" w:right="0" w:rightChars="0"/>
              <w:jc w:val="center"/>
              <w:rPr>
                <w:rFonts w:hint="default" w:ascii="Times New Roman" w:hAnsi="Times New Roman"/>
                <w:color w:val="auto"/>
                <w:szCs w:val="21"/>
              </w:rPr>
            </w:pPr>
            <w:r>
              <w:rPr>
                <w:rFonts w:hint="default" w:ascii="Times New Roman" w:hAnsi="Times New Roman"/>
                <w:color w:val="auto"/>
                <w:szCs w:val="21"/>
              </w:rPr>
              <w:t>经过专用通排风系统排放</w:t>
            </w:r>
          </w:p>
        </w:tc>
        <w:tc>
          <w:tcPr>
            <w:tcW w:w="1998" w:type="dxa"/>
            <w:vAlign w:val="center"/>
          </w:tcPr>
          <w:p>
            <w:pPr>
              <w:keepNext w:val="0"/>
              <w:keepLines w:val="0"/>
              <w:suppressLineNumbers w:val="0"/>
              <w:spacing w:before="0" w:beforeAutospacing="0" w:after="0" w:afterAutospacing="0" w:line="264" w:lineRule="auto"/>
              <w:ind w:left="0" w:leftChars="0" w:right="0" w:rightChars="0"/>
              <w:jc w:val="center"/>
              <w:rPr>
                <w:rFonts w:hint="default" w:ascii="Times New Roman" w:hAnsi="Times New Roman"/>
                <w:color w:val="auto"/>
                <w:szCs w:val="21"/>
              </w:rPr>
            </w:pPr>
            <w:r>
              <w:rPr>
                <w:rFonts w:hint="default" w:ascii="Times New Roman" w:hAnsi="Times New Roman"/>
                <w:color w:val="auto"/>
                <w:szCs w:val="21"/>
              </w:rPr>
              <w:t>环境大气</w:t>
            </w:r>
          </w:p>
        </w:tc>
      </w:tr>
    </w:tbl>
    <w:p>
      <w:pPr>
        <w:jc w:val="left"/>
        <w:rPr>
          <w:rFonts w:ascii="Times New Roman" w:hAnsi="Times New Roman"/>
          <w:color w:val="auto"/>
          <w:sz w:val="28"/>
          <w:szCs w:val="28"/>
        </w:rPr>
      </w:pPr>
      <w:r>
        <w:rPr>
          <w:rFonts w:hint="default" w:ascii="Times New Roman" w:hAnsi="Times New Roman" w:cs="Times New Roman"/>
          <w:color w:val="auto"/>
          <w:kern w:val="0"/>
          <w:sz w:val="18"/>
          <w:szCs w:val="18"/>
          <w:highlight w:val="none"/>
        </w:rPr>
        <w:t>注：1.常规废弃物排放浓度，对于液态单位为mg/L，固体为mg/kg，气态为mg/m</w:t>
      </w:r>
      <w:r>
        <w:rPr>
          <w:rFonts w:hint="default" w:ascii="Times New Roman" w:hAnsi="Times New Roman" w:cs="Times New Roman"/>
          <w:color w:val="auto"/>
          <w:kern w:val="0"/>
          <w:sz w:val="18"/>
          <w:szCs w:val="18"/>
          <w:highlight w:val="none"/>
          <w:vertAlign w:val="superscript"/>
        </w:rPr>
        <w:t>3</w:t>
      </w:r>
      <w:r>
        <w:rPr>
          <w:rFonts w:hint="default" w:ascii="Times New Roman" w:hAnsi="Times New Roman" w:cs="Times New Roman"/>
          <w:color w:val="auto"/>
          <w:kern w:val="0"/>
          <w:sz w:val="18"/>
          <w:szCs w:val="18"/>
          <w:highlight w:val="none"/>
        </w:rPr>
        <w:t>，年排放总量为kg。</w:t>
      </w: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jc w:val="left"/>
        <w:rPr>
          <w:rFonts w:ascii="Times New Roman" w:hAnsi="Times New Roman"/>
          <w:color w:val="auto"/>
          <w:sz w:val="28"/>
          <w:szCs w:val="28"/>
        </w:rPr>
      </w:pPr>
    </w:p>
    <w:p>
      <w:pPr>
        <w:rPr>
          <w:rFonts w:ascii="Times New Roman" w:hAnsi="Times New Roman"/>
          <w:color w:val="auto"/>
          <w:sz w:val="28"/>
          <w:szCs w:val="28"/>
        </w:rPr>
      </w:pPr>
      <w:r>
        <w:rPr>
          <w:rFonts w:ascii="Times New Roman" w:hAnsi="Times New Roman"/>
          <w:color w:val="auto"/>
          <w:sz w:val="28"/>
          <w:szCs w:val="28"/>
        </w:rPr>
        <w:br w:type="page"/>
      </w:r>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5" w:name="_Toc22593"/>
      <w:r>
        <w:rPr>
          <w:rFonts w:hint="default" w:ascii="Times New Roman" w:hAnsi="Times New Roman" w:eastAsia="宋体" w:cs="Times New Roman"/>
          <w:b/>
          <w:bCs w:val="0"/>
          <w:color w:val="auto"/>
          <w:kern w:val="0"/>
          <w:sz w:val="30"/>
          <w:szCs w:val="30"/>
        </w:rPr>
        <w:t>表6  评价依据</w:t>
      </w:r>
      <w:bookmarkEnd w:id="5"/>
    </w:p>
    <w:tbl>
      <w:tblPr>
        <w:tblStyle w:val="17"/>
        <w:tblW w:w="9180" w:type="dxa"/>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7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9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法规文件</w:t>
            </w:r>
          </w:p>
        </w:tc>
        <w:tc>
          <w:tcPr>
            <w:tcW w:w="7690" w:type="dxa"/>
          </w:tcPr>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（1）《中华人民共和国环境保护法》，2015年1月1日实施；</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（2）《中华人民共和国环境影响评价法》，</w:t>
            </w:r>
            <w:r>
              <w:rPr>
                <w:rFonts w:hint="default" w:ascii="Times New Roman" w:hAnsi="Times New Roman" w:eastAsia="宋体" w:cs="Times New Roman"/>
                <w:i w:val="0"/>
                <w:caps w:val="0"/>
                <w:color w:val="auto"/>
                <w:spacing w:val="0"/>
                <w:sz w:val="24"/>
                <w:szCs w:val="24"/>
                <w:shd w:val="clear" w:fill="FFFFFF"/>
              </w:rPr>
              <w:t>2018年12月29日</w:t>
            </w:r>
            <w:r>
              <w:rPr>
                <w:rFonts w:hint="default" w:ascii="Times New Roman" w:hAnsi="Times New Roman" w:cs="Times New Roman"/>
                <w:color w:val="auto"/>
                <w:sz w:val="24"/>
                <w:highlight w:val="none"/>
                <w:lang w:val="en-US" w:eastAsia="zh-CN"/>
              </w:rPr>
              <w:t>第二次</w:t>
            </w:r>
            <w:r>
              <w:rPr>
                <w:rFonts w:hint="default" w:ascii="Times New Roman" w:hAnsi="Times New Roman" w:cs="Times New Roman"/>
                <w:color w:val="auto"/>
                <w:sz w:val="24"/>
                <w:lang w:val="en-US" w:eastAsia="zh-CN"/>
              </w:rPr>
              <w:t>修订</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（3）《中华人民共和国放射性污染防治法》，2003年10月1日实施；</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（4）《建设项目环境保护管理条例》，国务院令第682号，2017年10月1日实施；</w:t>
            </w:r>
          </w:p>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（5）</w:t>
            </w:r>
            <w:r>
              <w:rPr>
                <w:rFonts w:hint="default" w:ascii="Times New Roman" w:hAnsi="Times New Roman" w:eastAsia="宋体" w:cs="Times New Roman"/>
                <w:color w:val="auto"/>
                <w:sz w:val="24"/>
                <w:szCs w:val="24"/>
                <w:highlight w:val="none"/>
              </w:rPr>
              <w:t>《建设项目环境影响评价分类管理名录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2021年版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》（生态环境部 第16号</w:t>
            </w:r>
            <w:r>
              <w:rPr>
                <w:rFonts w:hint="eastAsia" w:ascii="Times New Roman" w:hAnsi="Times New Roman" w:cs="Times New Roman"/>
                <w:color w:val="auto"/>
                <w:sz w:val="24"/>
                <w:szCs w:val="24"/>
                <w:highlight w:val="none"/>
                <w:lang w:val="en-US" w:eastAsia="zh-CN"/>
              </w:rPr>
              <w:t>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2021年1月1日起施行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（6）《放射性同位素与射线装置安全和防护条例》，国务院第449号令，根据2019年3月2日《国务院关于修改部分行政法规的决定》第二次修订；</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（7）《四川省辐射污染防治条例》，四川省第十二届人民代表大会常务委员会公告第63号，2016年6月1日实施；</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（8）</w:t>
            </w:r>
            <w:r>
              <w:rPr>
                <w:rFonts w:hint="default" w:ascii="Times New Roman" w:hAnsi="Times New Roman" w:cs="Times New Roman"/>
                <w:color w:val="auto"/>
                <w:sz w:val="24"/>
                <w:highlight w:val="none"/>
              </w:rPr>
              <w:t>《放射性同位素与射线装置安全许可管理办法》（中华人民共和国环境保护部令第</w:t>
            </w:r>
            <w:r>
              <w:rPr>
                <w:rFonts w:hint="default" w:ascii="Times New Roman" w:hAnsi="Times New Roman" w:cs="Times New Roman"/>
                <w:color w:val="auto"/>
                <w:sz w:val="24"/>
                <w:highlight w:val="none"/>
                <w:lang w:val="en-US" w:eastAsia="zh-CN"/>
              </w:rPr>
              <w:t>31</w:t>
            </w:r>
            <w:r>
              <w:rPr>
                <w:rFonts w:hint="default" w:ascii="Times New Roman" w:hAnsi="Times New Roman" w:cs="Times New Roman"/>
                <w:color w:val="auto"/>
                <w:sz w:val="24"/>
                <w:highlight w:val="none"/>
              </w:rPr>
              <w:t>号，20</w:t>
            </w:r>
            <w:r>
              <w:rPr>
                <w:rFonts w:hint="default" w:ascii="Times New Roman" w:hAnsi="Times New Roman" w:cs="Times New Roman"/>
                <w:color w:val="auto"/>
                <w:sz w:val="24"/>
                <w:highlight w:val="none"/>
                <w:lang w:val="en-US" w:eastAsia="zh-CN"/>
              </w:rPr>
              <w:t>21</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lang w:val="en-US" w:eastAsia="zh-CN"/>
              </w:rPr>
              <w:t>修订</w:t>
            </w:r>
            <w:r>
              <w:rPr>
                <w:rFonts w:hint="default"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（9）《放射性同位素与射线装置安全和防护管理办法》，</w:t>
            </w:r>
            <w:r>
              <w:rPr>
                <w:rFonts w:hint="default" w:ascii="Times New Roman" w:hAnsi="Times New Roman" w:cs="Times New Roman"/>
                <w:color w:val="auto"/>
                <w:sz w:val="24"/>
                <w:lang w:val="en-US" w:eastAsia="zh-CN"/>
              </w:rPr>
              <w:t>原</w:t>
            </w:r>
            <w:r>
              <w:rPr>
                <w:rFonts w:hint="default" w:ascii="Times New Roman" w:hAnsi="Times New Roman" w:cs="Times New Roman"/>
                <w:color w:val="auto"/>
                <w:sz w:val="24"/>
              </w:rPr>
              <w:t>环境保护部令第18号，2011年5月1日起实施；</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（10）《射线装置分类》（</w:t>
            </w:r>
            <w:r>
              <w:rPr>
                <w:rFonts w:hint="default" w:ascii="Times New Roman" w:hAnsi="Times New Roman" w:cs="Times New Roman"/>
                <w:bCs/>
                <w:color w:val="auto"/>
                <w:sz w:val="24"/>
              </w:rPr>
              <w:t>原环境保护部和国家卫生计生委联合发布公告2017年第66号</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（11）《关于建立放射性同位素与射线装置辐射事故分级处理和报告制度的通知》，环发[2006]145号，原国家环境保护总局、公安部、卫生部文件，2006年9月26日；</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（12）《关于进一步加强环境影响评价管理防范环境风险的通知》，环发[2012]77号，环境保护部文件，2012年7月3日；</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（13）《建设项目环境影响评价信息公开机制方案》，环发[2015]162号；</w:t>
            </w:r>
          </w:p>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（14）《放射源分类办法》（国家环境保护总局公告2005年第62号）</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）《关于贯彻落实2020年核技术利用辐射安全与防护培训和考核工作有关事项的通知》（川环办函[2019]）507号。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0" w:hRule="atLeast"/>
        </w:trPr>
        <w:tc>
          <w:tcPr>
            <w:tcW w:w="149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技术标准</w:t>
            </w:r>
          </w:p>
        </w:tc>
        <w:tc>
          <w:tcPr>
            <w:tcW w:w="7690" w:type="dxa"/>
          </w:tcPr>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《辐射环境保护管理导则 核技术利用建设项目 环境影响评价文件的内容与格式》（HJ10.1－2016)；</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《电离辐射防护与辐射源安全基本标准》（GB18871-2002）；</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《环境地表γ辐射剂量率测定规范》（GB/T14583-93）；</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《辐射环境监测技术规范》（HJ/T61-2001）；</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《放射治疗机房的辐射屏蔽规范 第1部分：一般原则》（GBZ/T201.1-2007）；</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《放射治疗机房的辐射屏蔽规范 第2部分：电子直线加速器放射治疗机房》（GBZ/T201.2-2011）；</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《放射治疗机房的辐射屏蔽规范 第3部分：γ射线源放射治疗机房》（GBZ/T201.3-2014）；</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《电子直线加速器放射治疗放射防护要求》（GBZ126-2011）；</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《后装γ源近距离治疗卫生防护标准》（GBZ121-2017）</w:t>
            </w:r>
            <w:r>
              <w:rPr>
                <w:rFonts w:hint="default" w:ascii="Times New Roman" w:hAnsi="Times New Roman" w:cs="Times New Roman"/>
                <w:color w:val="auto"/>
                <w:sz w:val="24"/>
                <w:szCs w:val="24"/>
                <w:lang w:eastAsia="zh-CN"/>
              </w:rPr>
              <w:t>；</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《职业性外照射个人监测规范》（GBZ128-201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w:t>
            </w:r>
          </w:p>
          <w:p>
            <w:pPr>
              <w:keepNext w:val="0"/>
              <w:keepLines w:val="0"/>
              <w:numPr>
                <w:ilvl w:val="0"/>
                <w:numId w:val="2"/>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《电子辐射工程技术规范》（GB50752-2012）</w:t>
            </w:r>
            <w:r>
              <w:rPr>
                <w:rFonts w:hint="default" w:ascii="Times New Roman" w:hAnsi="Times New Roman" w:cs="Times New Roman"/>
                <w:bCs/>
                <w:color w:val="auto"/>
                <w:sz w:val="24"/>
                <w:lang w:eastAsia="zh-CN"/>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）《一般工业固体废物贮存、处置场污染控制标准》（GB18599-2001）及2013 年修改单；《危险废物污染贮存控制标准》（GB18597-2001）及2013年修改单；</w:t>
            </w:r>
          </w:p>
          <w:p>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13</w:t>
            </w:r>
            <w:r>
              <w:rPr>
                <w:rFonts w:hint="default" w:ascii="Times New Roman" w:hAnsi="Times New Roman" w:cs="Times New Roman"/>
                <w:color w:val="auto"/>
                <w:sz w:val="24"/>
              </w:rPr>
              <w:t>）</w:t>
            </w:r>
            <w:r>
              <w:rPr>
                <w:rFonts w:hint="default" w:ascii="Times New Roman" w:hAnsi="Times New Roman" w:cs="Times New Roman"/>
                <w:bCs/>
                <w:color w:val="auto"/>
                <w:sz w:val="24"/>
              </w:rPr>
              <w:t>《医疗机构水污染物排放标准》（GB18466-2005）</w:t>
            </w:r>
            <w:r>
              <w:rPr>
                <w:rFonts w:hint="default" w:ascii="Times New Roman" w:hAnsi="Times New Roman" w:cs="Times New Roman"/>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其他</w:t>
            </w:r>
          </w:p>
        </w:tc>
        <w:tc>
          <w:tcPr>
            <w:tcW w:w="7690" w:type="dxa"/>
          </w:tcPr>
          <w:p>
            <w:pPr>
              <w:keepNext w:val="0"/>
              <w:keepLines w:val="0"/>
              <w:suppressLineNumbers w:val="0"/>
              <w:spacing w:before="0" w:beforeAutospacing="0" w:after="0" w:afterAutospacing="0" w:line="360" w:lineRule="auto"/>
              <w:ind w:left="0" w:right="0"/>
              <w:rPr>
                <w:rFonts w:hint="default" w:ascii="Times New Roman" w:hAnsi="Times New Roman" w:eastAsia="Times New Roman" w:cs="Times New Roman"/>
                <w:color w:val="auto"/>
                <w:sz w:val="24"/>
              </w:rPr>
            </w:pP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1</w:t>
            </w:r>
            <w:r>
              <w:rPr>
                <w:rFonts w:hint="default" w:ascii="Times New Roman" w:hAnsi="Times New Roman" w:cs="Times New Roman"/>
                <w:color w:val="auto"/>
                <w:sz w:val="24"/>
              </w:rPr>
              <w:t>）环评委托书；</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）《辐射安全与防护监督检查技术程序》（</w:t>
            </w:r>
            <w:r>
              <w:rPr>
                <w:rFonts w:hint="default" w:ascii="Times New Roman" w:hAnsi="Times New Roman" w:cs="Times New Roman"/>
                <w:color w:val="auto"/>
                <w:sz w:val="24"/>
                <w:lang w:val="en-US" w:eastAsia="zh-CN"/>
              </w:rPr>
              <w:t>原</w:t>
            </w:r>
            <w:r>
              <w:rPr>
                <w:rFonts w:hint="default" w:ascii="Times New Roman" w:hAnsi="Times New Roman" w:cs="Times New Roman"/>
                <w:color w:val="auto"/>
                <w:sz w:val="24"/>
              </w:rPr>
              <w:t>环保部，2012年3月）；</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pacing w:val="3"/>
                <w:kern w:val="0"/>
                <w:sz w:val="24"/>
              </w:rPr>
            </w:pPr>
            <w:r>
              <w:rPr>
                <w:rFonts w:hint="default" w:ascii="Times New Roman" w:hAnsi="Times New Roman" w:cs="Times New Roman"/>
                <w:color w:val="auto"/>
                <w:spacing w:val="3"/>
                <w:kern w:val="0"/>
                <w:sz w:val="24"/>
              </w:rPr>
              <w:t>（</w:t>
            </w:r>
            <w:r>
              <w:rPr>
                <w:rFonts w:hint="default" w:ascii="Times New Roman" w:hAnsi="Times New Roman" w:cs="Times New Roman"/>
                <w:color w:val="auto"/>
                <w:spacing w:val="3"/>
                <w:kern w:val="0"/>
                <w:sz w:val="24"/>
                <w:lang w:val="en-US" w:eastAsia="zh-CN"/>
              </w:rPr>
              <w:t>3</w:t>
            </w:r>
            <w:r>
              <w:rPr>
                <w:rFonts w:hint="default" w:ascii="Times New Roman" w:hAnsi="Times New Roman" w:cs="Times New Roman"/>
                <w:color w:val="auto"/>
                <w:spacing w:val="3"/>
                <w:kern w:val="0"/>
                <w:sz w:val="24"/>
              </w:rPr>
              <w:t>）《四川省核技术利用辐射安全监督检查大纲（2016）》（川环函[2016]1400号）</w:t>
            </w:r>
          </w:p>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lang w:eastAsia="zh-CN"/>
              </w:rPr>
            </w:pPr>
            <w:r>
              <w:rPr>
                <w:rFonts w:hint="eastAsia" w:ascii="Times New Roman" w:hAnsi="Times New Roman" w:cs="Times New Roman"/>
                <w:color w:val="auto"/>
                <w:spacing w:val="3"/>
                <w:kern w:val="0"/>
                <w:sz w:val="24"/>
                <w:lang w:eastAsia="zh-CN"/>
              </w:rPr>
              <w:t>（</w:t>
            </w:r>
            <w:r>
              <w:rPr>
                <w:rFonts w:hint="eastAsia" w:ascii="Times New Roman" w:hAnsi="Times New Roman" w:cs="Times New Roman"/>
                <w:color w:val="auto"/>
                <w:spacing w:val="3"/>
                <w:kern w:val="0"/>
                <w:sz w:val="24"/>
                <w:lang w:val="en-US" w:eastAsia="zh-CN"/>
              </w:rPr>
              <w:t>4</w:t>
            </w:r>
            <w:r>
              <w:rPr>
                <w:rFonts w:hint="eastAsia" w:ascii="Times New Roman" w:hAnsi="Times New Roman" w:cs="Times New Roman"/>
                <w:color w:val="auto"/>
                <w:spacing w:val="3"/>
                <w:kern w:val="0"/>
                <w:sz w:val="24"/>
                <w:lang w:eastAsia="zh-CN"/>
              </w:rPr>
              <w:t>）</w:t>
            </w:r>
            <w:r>
              <w:rPr>
                <w:rFonts w:hint="eastAsia" w:ascii="Times New Roman" w:hAnsi="Times New Roman" w:cs="Times New Roman"/>
                <w:color w:val="auto"/>
                <w:spacing w:val="3"/>
                <w:kern w:val="0"/>
                <w:sz w:val="24"/>
                <w:lang w:val="en-US" w:eastAsia="zh-CN"/>
              </w:rPr>
              <w:t>建设单位提供的其他相关资料文件</w:t>
            </w:r>
            <w:r>
              <w:rPr>
                <w:rFonts w:hint="eastAsia" w:ascii="Times New Roman" w:hAnsi="Times New Roman" w:cs="Times New Roman"/>
                <w:color w:val="auto"/>
                <w:spacing w:val="3"/>
                <w:kern w:val="0"/>
                <w:sz w:val="24"/>
                <w:lang w:eastAsia="zh-CN"/>
              </w:rPr>
              <w:t>。</w:t>
            </w:r>
          </w:p>
        </w:tc>
      </w:tr>
    </w:tbl>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6" w:name="_Toc17747"/>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r>
        <w:rPr>
          <w:rFonts w:hint="default" w:ascii="Times New Roman" w:hAnsi="Times New Roman" w:eastAsia="宋体" w:cs="Times New Roman"/>
          <w:b/>
          <w:bCs w:val="0"/>
          <w:color w:val="auto"/>
          <w:kern w:val="0"/>
          <w:sz w:val="30"/>
          <w:szCs w:val="30"/>
        </w:rPr>
        <w:t>表7  保护目标与评价标准</w:t>
      </w:r>
      <w:bookmarkEnd w:id="6"/>
    </w:p>
    <w:tbl>
      <w:tblPr>
        <w:tblStyle w:val="17"/>
        <w:tblW w:w="8920" w:type="dxa"/>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1" w:hRule="atLeast"/>
        </w:trPr>
        <w:tc>
          <w:tcPr>
            <w:tcW w:w="8920" w:type="dxa"/>
          </w:tcPr>
          <w:p>
            <w:pPr>
              <w:keepNext w:val="0"/>
              <w:keepLines w:val="0"/>
              <w:suppressLineNumbers w:val="0"/>
              <w:spacing w:before="0" w:beforeAutospacing="0" w:after="0" w:afterAutospacing="0"/>
              <w:ind w:left="0" w:right="0"/>
              <w:jc w:val="left"/>
              <w:rPr>
                <w:rFonts w:hint="default" w:ascii="Times New Roman" w:hAnsi="Times New Roman" w:eastAsia="黑体"/>
                <w:color w:val="auto"/>
                <w:sz w:val="28"/>
                <w:szCs w:val="28"/>
              </w:rPr>
            </w:pPr>
            <w:r>
              <w:rPr>
                <w:rFonts w:hint="default" w:ascii="Times New Roman" w:hAnsi="Times New Roman" w:eastAsia="黑体"/>
                <w:color w:val="auto"/>
                <w:sz w:val="28"/>
                <w:szCs w:val="28"/>
              </w:rPr>
              <w:t>评价范围</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olor w:val="auto"/>
                <w:sz w:val="24"/>
                <w:lang w:val="en-US" w:eastAsia="zh-CN"/>
              </w:rPr>
            </w:pPr>
            <w:r>
              <w:rPr>
                <w:rFonts w:hint="default" w:ascii="Times New Roman" w:hAnsi="Times New Roman"/>
                <w:color w:val="auto"/>
                <w:sz w:val="24"/>
              </w:rPr>
              <w:t>根据本项目放射源及医用射线装置的特点和应用内容，按照《辐射环境保护管理导则  核技术利用建设项目环境影响评价文件的内容和格式》（HJ10.1-20</w:t>
            </w:r>
            <w:r>
              <w:rPr>
                <w:rFonts w:hint="eastAsia" w:ascii="Times New Roman" w:hAnsi="Times New Roman"/>
                <w:color w:val="auto"/>
                <w:sz w:val="24"/>
                <w:lang w:val="en-US" w:eastAsia="zh-CN"/>
              </w:rPr>
              <w:t>1</w:t>
            </w:r>
            <w:r>
              <w:rPr>
                <w:rFonts w:hint="default" w:ascii="Times New Roman" w:hAnsi="Times New Roman"/>
                <w:color w:val="auto"/>
                <w:sz w:val="24"/>
              </w:rPr>
              <w:t>6）要求，确定辐射环境影响评价的范围：以</w:t>
            </w:r>
            <w:r>
              <w:rPr>
                <w:rFonts w:hint="eastAsia" w:ascii="Times New Roman" w:hAnsi="Times New Roman" w:cs="Times New Roman"/>
                <w:b w:val="0"/>
                <w:bCs w:val="0"/>
                <w:color w:val="auto"/>
                <w:sz w:val="24"/>
                <w:szCs w:val="24"/>
                <w:highlight w:val="none"/>
                <w:lang w:val="en-US" w:eastAsia="zh-CN"/>
              </w:rPr>
              <w:t>1#、2#、3#加速器治疗室、</w:t>
            </w:r>
            <w:r>
              <w:rPr>
                <w:rFonts w:hint="eastAsia" w:ascii="Times New Roman" w:hAnsi="Times New Roman"/>
                <w:color w:val="auto"/>
                <w:sz w:val="24"/>
                <w:lang w:val="en-US" w:eastAsia="zh-CN"/>
              </w:rPr>
              <w:t>后装机治疗室</w:t>
            </w:r>
            <w:r>
              <w:rPr>
                <w:rFonts w:hint="default" w:ascii="Times New Roman" w:hAnsi="Times New Roman"/>
                <w:color w:val="auto"/>
                <w:sz w:val="24"/>
              </w:rPr>
              <w:t>建筑实体</w:t>
            </w:r>
            <w:r>
              <w:rPr>
                <w:rFonts w:hint="eastAsia" w:ascii="Times New Roman" w:hAnsi="Times New Roman"/>
                <w:color w:val="auto"/>
                <w:sz w:val="24"/>
                <w:lang w:val="en-US" w:eastAsia="zh-CN"/>
              </w:rPr>
              <w:t>外</w:t>
            </w:r>
            <w:r>
              <w:rPr>
                <w:rFonts w:hint="default" w:ascii="Times New Roman" w:hAnsi="Times New Roman"/>
                <w:color w:val="auto"/>
                <w:sz w:val="24"/>
              </w:rPr>
              <w:t>边界50m区域作为评价范围。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8920" w:type="dxa"/>
          </w:tcPr>
          <w:p>
            <w:pPr>
              <w:keepNext w:val="0"/>
              <w:keepLines w:val="0"/>
              <w:suppressLineNumbers w:val="0"/>
              <w:spacing w:before="0" w:beforeAutospacing="0" w:after="0" w:afterAutospacing="0"/>
              <w:ind w:left="0" w:right="0"/>
              <w:jc w:val="left"/>
              <w:rPr>
                <w:rFonts w:hint="default" w:ascii="Times New Roman" w:hAnsi="Times New Roman" w:eastAsia="黑体"/>
                <w:color w:val="auto"/>
                <w:sz w:val="28"/>
                <w:szCs w:val="28"/>
              </w:rPr>
            </w:pPr>
            <w:r>
              <w:rPr>
                <w:rFonts w:hint="default" w:ascii="Times New Roman" w:hAnsi="Times New Roman" w:eastAsia="黑体"/>
                <w:color w:val="auto"/>
                <w:sz w:val="28"/>
                <w:szCs w:val="28"/>
              </w:rPr>
              <w:t>保护目标</w:t>
            </w:r>
          </w:p>
          <w:p>
            <w:pPr>
              <w:keepNext w:val="0"/>
              <w:keepLines w:val="0"/>
              <w:suppressLineNumbers w:val="0"/>
              <w:spacing w:before="0" w:beforeAutospacing="0" w:after="0" w:afterAutospacing="0" w:line="360" w:lineRule="auto"/>
              <w:ind w:left="0" w:right="0" w:firstLine="480"/>
              <w:jc w:val="left"/>
              <w:rPr>
                <w:rFonts w:hint="default"/>
                <w:color w:val="auto"/>
              </w:rPr>
            </w:pPr>
            <w:r>
              <w:rPr>
                <w:rFonts w:hint="default"/>
                <w:color w:val="auto"/>
                <w:sz w:val="24"/>
                <w:szCs w:val="24"/>
              </w:rPr>
              <w:t>根据本项目确定的评价范围，环境保护目标主要是医院辐射工作人员和周围公众，由于电离辐射水平随着距离的增加而衰减，因此选取离辐射工作场所较近、有代表性的环境保护目标进行分析，具体环境保护目标见表7-1。</w:t>
            </w:r>
          </w:p>
          <w:p>
            <w:pPr>
              <w:keepNext w:val="0"/>
              <w:keepLines w:val="0"/>
              <w:suppressLineNumbers w:val="0"/>
              <w:spacing w:before="0" w:beforeAutospacing="0" w:after="0" w:afterAutospacing="0" w:line="360" w:lineRule="auto"/>
              <w:ind w:left="0" w:right="0" w:firstLine="420" w:firstLineChars="200"/>
              <w:jc w:val="center"/>
              <w:rPr>
                <w:rFonts w:hint="default"/>
                <w:color w:val="auto"/>
              </w:rPr>
            </w:pPr>
            <w:r>
              <w:rPr>
                <w:rFonts w:hint="default" w:ascii="Times New Roman" w:hAnsi="Times New Roman" w:eastAsia="黑体" w:cs="Times New Roman"/>
                <w:color w:val="auto"/>
              </w:rPr>
              <w:t>表7-1  本项目环境保护目标一览表</w:t>
            </w:r>
          </w:p>
          <w:tbl>
            <w:tblPr>
              <w:tblStyle w:val="17"/>
              <w:tblW w:w="886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364"/>
              <w:gridCol w:w="331"/>
              <w:gridCol w:w="3087"/>
              <w:gridCol w:w="1182"/>
              <w:gridCol w:w="703"/>
              <w:gridCol w:w="1121"/>
              <w:gridCol w:w="1056"/>
              <w:gridCol w:w="10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581" w:hRule="atLeast"/>
                <w:jc w:val="center"/>
              </w:trPr>
              <w:tc>
                <w:tcPr>
                  <w:tcW w:w="364" w:type="dxa"/>
                  <w:vMerge w:val="restart"/>
                  <w:vAlign w:val="center"/>
                </w:tcPr>
                <w:p>
                  <w:pPr>
                    <w:bidi w:val="0"/>
                    <w:rPr>
                      <w:rFonts w:hint="default"/>
                      <w:color w:val="auto"/>
                    </w:rPr>
                  </w:pPr>
                  <w:r>
                    <w:rPr>
                      <w:rFonts w:hint="default" w:ascii="Times New Roman" w:hAnsi="Times New Roman" w:cs="Times New Roman"/>
                      <w:color w:val="auto"/>
                      <w:sz w:val="21"/>
                      <w:szCs w:val="21"/>
                    </w:rPr>
                    <w:t>辐射环境</w:t>
                  </w:r>
                </w:p>
              </w:tc>
              <w:tc>
                <w:tcPr>
                  <w:tcW w:w="3418" w:type="dxa"/>
                  <w:gridSpan w:val="2"/>
                  <w:tcBorders>
                    <w:bottom w:val="single" w:color="000000"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1182" w:type="dxa"/>
                  <w:tcBorders>
                    <w:bottom w:val="single" w:color="000000"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与辐射</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源距离(m)</w:t>
                  </w:r>
                </w:p>
              </w:tc>
              <w:tc>
                <w:tcPr>
                  <w:tcW w:w="703" w:type="dxa"/>
                  <w:tcBorders>
                    <w:bottom w:val="single" w:color="000000"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保护对象</w:t>
                  </w:r>
                </w:p>
              </w:tc>
              <w:tc>
                <w:tcPr>
                  <w:tcW w:w="1121" w:type="dxa"/>
                  <w:tcBorders>
                    <w:bottom w:val="single" w:color="000000" w:sz="12" w:space="0"/>
                  </w:tcBorders>
                  <w:vAlign w:val="center"/>
                </w:tcPr>
                <w:p>
                  <w:pPr>
                    <w:pStyle w:val="7"/>
                    <w:keepNext w:val="0"/>
                    <w:keepLines w:val="0"/>
                    <w:suppressLineNumbers w:val="0"/>
                    <w:spacing w:before="0" w:beforeAutospacing="0" w:after="0" w:afterAutospacing="0"/>
                    <w:ind w:left="0" w:right="0" w:firstLine="210" w:firstLineChars="10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人流量</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（人</w:t>
                  </w:r>
                  <w:r>
                    <w:rPr>
                      <w:rFonts w:hint="eastAsia" w:ascii="Times New Roman" w:hAnsi="Times New Roman" w:cs="Times New Roman"/>
                      <w:color w:val="auto"/>
                      <w:sz w:val="21"/>
                      <w:szCs w:val="21"/>
                      <w:lang w:val="en-US" w:eastAsia="zh-CN"/>
                    </w:rPr>
                    <w:t>次</w:t>
                  </w:r>
                  <w:r>
                    <w:rPr>
                      <w:rFonts w:hint="default" w:ascii="Times New Roman" w:hAnsi="Times New Roman" w:cs="Times New Roman"/>
                      <w:color w:val="auto"/>
                      <w:sz w:val="21"/>
                      <w:szCs w:val="21"/>
                      <w:lang w:val="en-US" w:eastAsia="zh-CN"/>
                    </w:rPr>
                    <w:t>/d）</w:t>
                  </w:r>
                </w:p>
              </w:tc>
              <w:tc>
                <w:tcPr>
                  <w:tcW w:w="1056" w:type="dxa"/>
                  <w:tcBorders>
                    <w:bottom w:val="single" w:color="000000"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照射类型</w:t>
                  </w:r>
                </w:p>
              </w:tc>
              <w:tc>
                <w:tcPr>
                  <w:tcW w:w="1016" w:type="dxa"/>
                  <w:tcBorders>
                    <w:bottom w:val="single" w:color="000000"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剂量约束值（mSv）</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34"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restart"/>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放疗</w:t>
                  </w:r>
                  <w:r>
                    <w:rPr>
                      <w:rFonts w:hint="default" w:ascii="Times New Roman" w:hAnsi="Times New Roman" w:cs="Times New Roman"/>
                      <w:color w:val="auto"/>
                      <w:sz w:val="21"/>
                      <w:szCs w:val="21"/>
                      <w:lang w:val="en-US" w:eastAsia="zh-CN"/>
                    </w:rPr>
                    <w:t>中心</w:t>
                  </w:r>
                </w:p>
              </w:tc>
              <w:tc>
                <w:tcPr>
                  <w:tcW w:w="3087" w:type="dxa"/>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lang w:val="en-US" w:eastAsia="zh-CN"/>
                    </w:rPr>
                    <w:t>控制室</w:t>
                  </w:r>
                  <w:r>
                    <w:rPr>
                      <w:rFonts w:hint="eastAsia" w:ascii="Times New Roman" w:hAnsi="Times New Roman"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控制室</w:t>
                  </w:r>
                  <w:r>
                    <w:rPr>
                      <w:rFonts w:hint="eastAsia" w:ascii="Times New Roman" w:hAnsi="Times New Roman"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lang w:val="en-US" w:eastAsia="zh-CN"/>
                    </w:rPr>
                    <w:t>控制室（</w:t>
                  </w:r>
                  <w:r>
                    <w:rPr>
                      <w:rFonts w:hint="eastAsia" w:ascii="Times New Roman" w:hAnsi="Times New Roman" w:cs="Times New Roman"/>
                      <w:b w:val="0"/>
                      <w:bCs w:val="0"/>
                      <w:color w:val="auto"/>
                      <w:sz w:val="21"/>
                      <w:szCs w:val="21"/>
                      <w:highlight w:val="none"/>
                      <w:lang w:val="en-US" w:eastAsia="zh-CN"/>
                    </w:rPr>
                    <w:t>1#、2#、3#加速器治疗室东南部）</w:t>
                  </w:r>
                </w:p>
              </w:tc>
              <w:tc>
                <w:tcPr>
                  <w:tcW w:w="1182" w:type="dxa"/>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r>
                    <w:rPr>
                      <w:rFonts w:hint="eastAsia" w:ascii="Times New Roman" w:hAnsi="Times New Roman" w:cs="Times New Roman"/>
                      <w:color w:val="auto"/>
                      <w:sz w:val="21"/>
                      <w:szCs w:val="21"/>
                      <w:lang w:val="en-US" w:eastAsia="zh-CN"/>
                    </w:rPr>
                    <w:t>4</w:t>
                  </w:r>
                </w:p>
              </w:tc>
              <w:tc>
                <w:tcPr>
                  <w:tcW w:w="703" w:type="dxa"/>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职业人员</w:t>
                  </w:r>
                </w:p>
              </w:tc>
              <w:tc>
                <w:tcPr>
                  <w:tcW w:w="1121" w:type="dxa"/>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056" w:type="dxa"/>
                  <w:tcBorders>
                    <w:top w:val="single" w:color="000000" w:sz="12"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职业照射</w:t>
                  </w:r>
                </w:p>
              </w:tc>
              <w:tc>
                <w:tcPr>
                  <w:tcW w:w="1016" w:type="dxa"/>
                  <w:tcBorders>
                    <w:top w:val="single" w:color="000000" w:sz="12" w:space="0"/>
                    <w:left w:val="single" w:color="000000" w:sz="4" w:space="0"/>
                    <w:bottom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78"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1#、2#患者准备区</w:t>
                  </w: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女更衣室</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lang w:val="en-US" w:eastAsia="zh-CN"/>
                    </w:rPr>
                    <w:t>东</w:t>
                  </w:r>
                  <w:r>
                    <w:rPr>
                      <w:rFonts w:hint="eastAsia" w:ascii="Times New Roman" w:hAnsi="Times New Roman" w:cs="Times New Roman"/>
                      <w:b w:val="0"/>
                      <w:bCs w:val="0"/>
                      <w:color w:val="auto"/>
                      <w:sz w:val="21"/>
                      <w:szCs w:val="21"/>
                      <w:highlight w:val="none"/>
                      <w:lang w:val="en-US" w:eastAsia="zh-CN"/>
                    </w:rPr>
                    <w:t>南部</w:t>
                  </w:r>
                  <w:r>
                    <w:rPr>
                      <w:rFonts w:hint="default" w:ascii="Times New Roman" w:hAnsi="Times New Roman" w:cs="Times New Roman"/>
                      <w:b w:val="0"/>
                      <w:bCs w:val="0"/>
                      <w:color w:val="auto"/>
                      <w:sz w:val="21"/>
                      <w:szCs w:val="21"/>
                      <w:highlight w:val="none"/>
                      <w:lang w:val="en-US" w:eastAsia="zh-CN"/>
                    </w:rPr>
                    <w:t>）</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r>
                    <w:rPr>
                      <w:rFonts w:hint="eastAsia" w:ascii="Times New Roman" w:hAnsi="Times New Roman" w:cs="Times New Roman"/>
                      <w:color w:val="auto"/>
                      <w:sz w:val="21"/>
                      <w:szCs w:val="21"/>
                      <w:lang w:val="en-US" w:eastAsia="zh-CN"/>
                    </w:rPr>
                    <w:t>4~10.5</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4</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78"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辅助水冷机房、空调机房</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（1#西北部）</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5.4~6.7</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78"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2#、3#共用辅助水冷机房</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（2#西北部）</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78"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1#、2#患者准备区</w:t>
                  </w: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2#南部</w:t>
                  </w:r>
                  <w:r>
                    <w:rPr>
                      <w:rFonts w:hint="default" w:ascii="Times New Roman" w:hAnsi="Times New Roman" w:cs="Times New Roman"/>
                      <w:b w:val="0"/>
                      <w:bCs w:val="0"/>
                      <w:color w:val="auto"/>
                      <w:sz w:val="21"/>
                      <w:szCs w:val="21"/>
                      <w:highlight w:val="none"/>
                      <w:lang w:val="en-US" w:eastAsia="zh-CN"/>
                    </w:rPr>
                    <w:t>）</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10.3</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78"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注射抢救室（2#、3#西南部）</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9.8</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78"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补风机房1、补风机房2</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（3#西北部）</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5.4~5.6</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78"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3#患者准备区</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（3#西南部）</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10.1</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78"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后装机</w:t>
                  </w:r>
                  <w:r>
                    <w:rPr>
                      <w:rFonts w:hint="default" w:ascii="Times New Roman" w:hAnsi="Times New Roman" w:cs="Times New Roman"/>
                      <w:color w:val="auto"/>
                      <w:sz w:val="21"/>
                      <w:szCs w:val="21"/>
                    </w:rPr>
                    <w:t>控制室</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医护缓冲室、</w:t>
                  </w:r>
                </w:p>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CT模拟定位室</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后装治疗室东</w:t>
                  </w:r>
                  <w:r>
                    <w:rPr>
                      <w:rFonts w:hint="default" w:ascii="Times New Roman" w:hAnsi="Times New Roman" w:cs="Times New Roman"/>
                      <w:b w:val="0"/>
                      <w:bCs w:val="0"/>
                      <w:color w:val="auto"/>
                      <w:sz w:val="21"/>
                      <w:szCs w:val="21"/>
                      <w:highlight w:val="none"/>
                      <w:lang w:val="en-US" w:eastAsia="zh-CN"/>
                    </w:rPr>
                    <w:t>北</w:t>
                  </w:r>
                  <w:r>
                    <w:rPr>
                      <w:rFonts w:hint="eastAsia" w:ascii="Times New Roman" w:hAnsi="Times New Roman" w:cs="Times New Roman"/>
                      <w:b w:val="0"/>
                      <w:bCs w:val="0"/>
                      <w:color w:val="auto"/>
                      <w:sz w:val="21"/>
                      <w:szCs w:val="21"/>
                      <w:highlight w:val="none"/>
                      <w:lang w:val="en-US" w:eastAsia="zh-CN"/>
                    </w:rPr>
                    <w:t>部</w:t>
                  </w:r>
                  <w:r>
                    <w:rPr>
                      <w:rFonts w:hint="default" w:ascii="Times New Roman" w:hAnsi="Times New Roman" w:cs="Times New Roman"/>
                      <w:b w:val="0"/>
                      <w:bCs w:val="0"/>
                      <w:color w:val="auto"/>
                      <w:sz w:val="21"/>
                      <w:szCs w:val="21"/>
                      <w:highlight w:val="none"/>
                      <w:lang w:val="en-US" w:eastAsia="zh-CN"/>
                    </w:rPr>
                    <w:t>）</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1.6~13.3</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职业人员</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职业照射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30"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后装患者准备区、妇科患者冲洗室、资料室</w:t>
                  </w: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后装治疗室东</w:t>
                  </w:r>
                  <w:r>
                    <w:rPr>
                      <w:rFonts w:hint="default" w:ascii="Times New Roman" w:hAnsi="Times New Roman" w:cs="Times New Roman"/>
                      <w:b w:val="0"/>
                      <w:bCs w:val="0"/>
                      <w:color w:val="auto"/>
                      <w:sz w:val="21"/>
                      <w:szCs w:val="21"/>
                      <w:highlight w:val="none"/>
                      <w:lang w:val="en-US" w:eastAsia="zh-CN"/>
                    </w:rPr>
                    <w:t>北</w:t>
                  </w:r>
                  <w:r>
                    <w:rPr>
                      <w:rFonts w:hint="eastAsia" w:ascii="Times New Roman" w:hAnsi="Times New Roman" w:cs="Times New Roman"/>
                      <w:b w:val="0"/>
                      <w:bCs w:val="0"/>
                      <w:color w:val="auto"/>
                      <w:sz w:val="21"/>
                      <w:szCs w:val="21"/>
                      <w:highlight w:val="none"/>
                      <w:lang w:val="en-US" w:eastAsia="zh-CN"/>
                    </w:rPr>
                    <w:t>部</w:t>
                  </w:r>
                  <w:r>
                    <w:rPr>
                      <w:rFonts w:hint="default" w:ascii="Times New Roman" w:hAnsi="Times New Roman" w:cs="Times New Roman"/>
                      <w:b w:val="0"/>
                      <w:bCs w:val="0"/>
                      <w:color w:val="auto"/>
                      <w:sz w:val="21"/>
                      <w:szCs w:val="21"/>
                      <w:highlight w:val="none"/>
                      <w:lang w:val="en-US" w:eastAsia="zh-CN"/>
                    </w:rPr>
                    <w:t>）</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4.3~8.7</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5</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负二层停车场</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（后装治疗室正上方）</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约200</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167"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负一层员工餐厅</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（拟建1#、2#、3#加速器治疗室正上方）</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约100</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22"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rPr>
                  </w:pPr>
                  <w:r>
                    <w:rPr>
                      <w:rFonts w:hint="eastAsia" w:ascii="Times New Roman" w:hAnsi="Times New Roman" w:cs="Times New Roman"/>
                      <w:b w:val="0"/>
                      <w:bCs w:val="0"/>
                      <w:color w:val="auto"/>
                      <w:sz w:val="21"/>
                      <w:szCs w:val="21"/>
                      <w:highlight w:val="none"/>
                      <w:lang w:val="en-US" w:eastAsia="zh-CN"/>
                    </w:rPr>
                    <w:t>其它医疗相关用房（楼上1-8F）</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27.0</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约200</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190"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放疗中心其他区域</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约</w:t>
                  </w:r>
                  <w:r>
                    <w:rPr>
                      <w:rFonts w:hint="eastAsia" w:ascii="Times New Roman" w:hAnsi="Times New Roman" w:cs="Times New Roman"/>
                      <w:color w:val="auto"/>
                      <w:sz w:val="21"/>
                      <w:szCs w:val="21"/>
                      <w:lang w:val="en-US" w:eastAsia="zh-CN"/>
                    </w:rPr>
                    <w:t>30</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36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lang w:val="en-US" w:eastAsia="zh-CN"/>
                    </w:rPr>
                    <w:t>3号楼、</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号楼、9号楼、10号楼等</w:t>
                  </w:r>
                  <w:r>
                    <w:rPr>
                      <w:rFonts w:hint="default" w:ascii="Times New Roman" w:hAnsi="Times New Roman" w:cs="Times New Roman"/>
                      <w:color w:val="auto"/>
                      <w:sz w:val="21"/>
                      <w:szCs w:val="21"/>
                      <w:lang w:val="en-US" w:eastAsia="zh-CN"/>
                    </w:rPr>
                    <w:t>医院内其他区域</w:t>
                  </w:r>
                </w:p>
              </w:tc>
              <w:tc>
                <w:tcPr>
                  <w:tcW w:w="11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50</w:t>
                  </w:r>
                  <w:r>
                    <w:rPr>
                      <w:rFonts w:hint="eastAsia" w:ascii="Times New Roman" w:hAnsi="Times New Roman" w:cs="Times New Roman"/>
                      <w:color w:val="auto"/>
                      <w:sz w:val="21"/>
                      <w:szCs w:val="21"/>
                      <w:lang w:val="en-US" w:eastAsia="zh-CN"/>
                    </w:rPr>
                    <w:t>.0</w:t>
                  </w:r>
                </w:p>
              </w:tc>
              <w:tc>
                <w:tcPr>
                  <w:tcW w:w="70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w:t>
                  </w:r>
                </w:p>
              </w:tc>
              <w:tc>
                <w:tcPr>
                  <w:tcW w:w="112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约200</w:t>
                  </w:r>
                </w:p>
              </w:tc>
              <w:tc>
                <w:tcPr>
                  <w:tcW w:w="10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26" w:hRule="atLeast"/>
                <w:jc w:val="center"/>
              </w:trPr>
              <w:tc>
                <w:tcPr>
                  <w:tcW w:w="364" w:type="dxa"/>
                  <w:vMerge w:val="continue"/>
                  <w:tcBorders>
                    <w:bottom w:val="single" w:color="000000"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31" w:type="dxa"/>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3087" w:type="dxa"/>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院外通道</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eastAsia" w:ascii="Times New Roman" w:hAnsi="Times New Roman" w:cs="Times New Roman"/>
                      <w:color w:val="auto"/>
                      <w:sz w:val="21"/>
                      <w:szCs w:val="21"/>
                      <w:lang w:val="en-US" w:eastAsia="zh-CN"/>
                    </w:rPr>
                    <w:t>加速器治疗室、</w:t>
                  </w:r>
                  <w:r>
                    <w:rPr>
                      <w:rFonts w:hint="eastAsia" w:ascii="Times New Roman" w:hAnsi="Times New Roman" w:cs="Times New Roman"/>
                      <w:b w:val="0"/>
                      <w:bCs w:val="0"/>
                      <w:color w:val="auto"/>
                      <w:sz w:val="21"/>
                      <w:szCs w:val="21"/>
                      <w:highlight w:val="none"/>
                      <w:lang w:val="en-US" w:eastAsia="zh-CN"/>
                    </w:rPr>
                    <w:t>后装治疗室南侧</w:t>
                  </w:r>
                  <w:r>
                    <w:rPr>
                      <w:rFonts w:hint="eastAsia" w:ascii="Times New Roman" w:hAnsi="Times New Roman" w:cs="Times New Roman"/>
                      <w:color w:val="auto"/>
                      <w:lang w:val="en-US" w:eastAsia="zh-CN"/>
                    </w:rPr>
                    <w:t>）</w:t>
                  </w:r>
                </w:p>
              </w:tc>
              <w:tc>
                <w:tcPr>
                  <w:tcW w:w="1182" w:type="dxa"/>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w:t>
                  </w:r>
                  <w:r>
                    <w:rPr>
                      <w:rFonts w:hint="eastAsia" w:ascii="Times New Roman" w:hAnsi="Times New Roman" w:cs="Times New Roman"/>
                      <w:color w:val="auto"/>
                      <w:sz w:val="21"/>
                      <w:szCs w:val="21"/>
                      <w:lang w:val="en-US" w:eastAsia="zh-CN"/>
                    </w:rPr>
                    <w:t>.0</w:t>
                  </w:r>
                </w:p>
              </w:tc>
              <w:tc>
                <w:tcPr>
                  <w:tcW w:w="703" w:type="dxa"/>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w:t>
                  </w:r>
                </w:p>
              </w:tc>
              <w:tc>
                <w:tcPr>
                  <w:tcW w:w="1121" w:type="dxa"/>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约</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00</w:t>
                  </w:r>
                </w:p>
              </w:tc>
              <w:tc>
                <w:tcPr>
                  <w:tcW w:w="1056" w:type="dxa"/>
                  <w:tcBorders>
                    <w:top w:val="single" w:color="000000" w:sz="4" w:space="0"/>
                    <w:left w:val="single" w:color="000000" w:sz="4" w:space="0"/>
                    <w:bottom w:val="single" w:color="000000" w:sz="12" w:space="0"/>
                    <w:right w:val="single" w:color="000000"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公众照射</w:t>
                  </w:r>
                </w:p>
              </w:tc>
              <w:tc>
                <w:tcPr>
                  <w:tcW w:w="1016" w:type="dxa"/>
                  <w:tcBorders>
                    <w:top w:val="single" w:color="000000" w:sz="4" w:space="0"/>
                    <w:left w:val="single" w:color="000000" w:sz="4" w:space="0"/>
                    <w:bottom w:val="single" w:color="000000" w:sz="12"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w:t>
                  </w:r>
                </w:p>
              </w:tc>
            </w:tr>
          </w:tbl>
          <w:p>
            <w:pPr>
              <w:pStyle w:val="2"/>
              <w:keepNext w:val="0"/>
              <w:keepLines w:val="0"/>
              <w:suppressLineNumbers w:val="0"/>
              <w:spacing w:before="0" w:beforeAutospacing="0" w:after="0" w:afterAutospacing="0"/>
              <w:ind w:left="0" w:right="0"/>
              <w:rPr>
                <w:rFonts w:hint="default" w:ascii="Times New Roman" w:hAnsi="Times New Roman" w:eastAsia="黑体"/>
                <w:color w:val="auto"/>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920" w:type="dxa"/>
            <w:tcBorders>
              <w:bottom w:val="single" w:color="000000" w:sz="4" w:space="0"/>
            </w:tcBorders>
          </w:tcPr>
          <w:p>
            <w:pPr>
              <w:keepNext w:val="0"/>
              <w:keepLines w:val="0"/>
              <w:suppressLineNumbers w:val="0"/>
              <w:spacing w:before="0" w:beforeAutospacing="0" w:after="0" w:afterAutospacing="0"/>
              <w:ind w:left="0" w:right="0"/>
              <w:jc w:val="left"/>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评价标准</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lang w:eastAsia="zh-CN"/>
              </w:rPr>
            </w:pPr>
            <w:r>
              <w:rPr>
                <w:rFonts w:hint="default" w:ascii="Times New Roman" w:hAnsi="Times New Roman" w:cs="Times New Roman"/>
                <w:b/>
                <w:bCs/>
                <w:color w:val="auto"/>
                <w:sz w:val="28"/>
                <w:szCs w:val="28"/>
                <w:lang w:eastAsia="zh-CN"/>
              </w:rPr>
              <w:t>一、</w:t>
            </w:r>
            <w:r>
              <w:rPr>
                <w:rFonts w:hint="default" w:ascii="Times New Roman" w:hAnsi="Times New Roman" w:cs="Times New Roman"/>
                <w:b/>
                <w:bCs/>
                <w:color w:val="auto"/>
                <w:sz w:val="28"/>
                <w:szCs w:val="28"/>
                <w:lang w:val="en-US" w:eastAsia="zh-CN"/>
              </w:rPr>
              <w:t>环境质量及污染物排放</w:t>
            </w:r>
            <w:r>
              <w:rPr>
                <w:rFonts w:hint="default" w:ascii="Times New Roman" w:hAnsi="Times New Roman" w:cs="Times New Roman"/>
                <w:b/>
                <w:bCs/>
                <w:color w:val="auto"/>
                <w:sz w:val="28"/>
                <w:szCs w:val="28"/>
                <w:lang w:eastAsia="zh-CN"/>
              </w:rPr>
              <w:t>的执行标准</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sz w:val="24"/>
                <w:lang w:val="en-US" w:eastAsia="zh-CN"/>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val="0"/>
                <w:color w:val="auto"/>
                <w:sz w:val="24"/>
                <w:lang w:val="en-US" w:eastAsia="zh-CN"/>
              </w:rPr>
              <w:t>环境质量</w:t>
            </w:r>
            <w:r>
              <w:rPr>
                <w:rFonts w:hint="eastAsia" w:ascii="Times New Roman" w:hAnsi="Times New Roman" w:cs="Times New Roman"/>
                <w:b/>
                <w:bCs w:val="0"/>
                <w:color w:val="auto"/>
                <w:sz w:val="24"/>
                <w:lang w:val="en-US" w:eastAsia="zh-CN"/>
              </w:rPr>
              <w:t>控制</w:t>
            </w:r>
            <w:r>
              <w:rPr>
                <w:rFonts w:hint="default" w:ascii="Times New Roman" w:hAnsi="Times New Roman" w:cs="Times New Roman"/>
                <w:b/>
                <w:bCs w:val="0"/>
                <w:color w:val="auto"/>
                <w:sz w:val="24"/>
                <w:lang w:val="en-US" w:eastAsia="zh-CN"/>
              </w:rPr>
              <w:t>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环境空气质量执行国家《环境空气质量标准》（</w:t>
            </w:r>
            <w:r>
              <w:rPr>
                <w:rFonts w:hint="default" w:ascii="Times New Roman" w:hAnsi="Times New Roman" w:cs="Times New Roman"/>
                <w:bCs/>
                <w:color w:val="auto"/>
                <w:sz w:val="24"/>
                <w:lang w:val="en-US" w:eastAsia="zh-CN"/>
              </w:rPr>
              <w:t>GB3095-2012</w:t>
            </w:r>
            <w:r>
              <w:rPr>
                <w:rFonts w:hint="default" w:ascii="Times New Roman" w:hAnsi="Times New Roman" w:cs="Times New Roman"/>
                <w:bCs/>
                <w:color w:val="auto"/>
                <w:sz w:val="24"/>
                <w:lang w:eastAsia="zh-CN"/>
              </w:rPr>
              <w:t>）中二级标准；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地表水环境质量执行国家《地表水环境质量标准》（</w:t>
            </w:r>
            <w:r>
              <w:rPr>
                <w:rFonts w:hint="default" w:ascii="Times New Roman" w:hAnsi="Times New Roman" w:cs="Times New Roman"/>
                <w:bCs/>
                <w:color w:val="auto"/>
                <w:sz w:val="24"/>
                <w:lang w:val="en-US" w:eastAsia="zh-CN"/>
              </w:rPr>
              <w:t>GB3838-2002</w:t>
            </w:r>
            <w:r>
              <w:rPr>
                <w:rFonts w:hint="default" w:ascii="Times New Roman" w:hAnsi="Times New Roman" w:cs="Times New Roman"/>
                <w:bCs/>
                <w:color w:val="auto"/>
                <w:sz w:val="24"/>
                <w:lang w:eastAsia="zh-CN"/>
              </w:rPr>
              <w:t>）中Ⅲ类标准；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声环境质量执行国家《声环境质量标准》（</w:t>
            </w:r>
            <w:r>
              <w:rPr>
                <w:rFonts w:hint="default" w:ascii="Times New Roman" w:hAnsi="Times New Roman" w:cs="Times New Roman"/>
                <w:bCs/>
                <w:color w:val="auto"/>
                <w:sz w:val="24"/>
                <w:lang w:val="en-US" w:eastAsia="zh-CN"/>
              </w:rPr>
              <w:t>GB3096-2008</w:t>
            </w:r>
            <w:r>
              <w:rPr>
                <w:rFonts w:hint="default"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中2类声功能区环境噪声限值</w:t>
            </w:r>
            <w:r>
              <w:rPr>
                <w:rFonts w:hint="default" w:ascii="Times New Roman" w:hAnsi="Times New Roman" w:cs="Times New Roman"/>
                <w:bCs/>
                <w:color w:val="auto"/>
                <w:sz w:val="24"/>
                <w:lang w:eastAsia="zh-CN"/>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sz w:val="24"/>
                <w:lang w:val="en-US" w:eastAsia="zh-CN"/>
              </w:rPr>
            </w:pPr>
            <w:r>
              <w:rPr>
                <w:rFonts w:hint="eastAsia" w:ascii="Times New Roman" w:hAnsi="Times New Roman" w:cs="Times New Roman"/>
                <w:b/>
                <w:bCs/>
                <w:color w:val="auto"/>
                <w:sz w:val="24"/>
                <w:lang w:val="en-US" w:eastAsia="zh-CN"/>
              </w:rPr>
              <w:t>2、</w:t>
            </w:r>
            <w:r>
              <w:rPr>
                <w:rFonts w:hint="default" w:ascii="Times New Roman" w:hAnsi="Times New Roman" w:cs="Times New Roman"/>
                <w:b/>
                <w:bCs w:val="0"/>
                <w:color w:val="auto"/>
                <w:sz w:val="24"/>
                <w:lang w:val="en-US" w:eastAsia="zh-CN"/>
              </w:rPr>
              <w:t>污染物排放标准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废气执行《大气污染物综合排放标准》（</w:t>
            </w:r>
            <w:r>
              <w:rPr>
                <w:rFonts w:hint="default" w:ascii="Times New Roman" w:hAnsi="Times New Roman" w:cs="Times New Roman"/>
                <w:bCs/>
                <w:color w:val="auto"/>
                <w:sz w:val="24"/>
                <w:lang w:val="en-US" w:eastAsia="zh-CN"/>
              </w:rPr>
              <w:t>GB16297-1996</w:t>
            </w:r>
            <w:r>
              <w:rPr>
                <w:rFonts w:hint="default"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表2</w:t>
            </w:r>
            <w:r>
              <w:rPr>
                <w:rFonts w:hint="default" w:ascii="Times New Roman" w:hAnsi="Times New Roman" w:cs="Times New Roman"/>
                <w:bCs/>
                <w:color w:val="auto"/>
                <w:sz w:val="24"/>
                <w:lang w:eastAsia="zh-CN"/>
              </w:rPr>
              <w:t>二级标准；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eastAsia="zh-CN"/>
              </w:rPr>
            </w:pPr>
            <w:r>
              <w:rPr>
                <w:rFonts w:hint="default" w:ascii="Times New Roman" w:hAnsi="Times New Roman" w:cs="Times New Roman"/>
                <w:color w:val="auto"/>
                <w:sz w:val="24"/>
              </w:rPr>
              <w:t>医疗废水排放执行《医疗机构水污染物排放标准》（GB18466-2005）表2中的预处理排放标准</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噪声执行</w:t>
            </w:r>
            <w:r>
              <w:rPr>
                <w:rFonts w:hint="default" w:ascii="Times New Roman" w:hAnsi="Times New Roman" w:cs="Times New Roman"/>
                <w:bCs/>
                <w:color w:val="auto"/>
                <w:sz w:val="24"/>
                <w:lang w:val="en-US" w:eastAsia="zh-CN"/>
              </w:rPr>
              <w:t xml:space="preserve"> </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施工期：《建筑施工场界环境噪声排放标准》（GB12523-2011）标准；</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运营期</w:t>
            </w:r>
            <w:r>
              <w:rPr>
                <w:rFonts w:hint="default" w:ascii="Times New Roman" w:hAnsi="Times New Roman" w:cs="Times New Roman"/>
                <w:bCs/>
                <w:color w:val="auto"/>
                <w:sz w:val="24"/>
                <w:lang w:eastAsia="zh-CN"/>
              </w:rPr>
              <w:t>：《工业企业厂界环境噪声排放标准》（GB12348-2008）</w:t>
            </w:r>
            <w:r>
              <w:rPr>
                <w:rFonts w:hint="eastAsia" w:ascii="Times New Roman" w:hAnsi="Times New Roman" w:cs="Times New Roman"/>
                <w:bCs/>
                <w:color w:val="auto"/>
                <w:sz w:val="24"/>
                <w:lang w:val="en-US" w:eastAsia="zh-CN"/>
              </w:rPr>
              <w:t>表1中2</w:t>
            </w:r>
            <w:r>
              <w:rPr>
                <w:rFonts w:hint="default" w:ascii="Times New Roman" w:hAnsi="Times New Roman" w:cs="Times New Roman"/>
                <w:bCs/>
                <w:color w:val="auto"/>
                <w:sz w:val="24"/>
                <w:lang w:eastAsia="zh-CN"/>
              </w:rPr>
              <w:t>类</w:t>
            </w:r>
            <w:r>
              <w:rPr>
                <w:rFonts w:hint="eastAsia" w:ascii="Times New Roman" w:hAnsi="Times New Roman" w:cs="Times New Roman"/>
                <w:bCs/>
                <w:color w:val="auto"/>
                <w:sz w:val="24"/>
                <w:lang w:val="en-US" w:eastAsia="zh-CN"/>
              </w:rPr>
              <w:t>区域</w:t>
            </w:r>
            <w:r>
              <w:rPr>
                <w:rFonts w:hint="default" w:ascii="Times New Roman" w:hAnsi="Times New Roman" w:cs="Times New Roman"/>
                <w:bCs/>
                <w:color w:val="auto"/>
                <w:sz w:val="24"/>
                <w:lang w:eastAsia="zh-CN"/>
              </w:rPr>
              <w:t>标准。</w:t>
            </w:r>
          </w:p>
          <w:p>
            <w:pPr>
              <w:keepNext w:val="0"/>
              <w:keepLines w:val="0"/>
              <w:suppressLineNumbers w:val="0"/>
              <w:spacing w:before="0" w:beforeAutospacing="0" w:after="0" w:afterAutospacing="0" w:line="360" w:lineRule="auto"/>
              <w:ind w:left="0" w:right="0" w:firstLine="480" w:firstLineChars="200"/>
              <w:rPr>
                <w:rFonts w:hint="default" w:eastAsia="宋体"/>
                <w:color w:val="auto"/>
                <w:lang w:val="en-US" w:eastAsia="zh-CN"/>
              </w:rPr>
            </w:pPr>
            <w:r>
              <w:rPr>
                <w:rFonts w:hint="eastAsia" w:ascii="Times New Roman" w:hAnsi="Times New Roman" w:cs="Times New Roman"/>
                <w:bCs/>
                <w:color w:val="auto"/>
                <w:sz w:val="24"/>
                <w:lang w:val="en-US" w:eastAsia="zh-CN"/>
              </w:rPr>
              <w:t>固废：</w:t>
            </w:r>
            <w:r>
              <w:rPr>
                <w:rFonts w:hint="default" w:ascii="Times New Roman" w:hAnsi="Times New Roman" w:cs="Times New Roman"/>
                <w:bCs/>
                <w:color w:val="auto"/>
                <w:sz w:val="24"/>
                <w:highlight w:val="none"/>
                <w:lang w:val="en-US" w:eastAsia="zh-CN"/>
              </w:rPr>
              <w:t>一般固废执行《一般工业固体废物贮存、处置场污染控制标准》（GB18599-2001）</w:t>
            </w:r>
            <w:r>
              <w:rPr>
                <w:rFonts w:hint="default" w:ascii="Times New Roman" w:hAnsi="Times New Roman" w:cs="Times New Roman"/>
                <w:color w:val="auto"/>
                <w:sz w:val="24"/>
                <w:highlight w:val="none"/>
                <w:lang w:val="en-US" w:eastAsia="zh-CN"/>
              </w:rPr>
              <w:t>及</w:t>
            </w:r>
            <w:r>
              <w:rPr>
                <w:rFonts w:hint="default" w:ascii="Times New Roman" w:hAnsi="Times New Roman" w:cs="Times New Roman"/>
                <w:color w:val="auto"/>
                <w:sz w:val="24"/>
                <w:highlight w:val="none"/>
                <w:lang w:eastAsia="zh-CN"/>
              </w:rPr>
              <w:t>原</w:t>
            </w:r>
            <w:r>
              <w:rPr>
                <w:rFonts w:hint="default" w:ascii="Times New Roman" w:hAnsi="Times New Roman" w:cs="Times New Roman"/>
                <w:color w:val="auto"/>
                <w:sz w:val="24"/>
                <w:highlight w:val="none"/>
              </w:rPr>
              <w:t>环保部公告</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2013</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第36号</w:t>
            </w:r>
            <w:r>
              <w:rPr>
                <w:rFonts w:hint="default" w:ascii="Times New Roman" w:hAnsi="Times New Roman" w:cs="Times New Roman"/>
                <w:color w:val="auto"/>
                <w:sz w:val="24"/>
                <w:highlight w:val="none"/>
                <w:lang w:eastAsia="zh-CN"/>
              </w:rPr>
              <w:t>修改单</w:t>
            </w:r>
            <w:r>
              <w:rPr>
                <w:rFonts w:hint="default" w:ascii="Times New Roman" w:hAnsi="Times New Roman"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eastAsia="zh-CN"/>
              </w:rPr>
              <w:t>二</w:t>
            </w:r>
            <w:r>
              <w:rPr>
                <w:rFonts w:hint="default" w:ascii="Times New Roman" w:hAnsi="Times New Roman" w:cs="Times New Roman"/>
                <w:b/>
                <w:bCs/>
                <w:color w:val="auto"/>
                <w:sz w:val="28"/>
                <w:szCs w:val="28"/>
              </w:rPr>
              <w:t>、电离辐射剂量限值和剂量约束值</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highlight w:val="none"/>
              </w:rPr>
            </w:pPr>
            <w:r>
              <w:rPr>
                <w:rFonts w:hint="eastAsia" w:ascii="Times New Roman" w:hAnsi="Times New Roman"/>
                <w:color w:val="auto"/>
                <w:sz w:val="24"/>
                <w:highlight w:val="none"/>
              </w:rPr>
              <w:t>职业照射：根据《电离辐射防护与辐射源安全基本标准》（GB18871-2002）第4.3.3.1条的规定，对任何工作人员，由来自各项获准实践的综合照射所致的个人总有效剂量不超过由审管部门决定的连续5年的年平均有效剂量（但不可作任何追溯平均）20mSv。本项目环评取上述标准中规定的职业照射年有效剂量限值的1/4（即5mSv/a）作为职业人员年剂量约束值。</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rPr>
            </w:pPr>
            <w:r>
              <w:rPr>
                <w:rFonts w:hint="eastAsia" w:ascii="Times New Roman" w:hAnsi="Times New Roman"/>
                <w:color w:val="auto"/>
                <w:sz w:val="24"/>
                <w:highlight w:val="none"/>
              </w:rPr>
              <w:t>公众照射：第B1.2.1条的规定，实践使公众中有关关键人群组的成员所受到的平均剂量估计值不应超过年有效剂量1mSv。本项目环评取上述标准中规定的公众年有效剂量限值的1/10（即0.1mSv/a）作为公众的年剂量约束值。</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r>
              <w:rPr>
                <w:rFonts w:hint="eastAsia" w:ascii="Times New Roman" w:hAnsi="Times New Roman" w:cs="Times New Roman"/>
                <w:b/>
                <w:bCs/>
                <w:color w:val="auto"/>
                <w:sz w:val="28"/>
                <w:szCs w:val="28"/>
                <w:lang w:val="en-US" w:eastAsia="zh-CN"/>
              </w:rPr>
              <w:t>三、辐射</w:t>
            </w:r>
            <w:r>
              <w:rPr>
                <w:rFonts w:hint="default" w:ascii="Times New Roman" w:hAnsi="Times New Roman" w:cs="Times New Roman"/>
                <w:b/>
                <w:bCs/>
                <w:color w:val="auto"/>
                <w:sz w:val="28"/>
                <w:szCs w:val="28"/>
              </w:rPr>
              <w:t xml:space="preserve">工作场所边界周围剂量率控制水平  </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sz w:val="24"/>
                <w:lang w:val="en-US" w:eastAsia="zh-CN"/>
              </w:rPr>
            </w:pPr>
            <w:r>
              <w:rPr>
                <w:rFonts w:hint="default" w:ascii="Times New Roman" w:hAnsi="Times New Roman" w:cs="Times New Roman"/>
                <w:b/>
                <w:bCs w:val="0"/>
                <w:color w:val="auto"/>
                <w:sz w:val="24"/>
                <w:lang w:val="en-US" w:eastAsia="zh-CN"/>
              </w:rPr>
              <w:t>1、</w:t>
            </w:r>
            <w:r>
              <w:rPr>
                <w:rFonts w:hint="eastAsia" w:ascii="Times New Roman" w:hAnsi="Times New Roman" w:cs="Times New Roman"/>
                <w:b/>
                <w:bCs w:val="0"/>
                <w:color w:val="auto"/>
                <w:sz w:val="24"/>
                <w:lang w:val="en-US" w:eastAsia="zh-CN"/>
              </w:rPr>
              <w:t>加速器治疗室</w:t>
            </w:r>
          </w:p>
          <w:p>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2"/>
                <w:sz w:val="24"/>
                <w:szCs w:val="24"/>
              </w:rPr>
            </w:pPr>
            <w:r>
              <w:rPr>
                <w:rFonts w:hint="default" w:ascii="Times New Roman" w:hAnsi="Times New Roman" w:cs="Times New Roman"/>
                <w:bCs/>
                <w:color w:val="auto"/>
                <w:sz w:val="24"/>
                <w:szCs w:val="24"/>
              </w:rPr>
              <w:t>参照</w:t>
            </w:r>
            <w:r>
              <w:rPr>
                <w:rFonts w:hint="default" w:ascii="Times New Roman" w:hAnsi="Times New Roman" w:cs="Times New Roman"/>
                <w:color w:val="auto"/>
                <w:sz w:val="24"/>
                <w:szCs w:val="24"/>
              </w:rPr>
              <w:t>《电子直线加速器放射治疗放射防护要求》（GBZ126-2011），加速器</w:t>
            </w:r>
            <w:r>
              <w:rPr>
                <w:rFonts w:hint="default" w:ascii="Times New Roman" w:hAnsi="Times New Roman" w:cs="Times New Roman"/>
                <w:color w:val="auto"/>
                <w:sz w:val="24"/>
                <w:szCs w:val="24"/>
                <w:lang w:eastAsia="zh-CN"/>
              </w:rPr>
              <w:t>迷路</w:t>
            </w:r>
            <w:r>
              <w:rPr>
                <w:rFonts w:hint="default" w:ascii="Times New Roman" w:hAnsi="Times New Roman" w:cs="Times New Roman"/>
                <w:color w:val="auto"/>
                <w:sz w:val="24"/>
                <w:szCs w:val="24"/>
              </w:rPr>
              <w:t>门处、控制室和</w:t>
            </w:r>
            <w:r>
              <w:rPr>
                <w:rFonts w:hint="eastAsia" w:ascii="Times New Roman" w:hAnsi="Times New Roman" w:cs="Times New Roman"/>
                <w:color w:val="auto"/>
                <w:sz w:val="24"/>
                <w:szCs w:val="24"/>
                <w:lang w:eastAsia="zh-CN"/>
              </w:rPr>
              <w:t>加速器治疗室</w:t>
            </w:r>
            <w:r>
              <w:rPr>
                <w:rFonts w:hint="default" w:ascii="Times New Roman" w:hAnsi="Times New Roman" w:cs="Times New Roman"/>
                <w:color w:val="auto"/>
                <w:sz w:val="24"/>
                <w:szCs w:val="24"/>
              </w:rPr>
              <w:t>墙体外30cm处，周围剂量当量率不大于2.5</w:t>
            </w:r>
            <w:r>
              <w:rPr>
                <w:rFonts w:hint="default" w:ascii="Times New Roman" w:hAnsi="Times New Roman" w:cs="Times New Roman"/>
                <w:bCs/>
                <w:color w:val="auto"/>
                <w:sz w:val="24"/>
                <w:szCs w:val="24"/>
              </w:rPr>
              <w:t>µ</w:t>
            </w:r>
            <w:r>
              <w:rPr>
                <w:rFonts w:hint="default" w:ascii="Times New Roman" w:hAnsi="Times New Roman" w:cs="Times New Roman"/>
                <w:color w:val="auto"/>
                <w:sz w:val="24"/>
                <w:szCs w:val="24"/>
              </w:rPr>
              <w:t>Sv h。</w:t>
            </w:r>
            <w:r>
              <w:rPr>
                <w:rFonts w:hint="default"/>
                <w:color w:val="auto"/>
                <w:kern w:val="2"/>
                <w:sz w:val="24"/>
                <w:szCs w:val="24"/>
              </w:rPr>
              <w:t>有用线束不向迷路内墙照射时</w:t>
            </w:r>
            <w:r>
              <w:rPr>
                <w:rFonts w:hint="eastAsia"/>
                <w:color w:val="auto"/>
                <w:kern w:val="2"/>
                <w:sz w:val="24"/>
                <w:szCs w:val="24"/>
                <w:lang w:eastAsia="zh-CN"/>
              </w:rPr>
              <w:t>，加速器的泄漏辐射</w:t>
            </w:r>
            <w:r>
              <w:rPr>
                <w:rFonts w:hint="eastAsia"/>
                <w:color w:val="auto"/>
                <w:kern w:val="2"/>
                <w:sz w:val="24"/>
                <w:szCs w:val="24"/>
                <w:lang w:val="en-US" w:eastAsia="zh-CN"/>
              </w:rPr>
              <w:t>在</w:t>
            </w:r>
            <w:r>
              <w:rPr>
                <w:rFonts w:hint="default"/>
                <w:color w:val="auto"/>
                <w:kern w:val="2"/>
                <w:sz w:val="24"/>
                <w:szCs w:val="24"/>
              </w:rPr>
              <w:t>迷路入口处</w:t>
            </w:r>
            <w:r>
              <w:rPr>
                <w:rFonts w:hint="eastAsia"/>
                <w:color w:val="auto"/>
                <w:kern w:val="2"/>
                <w:sz w:val="24"/>
                <w:szCs w:val="24"/>
                <w:lang w:val="en-US" w:eastAsia="zh-CN"/>
              </w:rPr>
              <w:t>控制水平</w:t>
            </w:r>
            <w:r>
              <w:rPr>
                <w:rFonts w:hint="default"/>
                <w:color w:val="auto"/>
                <w:kern w:val="2"/>
                <w:sz w:val="24"/>
                <w:szCs w:val="24"/>
              </w:rPr>
              <w:t>小于</w:t>
            </w:r>
            <w:r>
              <w:rPr>
                <w:rFonts w:hint="eastAsia"/>
                <w:color w:val="auto"/>
                <w:kern w:val="2"/>
                <w:sz w:val="24"/>
                <w:szCs w:val="24"/>
                <w:lang w:val="en-US" w:eastAsia="zh-CN"/>
              </w:rPr>
              <w:t>应</w:t>
            </w:r>
            <w:r>
              <w:rPr>
                <w:rFonts w:hint="default"/>
                <w:color w:val="auto"/>
                <w:kern w:val="2"/>
                <w:sz w:val="24"/>
                <w:szCs w:val="24"/>
              </w:rPr>
              <w:t>参考控制水</w:t>
            </w:r>
            <w:r>
              <w:rPr>
                <w:rFonts w:hint="default" w:ascii="Times New Roman" w:hAnsi="Times New Roman" w:cs="Times New Roman"/>
                <w:color w:val="auto"/>
                <w:kern w:val="2"/>
                <w:sz w:val="24"/>
                <w:szCs w:val="24"/>
              </w:rPr>
              <w:t>平1/4</w:t>
            </w:r>
            <w:r>
              <w:rPr>
                <w:rFonts w:hint="default" w:ascii="Times New Roman" w:hAnsi="Times New Roman" w:cs="Times New Roman"/>
                <w:color w:val="auto"/>
                <w:kern w:val="2"/>
                <w:sz w:val="24"/>
                <w:szCs w:val="24"/>
                <w:highlight w:val="none"/>
              </w:rPr>
              <w:t>（即</w:t>
            </w:r>
            <w:r>
              <w:rPr>
                <w:rFonts w:hint="default" w:ascii="Times New Roman" w:hAnsi="Times New Roman" w:cs="Times New Roman"/>
                <w:color w:val="auto"/>
                <w:kern w:val="2"/>
                <w:sz w:val="24"/>
                <w:szCs w:val="24"/>
                <w:lang w:val="en-US" w:eastAsia="zh-CN"/>
              </w:rPr>
              <w:t>0.625</w:t>
            </w:r>
            <w:r>
              <w:rPr>
                <w:rFonts w:hint="default" w:ascii="Times New Roman" w:hAnsi="Times New Roman" w:cs="Times New Roman"/>
                <w:bCs/>
                <w:color w:val="auto"/>
                <w:kern w:val="2"/>
                <w:sz w:val="24"/>
                <w:szCs w:val="24"/>
              </w:rPr>
              <w:t>µ</w:t>
            </w:r>
            <w:r>
              <w:rPr>
                <w:rFonts w:hint="default" w:ascii="Times New Roman" w:hAnsi="Times New Roman" w:cs="Times New Roman"/>
                <w:color w:val="auto"/>
                <w:kern w:val="2"/>
                <w:sz w:val="24"/>
                <w:szCs w:val="24"/>
              </w:rPr>
              <w:t>Sv h</w:t>
            </w:r>
            <w:r>
              <w:rPr>
                <w:rFonts w:hint="default" w:ascii="Times New Roman" w:hAnsi="Times New Roman" w:cs="Times New Roman"/>
                <w:color w:val="auto"/>
                <w:kern w:val="2"/>
                <w:sz w:val="24"/>
                <w:szCs w:val="24"/>
                <w:highlight w:val="none"/>
              </w:rPr>
              <w:t>）</w:t>
            </w:r>
            <w:r>
              <w:rPr>
                <w:rFonts w:hint="default"/>
                <w:color w:val="auto"/>
                <w:kern w:val="2"/>
                <w:sz w:val="24"/>
                <w:szCs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sz w:val="24"/>
                <w:lang w:val="en-US" w:eastAsia="zh-CN"/>
              </w:rPr>
            </w:pPr>
            <w:r>
              <w:rPr>
                <w:rFonts w:hint="default" w:ascii="Times New Roman" w:hAnsi="Times New Roman" w:cs="Times New Roman"/>
                <w:b/>
                <w:bCs w:val="0"/>
                <w:color w:val="auto"/>
                <w:sz w:val="24"/>
                <w:lang w:val="en-US" w:eastAsia="zh-CN"/>
              </w:rPr>
              <w:t>2、</w:t>
            </w:r>
            <w:r>
              <w:rPr>
                <w:rFonts w:hint="eastAsia" w:ascii="Times New Roman" w:hAnsi="Times New Roman" w:cs="Times New Roman"/>
                <w:b/>
                <w:bCs w:val="0"/>
                <w:color w:val="auto"/>
                <w:sz w:val="24"/>
                <w:lang w:val="en-US" w:eastAsia="zh-CN"/>
              </w:rPr>
              <w:t>后装治疗室</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bCs/>
                <w:color w:val="auto"/>
                <w:sz w:val="24"/>
              </w:rPr>
            </w:pPr>
            <w:r>
              <w:rPr>
                <w:rFonts w:hint="eastAsia" w:ascii="Times New Roman" w:hAnsi="Times New Roman" w:cs="Times New Roman"/>
                <w:bCs/>
                <w:color w:val="auto"/>
                <w:sz w:val="24"/>
                <w:highlight w:val="none"/>
                <w:lang w:val="en-US" w:eastAsia="zh-CN"/>
              </w:rPr>
              <w:t>参照</w:t>
            </w:r>
            <w:r>
              <w:rPr>
                <w:rFonts w:hint="eastAsia"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后装γ源近距离治疗卫生防护标准</w:t>
            </w:r>
            <w:r>
              <w:rPr>
                <w:rFonts w:hint="eastAsia"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（GBZ121-2017），后装治疗机贮源器内装载允许最大活度时，距离贮源器表面5cm处的任何位置，泄漏辐射的空气比释动能率不得大于50μGy/h</w:t>
            </w:r>
            <w:r>
              <w:rPr>
                <w:rFonts w:hint="eastAsia"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距离贮源器100cm处的球面上，任何一点的泄漏辐射的空气比释动能率不得大于5μGy/h</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治疗室屏蔽体外30cm处因透射辐射所致的周围剂量当量率应不超过</w:t>
            </w:r>
            <w:r>
              <w:rPr>
                <w:rFonts w:hint="default" w:ascii="Times New Roman" w:hAnsi="Times New Roman" w:cs="Times New Roman"/>
                <w:bCs/>
                <w:color w:val="auto"/>
                <w:sz w:val="24"/>
                <w:highlight w:val="none"/>
              </w:rPr>
              <w:t>2.5µSv/h。</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r>
              <w:rPr>
                <w:rFonts w:hint="eastAsia" w:ascii="Times New Roman" w:hAnsi="Times New Roman" w:cs="Times New Roman"/>
                <w:b/>
                <w:bCs/>
                <w:color w:val="auto"/>
                <w:sz w:val="28"/>
                <w:szCs w:val="28"/>
                <w:lang w:val="en-US" w:eastAsia="zh-CN"/>
              </w:rPr>
              <w:t>四、</w:t>
            </w:r>
            <w:r>
              <w:rPr>
                <w:rFonts w:hint="eastAsia" w:ascii="Times New Roman" w:hAnsi="Times New Roman" w:cs="Times New Roman"/>
                <w:b/>
                <w:bCs/>
                <w:color w:val="auto"/>
                <w:sz w:val="28"/>
                <w:szCs w:val="28"/>
              </w:rPr>
              <w:t>臭氧浓度限值</w:t>
            </w:r>
          </w:p>
          <w:p>
            <w:pPr>
              <w:pStyle w:val="7"/>
              <w:spacing w:line="360" w:lineRule="auto"/>
              <w:rPr>
                <w:rFonts w:hint="default"/>
                <w:color w:val="auto"/>
                <w:sz w:val="24"/>
              </w:rPr>
            </w:pPr>
            <w:r>
              <w:rPr>
                <w:rFonts w:hint="eastAsia"/>
                <w:color w:val="auto"/>
                <w:sz w:val="24"/>
              </w:rPr>
              <w:t xml:space="preserve">    </w:t>
            </w:r>
            <w:r>
              <w:rPr>
                <w:rFonts w:hint="eastAsia" w:ascii="Times New Roman" w:hAnsi="Times New Roman" w:cs="Times New Roman"/>
                <w:color w:val="auto"/>
                <w:sz w:val="24"/>
                <w:lang w:eastAsia="zh-CN"/>
              </w:rPr>
              <w:t>《工作场所有害因素职业接触限值 第1部分：化学有害因素》（GBZ2.1-2019）、</w:t>
            </w:r>
            <w:r>
              <w:rPr>
                <w:rFonts w:hint="default" w:ascii="Times New Roman" w:hAnsi="Times New Roman" w:cs="Times New Roman"/>
                <w:color w:val="auto"/>
                <w:sz w:val="24"/>
              </w:rPr>
              <w:t>《环境空气质量标准》（GB3095-2012</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标准</w:t>
            </w:r>
            <w:r>
              <w:rPr>
                <w:rFonts w:hint="default" w:ascii="Times New Roman" w:hAnsi="Times New Roman" w:cs="Times New Roman"/>
                <w:color w:val="auto"/>
                <w:sz w:val="24"/>
              </w:rPr>
              <w:t>要求</w:t>
            </w:r>
            <w:r>
              <w:rPr>
                <w:rFonts w:hint="eastAsia" w:ascii="Times New Roman" w:hAnsi="Times New Roman" w:cs="Times New Roman"/>
                <w:bCs/>
                <w:color w:val="auto"/>
                <w:sz w:val="24"/>
                <w:highlight w:val="none"/>
              </w:rPr>
              <w:t>。</w:t>
            </w:r>
          </w:p>
          <w:p>
            <w:pPr>
              <w:pStyle w:val="2"/>
              <w:keepNext w:val="0"/>
              <w:keepLines w:val="0"/>
              <w:suppressLineNumbers w:val="0"/>
              <w:spacing w:before="0" w:beforeAutospacing="0" w:after="0" w:afterAutospacing="0"/>
              <w:ind w:left="0" w:right="0"/>
              <w:rPr>
                <w:rFonts w:hint="default" w:ascii="Times New Roman" w:hAnsi="Times New Roman" w:eastAsia="黑体"/>
                <w:color w:val="auto"/>
                <w:kern w:val="2"/>
                <w:sz w:val="28"/>
                <w:szCs w:val="28"/>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黑体"/>
                <w:color w:val="auto"/>
                <w:kern w:val="2"/>
                <w:sz w:val="28"/>
                <w:szCs w:val="28"/>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黑体"/>
                <w:color w:val="auto"/>
                <w:kern w:val="2"/>
                <w:sz w:val="28"/>
                <w:szCs w:val="28"/>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黑体"/>
                <w:color w:val="auto"/>
                <w:kern w:val="2"/>
                <w:sz w:val="28"/>
                <w:szCs w:val="28"/>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黑体"/>
                <w:color w:val="auto"/>
                <w:kern w:val="2"/>
                <w:sz w:val="28"/>
                <w:szCs w:val="28"/>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黑体"/>
                <w:color w:val="auto"/>
                <w:kern w:val="2"/>
                <w:sz w:val="28"/>
                <w:szCs w:val="28"/>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黑体"/>
                <w:color w:val="auto"/>
                <w:kern w:val="2"/>
                <w:sz w:val="28"/>
                <w:szCs w:val="28"/>
                <w:lang w:val="en-US" w:eastAsia="zh-CN"/>
              </w:rPr>
            </w:pPr>
          </w:p>
        </w:tc>
      </w:tr>
    </w:tbl>
    <w:p>
      <w:pPr>
        <w:rPr>
          <w:color w:val="auto"/>
        </w:rPr>
      </w:pPr>
      <w:r>
        <w:rPr>
          <w:rFonts w:ascii="Times New Roman" w:hAnsi="Times New Roman"/>
          <w:b/>
          <w:bCs/>
          <w:color w:val="auto"/>
          <w:sz w:val="30"/>
          <w:szCs w:val="30"/>
        </w:rPr>
        <w:br w:type="page"/>
      </w:r>
    </w:p>
    <w:p>
      <w:pPr>
        <w:pStyle w:val="3"/>
        <w:keepNext w:val="0"/>
        <w:keepLines w:val="0"/>
        <w:spacing w:before="0" w:after="0"/>
        <w:jc w:val="both"/>
        <w:rPr>
          <w:rFonts w:ascii="Times New Roman" w:hAnsi="Times New Roman"/>
          <w:b/>
          <w:bCs/>
          <w:color w:val="auto"/>
          <w:sz w:val="30"/>
          <w:szCs w:val="30"/>
        </w:rPr>
      </w:pPr>
      <w:bookmarkStart w:id="7" w:name="_Toc750"/>
      <w:r>
        <w:rPr>
          <w:rFonts w:hint="default" w:ascii="Times New Roman" w:hAnsi="Times New Roman" w:eastAsia="宋体" w:cs="Times New Roman"/>
          <w:b/>
          <w:bCs w:val="0"/>
          <w:color w:val="auto"/>
          <w:kern w:val="0"/>
          <w:sz w:val="30"/>
          <w:szCs w:val="30"/>
          <w:lang w:val="en-US" w:eastAsia="zh-CN"/>
        </w:rPr>
        <w:t>表8  环境质量和辐射现状</w:t>
      </w:r>
      <w:bookmarkEnd w:id="7"/>
    </w:p>
    <w:tbl>
      <w:tblPr>
        <w:tblStyle w:val="17"/>
        <w:tblW w:w="9080" w:type="dxa"/>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0"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rPr>
            </w:pPr>
            <w:r>
              <w:rPr>
                <w:rFonts w:hint="default" w:ascii="Times New Roman" w:hAnsi="Times New Roman" w:eastAsia="黑体" w:cs="Times New Roman"/>
                <w:b w:val="0"/>
                <w:bCs w:val="0"/>
                <w:color w:val="auto"/>
                <w:sz w:val="28"/>
                <w:szCs w:val="28"/>
              </w:rPr>
              <w:t>环境质量和辐射现状</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一、项目地理和场所位置</w:t>
            </w:r>
          </w:p>
          <w:p>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lang w:val="en-US" w:eastAsia="zh-CN"/>
              </w:rPr>
              <w:t>本项目位于</w:t>
            </w:r>
            <w:r>
              <w:rPr>
                <w:rFonts w:hint="default" w:ascii="Times New Roman" w:hAnsi="Times New Roman" w:cs="Times New Roman"/>
                <w:color w:val="auto"/>
                <w:sz w:val="24"/>
                <w:szCs w:val="24"/>
                <w:highlight w:val="none"/>
                <w:lang w:eastAsia="zh-CN"/>
              </w:rPr>
              <w:t>四川省成都市温江区柳城镇麻市街33号</w:t>
            </w:r>
            <w:r>
              <w:rPr>
                <w:rFonts w:hint="eastAsia" w:ascii="Times New Roman" w:hAnsi="Times New Roman" w:cs="Times New Roman"/>
                <w:color w:val="auto"/>
                <w:sz w:val="24"/>
                <w:szCs w:val="24"/>
                <w:highlight w:val="none"/>
                <w:lang w:eastAsia="zh-CN"/>
              </w:rPr>
              <w:t>成都市第五人民医院门急诊住院综合楼配套工程（三期）负三层放疗中心内</w:t>
            </w:r>
            <w:r>
              <w:rPr>
                <w:rFonts w:hint="default" w:ascii="Times New Roman" w:hAnsi="Times New Roman" w:cs="Times New Roman"/>
                <w:color w:val="auto"/>
                <w:sz w:val="24"/>
                <w:szCs w:val="24"/>
                <w:highlight w:val="none"/>
                <w:lang w:val="en-US" w:eastAsia="zh-CN"/>
              </w:rPr>
              <w:t>，周</w:t>
            </w:r>
            <w:r>
              <w:rPr>
                <w:rFonts w:hint="default" w:ascii="Times New Roman" w:hAnsi="Times New Roman" w:eastAsia="宋体" w:cs="Times New Roman"/>
                <w:color w:val="auto"/>
                <w:sz w:val="24"/>
                <w:szCs w:val="24"/>
                <w:highlight w:val="none"/>
                <w:lang w:val="en-US" w:eastAsia="zh-CN"/>
              </w:rPr>
              <w:t>围布置情况如下所述：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szCs w:val="24"/>
                <w:highlight w:val="none"/>
                <w:lang w:val="en-US" w:eastAsia="zh-CN"/>
              </w:rPr>
              <w:t>1#、2#、3#加速器治疗室</w:t>
            </w:r>
            <w:r>
              <w:rPr>
                <w:rFonts w:hint="default" w:ascii="Times New Roman" w:hAnsi="Times New Roman" w:eastAsia="宋体" w:cs="Times New Roman"/>
                <w:color w:val="auto"/>
                <w:sz w:val="24"/>
                <w:szCs w:val="24"/>
                <w:highlight w:val="none"/>
                <w:lang w:eastAsia="zh-CN"/>
              </w:rPr>
              <w:t>自西</w:t>
            </w:r>
            <w:r>
              <w:rPr>
                <w:rFonts w:hint="default" w:ascii="Times New Roman" w:hAnsi="Times New Roman" w:eastAsia="宋体"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eastAsia="zh-CN"/>
              </w:rPr>
              <w:t>向东</w:t>
            </w:r>
            <w:r>
              <w:rPr>
                <w:rFonts w:hint="default"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eastAsia="zh-CN"/>
              </w:rPr>
              <w:t>呈“一”字排开</w:t>
            </w:r>
            <w:r>
              <w:rPr>
                <w:rFonts w:hint="default" w:ascii="Times New Roman" w:hAnsi="Times New Roman" w:eastAsia="宋体" w:cs="Times New Roman"/>
                <w:color w:val="auto"/>
                <w:sz w:val="24"/>
                <w:szCs w:val="24"/>
                <w:highlight w:val="none"/>
                <w:lang w:val="en-US" w:eastAsia="zh-CN"/>
              </w:rPr>
              <w:t>、后装治疗室位于1#东南部</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其西北部设有水冷机房</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空调机房、共用辅助水冷机房、补风机房；东北部设有融铅室、热疗室；东南部设有候诊区、1#、2#、3#加速器控制室</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1#、2#加速器患者准备区、3#加速器患者准备区</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注射抢救室。</w:t>
            </w:r>
            <w:r>
              <w:rPr>
                <w:rFonts w:hint="default" w:ascii="Times New Roman" w:hAnsi="Times New Roman" w:cs="Times New Roman"/>
                <w:b w:val="0"/>
                <w:bCs w:val="0"/>
                <w:color w:val="auto"/>
                <w:sz w:val="24"/>
                <w:szCs w:val="24"/>
                <w:highlight w:val="none"/>
                <w:lang w:val="en-US" w:eastAsia="zh-CN"/>
              </w:rPr>
              <w:t>辐射工作场所50m范围内无居民住宅等敏感点分布</w:t>
            </w:r>
            <w:r>
              <w:rPr>
                <w:rFonts w:hint="default" w:ascii="Times New Roman" w:hAnsi="Times New Roman" w:cs="Times New Roman"/>
                <w:color w:val="auto"/>
                <w:sz w:val="24"/>
                <w:szCs w:val="24"/>
                <w:lang w:val="en-US" w:eastAsia="zh-CN"/>
              </w:rPr>
              <w:t>，项目现场图见图8-1。</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drawing>
                <wp:inline distT="0" distB="0" distL="114300" distR="114300">
                  <wp:extent cx="2321560" cy="1741805"/>
                  <wp:effectExtent l="0" t="0" r="2540" b="10795"/>
                  <wp:docPr id="87" name="图片 87" descr="IMG_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0466"/>
                          <pic:cNvPicPr>
                            <a:picLocks noChangeAspect="1"/>
                          </pic:cNvPicPr>
                        </pic:nvPicPr>
                        <pic:blipFill>
                          <a:blip r:embed="rId7"/>
                          <a:stretch>
                            <a:fillRect/>
                          </a:stretch>
                        </pic:blipFill>
                        <pic:spPr>
                          <a:xfrm>
                            <a:off x="0" y="0"/>
                            <a:ext cx="2321560" cy="1741805"/>
                          </a:xfrm>
                          <a:prstGeom prst="rect">
                            <a:avLst/>
                          </a:prstGeom>
                        </pic:spPr>
                      </pic:pic>
                    </a:graphicData>
                  </a:graphic>
                </wp:inline>
              </w:drawing>
            </w:r>
            <w:r>
              <w:rPr>
                <w:rFonts w:hint="default" w:ascii="Times New Roman" w:hAnsi="Times New Roman" w:eastAsia="宋体" w:cs="Times New Roman"/>
                <w:color w:val="auto"/>
                <w:kern w:val="2"/>
                <w:sz w:val="24"/>
                <w:highlight w:val="none"/>
                <w:lang w:eastAsia="zh-CN"/>
              </w:rPr>
              <w:drawing>
                <wp:inline distT="0" distB="0" distL="114300" distR="114300">
                  <wp:extent cx="2306320" cy="1729105"/>
                  <wp:effectExtent l="0" t="0" r="17780" b="4445"/>
                  <wp:docPr id="86" name="图片 86" descr="IMG_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0454"/>
                          <pic:cNvPicPr>
                            <a:picLocks noChangeAspect="1"/>
                          </pic:cNvPicPr>
                        </pic:nvPicPr>
                        <pic:blipFill>
                          <a:blip r:embed="rId8"/>
                          <a:stretch>
                            <a:fillRect/>
                          </a:stretch>
                        </pic:blipFill>
                        <pic:spPr>
                          <a:xfrm>
                            <a:off x="0" y="0"/>
                            <a:ext cx="2306320" cy="1729105"/>
                          </a:xfrm>
                          <a:prstGeom prst="rect">
                            <a:avLst/>
                          </a:prstGeom>
                        </pic:spPr>
                      </pic:pic>
                    </a:graphicData>
                  </a:graphic>
                </wp:inline>
              </w:drawing>
            </w:r>
          </w:p>
          <w:p>
            <w:pPr>
              <w:pStyle w:val="2"/>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图8-1 项目拟建区域现状图</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二、监测方法及仪器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bCs/>
                <w:color w:val="auto"/>
                <w:sz w:val="24"/>
                <w:highlight w:val="none"/>
              </w:rPr>
              <w:t>为掌握项目所在地的辐射环境现状，</w:t>
            </w:r>
            <w:r>
              <w:rPr>
                <w:rFonts w:hint="default" w:ascii="Times New Roman" w:hAnsi="Times New Roman" w:cs="Times New Roman"/>
                <w:color w:val="auto"/>
                <w:sz w:val="24"/>
                <w:highlight w:val="none"/>
              </w:rPr>
              <w:t>本次评价过程中，四川省中栎环保科技有限公司</w:t>
            </w:r>
            <w:r>
              <w:rPr>
                <w:rFonts w:hint="default" w:ascii="Times New Roman" w:hAnsi="Times New Roman" w:cs="Times New Roman"/>
                <w:bCs/>
                <w:color w:val="auto"/>
                <w:sz w:val="24"/>
                <w:highlight w:val="none"/>
              </w:rPr>
              <w:t>委托四川省</w:t>
            </w:r>
            <w:r>
              <w:rPr>
                <w:rFonts w:hint="default" w:ascii="Times New Roman" w:hAnsi="Times New Roman" w:cs="Times New Roman"/>
                <w:bCs/>
                <w:color w:val="auto"/>
                <w:sz w:val="24"/>
                <w:highlight w:val="none"/>
                <w:lang w:eastAsia="zh-CN"/>
              </w:rPr>
              <w:t>永坤</w:t>
            </w:r>
            <w:r>
              <w:rPr>
                <w:rFonts w:hint="default" w:ascii="Times New Roman" w:hAnsi="Times New Roman" w:cs="Times New Roman"/>
                <w:bCs/>
                <w:color w:val="auto"/>
                <w:sz w:val="24"/>
                <w:highlight w:val="none"/>
              </w:rPr>
              <w:t>环境监测有限公司</w:t>
            </w:r>
            <w:r>
              <w:rPr>
                <w:rFonts w:hint="default" w:ascii="Times New Roman" w:hAnsi="Times New Roman" w:cs="Times New Roman"/>
                <w:color w:val="auto"/>
                <w:sz w:val="24"/>
                <w:highlight w:val="none"/>
              </w:rPr>
              <w:t>对本次评价的辐射工作场所进行了现场监测，其监测项目、分析方法及来源见表8-1。</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 w:val="21"/>
                <w:szCs w:val="21"/>
                <w:highlight w:val="none"/>
              </w:rPr>
              <w:t>表8-1  监测项目、方法及方法来源</w:t>
            </w:r>
            <w:r>
              <w:rPr>
                <w:rFonts w:hint="eastAsia" w:ascii="Times New Roman" w:hAnsi="Times New Roman" w:cs="Times New Roman"/>
                <w:b/>
                <w:bCs/>
                <w:color w:val="auto"/>
                <w:sz w:val="21"/>
                <w:szCs w:val="21"/>
                <w:highlight w:val="none"/>
                <w:lang w:val="en-US" w:eastAsia="zh-CN"/>
              </w:rPr>
              <w:t>表</w:t>
            </w:r>
          </w:p>
          <w:tbl>
            <w:tblPr>
              <w:tblStyle w:val="17"/>
              <w:tblW w:w="8897"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40"/>
              <w:gridCol w:w="3252"/>
              <w:gridCol w:w="1749"/>
              <w:gridCol w:w="1139"/>
              <w:gridCol w:w="201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7" w:hRule="atLeast"/>
              </w:trPr>
              <w:tc>
                <w:tcPr>
                  <w:tcW w:w="740" w:type="dxa"/>
                  <w:tcBorders>
                    <w:top w:val="single" w:color="auto" w:sz="12"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3252" w:type="dxa"/>
                  <w:tcBorders>
                    <w:top w:val="single" w:color="auto" w:sz="12"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监测方法</w:t>
                  </w:r>
                </w:p>
              </w:tc>
              <w:tc>
                <w:tcPr>
                  <w:tcW w:w="1749" w:type="dxa"/>
                  <w:tcBorders>
                    <w:top w:val="single" w:color="auto" w:sz="12"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方法来源</w:t>
                  </w:r>
                </w:p>
              </w:tc>
              <w:tc>
                <w:tcPr>
                  <w:tcW w:w="1139" w:type="dxa"/>
                  <w:tcBorders>
                    <w:top w:val="single" w:color="auto" w:sz="12"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探测限</w:t>
                  </w:r>
                </w:p>
              </w:tc>
              <w:tc>
                <w:tcPr>
                  <w:tcW w:w="2017" w:type="dxa"/>
                  <w:tcBorders>
                    <w:top w:val="single" w:color="auto" w:sz="12" w:space="0"/>
                    <w:left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4" w:hRule="atLeast"/>
              </w:trPr>
              <w:tc>
                <w:tcPr>
                  <w:tcW w:w="740" w:type="dxa"/>
                  <w:vMerge w:val="restart"/>
                  <w:tcBorders>
                    <w:top w:val="single" w:color="auto" w:sz="12" w:space="0"/>
                    <w:right w:val="single" w:color="auto" w:sz="4" w:space="0"/>
                  </w:tcBorders>
                  <w:noWrap w:val="0"/>
                  <w:vAlign w:val="center"/>
                </w:tcPr>
                <w:p>
                  <w:pPr>
                    <w:pStyle w:val="26"/>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w:t>
                  </w:r>
                  <w:r>
                    <w:rPr>
                      <w:rFonts w:hint="eastAsia" w:ascii="Times New Roman" w:hAnsi="Times New Roman" w:cs="Times New Roman"/>
                      <w:bCs/>
                      <w:color w:val="auto"/>
                      <w:sz w:val="21"/>
                      <w:szCs w:val="21"/>
                      <w:highlight w:val="none"/>
                      <w:lang w:val="en-US" w:eastAsia="zh-CN"/>
                    </w:rPr>
                    <w:t>X-</w:t>
                  </w:r>
                  <w:r>
                    <w:rPr>
                      <w:rFonts w:hint="default" w:ascii="Times New Roman" w:hAnsi="Times New Roman" w:cs="Times New Roman"/>
                      <w:bCs/>
                      <w:color w:val="auto"/>
                      <w:sz w:val="21"/>
                      <w:szCs w:val="21"/>
                      <w:highlight w:val="none"/>
                    </w:rPr>
                    <w:t>γ辐射剂量率</w:t>
                  </w:r>
                </w:p>
              </w:tc>
              <w:tc>
                <w:tcPr>
                  <w:tcW w:w="3252"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105" w:leftChars="-50" w:right="0"/>
                    <w:jc w:val="center"/>
                    <w:rPr>
                      <w:rFonts w:hint="eastAsia" w:ascii="Times New Roman" w:hAnsi="Times New Roman"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环境地表γ辐射剂量率测定规范</w:t>
                  </w:r>
                  <w:r>
                    <w:rPr>
                      <w:rFonts w:hint="eastAsia" w:ascii="Times New Roman" w:hAnsi="Times New Roman" w:cs="Times New Roman"/>
                      <w:bCs/>
                      <w:color w:val="auto"/>
                      <w:sz w:val="21"/>
                      <w:szCs w:val="21"/>
                      <w:highlight w:val="none"/>
                      <w:lang w:eastAsia="zh-CN"/>
                    </w:rPr>
                    <w:t>》</w:t>
                  </w:r>
                </w:p>
              </w:tc>
              <w:tc>
                <w:tcPr>
                  <w:tcW w:w="1749"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105" w:leftChars="-5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GB/T 14583-93</w:t>
                  </w:r>
                </w:p>
              </w:tc>
              <w:tc>
                <w:tcPr>
                  <w:tcW w:w="1139" w:type="dxa"/>
                  <w:vMerge w:val="restart"/>
                  <w:tcBorders>
                    <w:top w:val="single" w:color="auto" w:sz="12" w:space="0"/>
                    <w:left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1nSv/h</w:t>
                  </w:r>
                </w:p>
              </w:tc>
              <w:tc>
                <w:tcPr>
                  <w:tcW w:w="2017" w:type="dxa"/>
                  <w:vMerge w:val="restart"/>
                  <w:tcBorders>
                    <w:top w:val="single" w:color="auto" w:sz="12" w:space="0"/>
                    <w:left w:val="single" w:color="auto"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探测限为本次测量使用仪器的综合技术指标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3" w:hRule="atLeast"/>
              </w:trPr>
              <w:tc>
                <w:tcPr>
                  <w:tcW w:w="740" w:type="dxa"/>
                  <w:vMerge w:val="continue"/>
                  <w:tcBorders>
                    <w:bottom w:val="single" w:color="auto" w:sz="4" w:space="0"/>
                    <w:right w:val="single" w:color="auto" w:sz="4" w:space="0"/>
                  </w:tcBorders>
                  <w:noWrap w:val="0"/>
                  <w:vAlign w:val="center"/>
                </w:tcPr>
                <w:p>
                  <w:pPr>
                    <w:pStyle w:val="26"/>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21"/>
                      <w:szCs w:val="21"/>
                      <w:highlight w:val="none"/>
                    </w:rPr>
                  </w:pPr>
                </w:p>
              </w:tc>
              <w:tc>
                <w:tcPr>
                  <w:tcW w:w="3252" w:type="dxa"/>
                  <w:tcBorders>
                    <w:top w:val="single" w:color="auto" w:sz="12" w:space="0"/>
                    <w:left w:val="single" w:color="auto" w:sz="4" w:space="0"/>
                    <w:bottom w:val="single" w:color="auto" w:sz="4" w:space="0"/>
                    <w:right w:val="single" w:color="auto" w:sz="4" w:space="0"/>
                  </w:tcBorders>
                  <w:noWrap w:val="0"/>
                  <w:vAlign w:val="center"/>
                </w:tcPr>
                <w:p>
                  <w:pPr>
                    <w:pStyle w:val="2"/>
                    <w:keepNext w:val="0"/>
                    <w:keepLines w:val="0"/>
                    <w:suppressLineNumbers w:val="0"/>
                    <w:spacing w:before="0" w:beforeAutospacing="0" w:after="0" w:afterAutospacing="0"/>
                    <w:ind w:left="0" w:right="0"/>
                    <w:jc w:val="center"/>
                    <w:rPr>
                      <w:rFonts w:hint="eastAsia"/>
                      <w:color w:val="auto"/>
                      <w:kern w:val="2"/>
                      <w:sz w:val="21"/>
                      <w:szCs w:val="21"/>
                      <w:lang w:eastAsia="zh-CN"/>
                    </w:rPr>
                  </w:pPr>
                  <w:r>
                    <w:rPr>
                      <w:rFonts w:hint="eastAsia"/>
                      <w:color w:val="auto"/>
                      <w:kern w:val="2"/>
                      <w:sz w:val="21"/>
                      <w:szCs w:val="21"/>
                      <w:lang w:eastAsia="zh-CN"/>
                    </w:rPr>
                    <w:t>《</w:t>
                  </w:r>
                  <w:r>
                    <w:rPr>
                      <w:rFonts w:hint="eastAsia"/>
                      <w:color w:val="auto"/>
                      <w:kern w:val="2"/>
                      <w:sz w:val="21"/>
                      <w:szCs w:val="21"/>
                      <w:lang w:val="en-US" w:eastAsia="zh-CN"/>
                    </w:rPr>
                    <w:t>辐射环境监测技术规范</w:t>
                  </w:r>
                  <w:r>
                    <w:rPr>
                      <w:rFonts w:hint="eastAsia"/>
                      <w:color w:val="auto"/>
                      <w:kern w:val="2"/>
                      <w:sz w:val="21"/>
                      <w:szCs w:val="21"/>
                      <w:lang w:eastAsia="zh-CN"/>
                    </w:rPr>
                    <w:t>》</w:t>
                  </w:r>
                </w:p>
              </w:tc>
              <w:tc>
                <w:tcPr>
                  <w:tcW w:w="1749"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105" w:leftChars="-5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HJ/T61-2001</w:t>
                  </w:r>
                </w:p>
              </w:tc>
              <w:tc>
                <w:tcPr>
                  <w:tcW w:w="1139"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21"/>
                      <w:szCs w:val="21"/>
                      <w:highlight w:val="none"/>
                    </w:rPr>
                  </w:pPr>
                </w:p>
              </w:tc>
              <w:tc>
                <w:tcPr>
                  <w:tcW w:w="2017" w:type="dxa"/>
                  <w:vMerge w:val="continue"/>
                  <w:tcBorders>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74" w:hRule="atLeast"/>
              </w:trPr>
              <w:tc>
                <w:tcPr>
                  <w:tcW w:w="740" w:type="dxa"/>
                  <w:tcBorders>
                    <w:top w:val="single" w:color="auto" w:sz="4" w:space="0"/>
                    <w:bottom w:val="single" w:color="auto" w:sz="12"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中子剂量当量率</w:t>
                  </w:r>
                </w:p>
              </w:tc>
              <w:tc>
                <w:tcPr>
                  <w:tcW w:w="325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《辐射防护仪器中子周围剂量当量（率）仪》</w:t>
                  </w:r>
                </w:p>
              </w:tc>
              <w:tc>
                <w:tcPr>
                  <w:tcW w:w="1749"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GB/T14318-2019</w:t>
                  </w:r>
                </w:p>
              </w:tc>
              <w:tc>
                <w:tcPr>
                  <w:tcW w:w="1139"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0.01</w:t>
                  </w:r>
                  <w:r>
                    <w:rPr>
                      <w:rFonts w:hint="default" w:ascii="Times New Roman" w:hAnsi="Times New Roman" w:cs="Times New Roman"/>
                      <w:bCs/>
                      <w:color w:val="auto"/>
                      <w:sz w:val="21"/>
                      <w:szCs w:val="21"/>
                      <w:highlight w:val="none"/>
                    </w:rPr>
                    <w:t>μSv/h</w:t>
                  </w:r>
                </w:p>
              </w:tc>
              <w:tc>
                <w:tcPr>
                  <w:tcW w:w="2017" w:type="dxa"/>
                  <w:tcBorders>
                    <w:top w:val="single" w:color="auto" w:sz="4" w:space="0"/>
                    <w:left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探测限为本次测量使用仪器的综合技术指标</w:t>
                  </w:r>
                </w:p>
              </w:tc>
            </w:tr>
          </w:tbl>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Cs w:val="21"/>
                <w:highlight w:val="none"/>
              </w:rPr>
            </w:pPr>
            <w:r>
              <w:rPr>
                <w:rFonts w:hint="default" w:ascii="Times New Roman" w:hAnsi="Times New Roman" w:cs="Times New Roman"/>
                <w:bCs/>
                <w:color w:val="auto"/>
                <w:sz w:val="24"/>
                <w:highlight w:val="none"/>
              </w:rPr>
              <w:t xml:space="preserve">    监测使用仪器及环境条件见表8-2。</w:t>
            </w:r>
          </w:p>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表8-2  监测使用仪器</w:t>
            </w:r>
            <w:r>
              <w:rPr>
                <w:rFonts w:hint="eastAsia" w:ascii="Times New Roman" w:hAnsi="Times New Roman" w:cs="Times New Roman"/>
                <w:b/>
                <w:bCs/>
                <w:color w:val="auto"/>
                <w:sz w:val="21"/>
                <w:szCs w:val="21"/>
                <w:highlight w:val="none"/>
                <w:lang w:val="en-US" w:eastAsia="zh-CN"/>
              </w:rPr>
              <w:t>表</w:t>
            </w:r>
          </w:p>
          <w:tbl>
            <w:tblPr>
              <w:tblStyle w:val="17"/>
              <w:tblW w:w="899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89"/>
              <w:gridCol w:w="2106"/>
              <w:gridCol w:w="2359"/>
              <w:gridCol w:w="284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8" w:hRule="exact"/>
                <w:jc w:val="center"/>
              </w:trPr>
              <w:tc>
                <w:tcPr>
                  <w:tcW w:w="1689" w:type="dxa"/>
                  <w:vMerge w:val="restart"/>
                  <w:tcBorders>
                    <w:top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auto"/>
                      <w:sz w:val="21"/>
                      <w:szCs w:val="21"/>
                      <w:highlight w:val="none"/>
                    </w:rPr>
                  </w:pPr>
                  <w:bookmarkStart w:id="8" w:name="_Toc485996431"/>
                  <w:bookmarkStart w:id="9" w:name="_Toc22247"/>
                  <w:bookmarkStart w:id="10" w:name="_Toc5203"/>
                  <w:bookmarkStart w:id="11" w:name="_Toc6375"/>
                  <w:bookmarkStart w:id="12" w:name="_Toc26786"/>
                  <w:bookmarkStart w:id="13" w:name="_Toc11291"/>
                  <w:bookmarkStart w:id="14" w:name="_Toc15441"/>
                  <w:bookmarkStart w:id="15" w:name="_Toc5713"/>
                  <w:bookmarkStart w:id="16" w:name="_Toc32504"/>
                  <w:bookmarkStart w:id="17" w:name="_Toc375"/>
                  <w:r>
                    <w:rPr>
                      <w:rFonts w:hint="default" w:ascii="Times New Roman" w:hAnsi="Times New Roman" w:eastAsia="宋体" w:cs="Times New Roman"/>
                      <w:color w:val="auto"/>
                      <w:sz w:val="21"/>
                      <w:szCs w:val="21"/>
                      <w:highlight w:val="none"/>
                    </w:rPr>
                    <w:t>监测</w:t>
                  </w:r>
                  <w:bookmarkEnd w:id="8"/>
                  <w:bookmarkEnd w:id="9"/>
                  <w:bookmarkEnd w:id="10"/>
                  <w:bookmarkEnd w:id="11"/>
                  <w:bookmarkEnd w:id="12"/>
                  <w:bookmarkEnd w:id="13"/>
                  <w:bookmarkEnd w:id="14"/>
                  <w:bookmarkEnd w:id="15"/>
                  <w:bookmarkEnd w:id="16"/>
                  <w:bookmarkEnd w:id="17"/>
                </w:p>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auto"/>
                      <w:sz w:val="21"/>
                      <w:szCs w:val="21"/>
                      <w:highlight w:val="none"/>
                    </w:rPr>
                  </w:pPr>
                  <w:bookmarkStart w:id="18" w:name="_Toc15848"/>
                  <w:bookmarkStart w:id="19" w:name="_Toc14416"/>
                  <w:bookmarkStart w:id="20" w:name="_Toc24977"/>
                  <w:bookmarkStart w:id="21" w:name="_Toc31206"/>
                  <w:bookmarkStart w:id="22" w:name="_Toc8447"/>
                  <w:bookmarkStart w:id="23" w:name="_Toc485996432"/>
                  <w:bookmarkStart w:id="24" w:name="_Toc2167"/>
                  <w:bookmarkStart w:id="25" w:name="_Toc15585"/>
                  <w:bookmarkStart w:id="26" w:name="_Toc20397"/>
                  <w:bookmarkStart w:id="27" w:name="_Toc16186"/>
                  <w:r>
                    <w:rPr>
                      <w:rFonts w:hint="default" w:ascii="Times New Roman" w:hAnsi="Times New Roman" w:eastAsia="宋体" w:cs="Times New Roman"/>
                      <w:color w:val="auto"/>
                      <w:sz w:val="21"/>
                      <w:szCs w:val="21"/>
                      <w:highlight w:val="none"/>
                    </w:rPr>
                    <w:t>项目</w:t>
                  </w:r>
                  <w:bookmarkEnd w:id="18"/>
                  <w:bookmarkEnd w:id="19"/>
                  <w:bookmarkEnd w:id="20"/>
                  <w:bookmarkEnd w:id="21"/>
                  <w:bookmarkEnd w:id="22"/>
                  <w:bookmarkEnd w:id="23"/>
                  <w:bookmarkEnd w:id="24"/>
                  <w:bookmarkEnd w:id="25"/>
                  <w:bookmarkEnd w:id="26"/>
                  <w:bookmarkEnd w:id="27"/>
                </w:p>
              </w:tc>
              <w:tc>
                <w:tcPr>
                  <w:tcW w:w="7310" w:type="dxa"/>
                  <w:gridSpan w:val="3"/>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auto"/>
                      <w:sz w:val="21"/>
                      <w:szCs w:val="21"/>
                      <w:highlight w:val="none"/>
                    </w:rPr>
                  </w:pPr>
                  <w:bookmarkStart w:id="28" w:name="_Toc27227"/>
                  <w:bookmarkStart w:id="29" w:name="_Toc19832"/>
                  <w:bookmarkStart w:id="30" w:name="_Toc485996433"/>
                  <w:bookmarkStart w:id="31" w:name="_Toc18519"/>
                  <w:bookmarkStart w:id="32" w:name="_Toc382"/>
                  <w:bookmarkStart w:id="33" w:name="_Toc2295"/>
                  <w:bookmarkStart w:id="34" w:name="_Toc4048"/>
                  <w:bookmarkStart w:id="35" w:name="_Toc15174"/>
                  <w:bookmarkStart w:id="36" w:name="_Toc24491"/>
                  <w:bookmarkStart w:id="37" w:name="_Toc1484"/>
                  <w:r>
                    <w:rPr>
                      <w:rFonts w:hint="default" w:ascii="Times New Roman" w:hAnsi="Times New Roman" w:eastAsia="宋体" w:cs="Times New Roman"/>
                      <w:color w:val="auto"/>
                      <w:sz w:val="21"/>
                      <w:szCs w:val="21"/>
                      <w:highlight w:val="none"/>
                    </w:rPr>
                    <w:t>监测设备</w:t>
                  </w:r>
                  <w:bookmarkEnd w:id="28"/>
                  <w:bookmarkEnd w:id="29"/>
                  <w:bookmarkEnd w:id="30"/>
                  <w:bookmarkEnd w:id="31"/>
                  <w:bookmarkEnd w:id="32"/>
                  <w:bookmarkEnd w:id="33"/>
                  <w:bookmarkEnd w:id="34"/>
                  <w:bookmarkEnd w:id="35"/>
                  <w:bookmarkEnd w:id="36"/>
                  <w:bookmarkEnd w:id="37"/>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7" w:hRule="exact"/>
                <w:jc w:val="center"/>
              </w:trPr>
              <w:tc>
                <w:tcPr>
                  <w:tcW w:w="1689" w:type="dxa"/>
                  <w:vMerge w:val="continue"/>
                  <w:tcBorders>
                    <w:top w:val="single" w:color="auto" w:sz="4" w:space="0"/>
                    <w:bottom w:val="single" w:color="auto" w:sz="12"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106"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auto"/>
                      <w:sz w:val="21"/>
                      <w:szCs w:val="21"/>
                      <w:highlight w:val="none"/>
                    </w:rPr>
                  </w:pPr>
                  <w:bookmarkStart w:id="38" w:name="_Toc18419"/>
                  <w:bookmarkStart w:id="39" w:name="_Toc25695"/>
                  <w:bookmarkStart w:id="40" w:name="_Toc3221"/>
                  <w:bookmarkStart w:id="41" w:name="_Toc485996436"/>
                  <w:bookmarkStart w:id="42" w:name="_Toc24192"/>
                  <w:bookmarkStart w:id="43" w:name="_Toc2461"/>
                  <w:bookmarkStart w:id="44" w:name="_Toc1976"/>
                  <w:bookmarkStart w:id="45" w:name="_Toc4207"/>
                  <w:bookmarkStart w:id="46" w:name="_Toc32713"/>
                  <w:bookmarkStart w:id="47" w:name="_Toc14676"/>
                  <w:r>
                    <w:rPr>
                      <w:rFonts w:hint="default" w:ascii="Times New Roman" w:hAnsi="Times New Roman" w:eastAsia="宋体" w:cs="Times New Roman"/>
                      <w:color w:val="auto"/>
                      <w:sz w:val="21"/>
                      <w:szCs w:val="21"/>
                      <w:highlight w:val="none"/>
                    </w:rPr>
                    <w:t>名称及编号</w:t>
                  </w:r>
                  <w:bookmarkEnd w:id="38"/>
                  <w:bookmarkEnd w:id="39"/>
                  <w:bookmarkEnd w:id="40"/>
                  <w:bookmarkEnd w:id="41"/>
                  <w:bookmarkEnd w:id="42"/>
                  <w:bookmarkEnd w:id="43"/>
                  <w:bookmarkEnd w:id="44"/>
                  <w:bookmarkEnd w:id="45"/>
                  <w:bookmarkEnd w:id="46"/>
                  <w:bookmarkEnd w:id="47"/>
                </w:p>
              </w:tc>
              <w:tc>
                <w:tcPr>
                  <w:tcW w:w="2359"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auto"/>
                      <w:sz w:val="21"/>
                      <w:szCs w:val="21"/>
                      <w:highlight w:val="none"/>
                    </w:rPr>
                  </w:pPr>
                  <w:bookmarkStart w:id="48" w:name="_Toc21300"/>
                  <w:bookmarkStart w:id="49" w:name="_Toc3892"/>
                  <w:bookmarkStart w:id="50" w:name="_Toc19608"/>
                  <w:bookmarkStart w:id="51" w:name="_Toc6319"/>
                  <w:bookmarkStart w:id="52" w:name="_Toc8325"/>
                  <w:bookmarkStart w:id="53" w:name="_Toc28311"/>
                  <w:bookmarkStart w:id="54" w:name="_Toc18270"/>
                  <w:bookmarkStart w:id="55" w:name="_Toc22995"/>
                  <w:bookmarkStart w:id="56" w:name="_Toc23088"/>
                  <w:bookmarkStart w:id="57" w:name="_Toc485996437"/>
                  <w:r>
                    <w:rPr>
                      <w:rFonts w:hint="default" w:ascii="Times New Roman" w:hAnsi="Times New Roman" w:eastAsia="宋体" w:cs="Times New Roman"/>
                      <w:color w:val="auto"/>
                      <w:sz w:val="21"/>
                      <w:szCs w:val="21"/>
                      <w:highlight w:val="none"/>
                    </w:rPr>
                    <w:t>技术指标</w:t>
                  </w:r>
                  <w:bookmarkEnd w:id="48"/>
                  <w:bookmarkEnd w:id="49"/>
                  <w:bookmarkEnd w:id="50"/>
                  <w:bookmarkEnd w:id="51"/>
                  <w:bookmarkEnd w:id="52"/>
                  <w:bookmarkEnd w:id="53"/>
                  <w:bookmarkEnd w:id="54"/>
                  <w:bookmarkEnd w:id="55"/>
                  <w:bookmarkEnd w:id="56"/>
                  <w:bookmarkEnd w:id="57"/>
                </w:p>
              </w:tc>
              <w:tc>
                <w:tcPr>
                  <w:tcW w:w="284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auto"/>
                      <w:sz w:val="21"/>
                      <w:szCs w:val="21"/>
                      <w:highlight w:val="none"/>
                    </w:rPr>
                  </w:pPr>
                  <w:r>
                    <w:rPr>
                      <w:rFonts w:hint="eastAsia"/>
                      <w:color w:val="auto"/>
                      <w:lang w:eastAsia="zh-CN"/>
                    </w:rPr>
                    <w:t>校准</w:t>
                  </w:r>
                  <w:r>
                    <w:rPr>
                      <w:rFonts w:hint="eastAsia"/>
                      <w:color w:val="auto"/>
                      <w:lang w:val="en-US" w:eastAsia="zh-CN"/>
                    </w:rPr>
                    <w:t>/检定情况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89" w:hRule="exact"/>
                <w:jc w:val="center"/>
              </w:trPr>
              <w:tc>
                <w:tcPr>
                  <w:tcW w:w="1689" w:type="dxa"/>
                  <w:tcBorders>
                    <w:top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X-γ辐射剂量率</w:t>
                  </w:r>
                </w:p>
              </w:tc>
              <w:tc>
                <w:tcPr>
                  <w:tcW w:w="2106"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451P</w:t>
                  </w:r>
                  <w:r>
                    <w:rPr>
                      <w:rFonts w:hint="default" w:ascii="Times New Roman" w:hAnsi="Times New Roman" w:cs="Times New Roman"/>
                      <w:bCs/>
                      <w:color w:val="auto"/>
                      <w:szCs w:val="21"/>
                      <w:highlight w:val="none"/>
                    </w:rPr>
                    <w:t>型</w:t>
                  </w:r>
                  <w:r>
                    <w:rPr>
                      <w:rFonts w:hint="default" w:ascii="Times New Roman" w:hAnsi="Times New Roman" w:cs="Times New Roman"/>
                      <w:bCs/>
                      <w:color w:val="auto"/>
                      <w:szCs w:val="21"/>
                      <w:highlight w:val="none"/>
                      <w:lang w:val="en-US" w:eastAsia="zh-CN"/>
                    </w:rPr>
                    <w:t>加压电离室巡检仪</w:t>
                  </w:r>
                </w:p>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iCs/>
                      <w:color w:val="auto"/>
                      <w:sz w:val="21"/>
                      <w:szCs w:val="21"/>
                      <w:highlight w:val="none"/>
                    </w:rPr>
                  </w:pPr>
                  <w:r>
                    <w:rPr>
                      <w:rFonts w:hint="default" w:ascii="Times New Roman" w:hAnsi="Times New Roman" w:cs="Times New Roman"/>
                      <w:color w:val="auto"/>
                      <w:highlight w:val="none"/>
                    </w:rPr>
                    <w:t>编号：</w:t>
                  </w:r>
                  <w:r>
                    <w:rPr>
                      <w:rFonts w:hint="default" w:ascii="Times New Roman" w:hAnsi="Times New Roman" w:cs="Times New Roman"/>
                      <w:iCs/>
                      <w:color w:val="auto"/>
                      <w:szCs w:val="21"/>
                      <w:highlight w:val="none"/>
                    </w:rPr>
                    <w:t>YKJC/YQ-</w:t>
                  </w:r>
                  <w:r>
                    <w:rPr>
                      <w:rFonts w:hint="default" w:ascii="Times New Roman" w:hAnsi="Times New Roman" w:cs="Times New Roman"/>
                      <w:iCs/>
                      <w:color w:val="auto"/>
                      <w:szCs w:val="21"/>
                      <w:highlight w:val="none"/>
                      <w:lang w:val="en-US" w:eastAsia="zh-CN"/>
                    </w:rPr>
                    <w:t>34</w:t>
                  </w:r>
                </w:p>
              </w:tc>
              <w:tc>
                <w:tcPr>
                  <w:tcW w:w="2359"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0.01μSv/h~</w:t>
                  </w:r>
                  <w:r>
                    <w:rPr>
                      <w:rFonts w:hint="default" w:ascii="Times New Roman" w:hAnsi="Times New Roman" w:cs="Times New Roman"/>
                      <w:color w:val="auto"/>
                      <w:szCs w:val="21"/>
                      <w:highlight w:val="none"/>
                      <w:lang w:val="en-US" w:eastAsia="zh-CN"/>
                    </w:rPr>
                    <w:t>500m</w:t>
                  </w:r>
                  <w:r>
                    <w:rPr>
                      <w:rFonts w:hint="default" w:ascii="Times New Roman" w:hAnsi="Times New Roman" w:cs="Times New Roman"/>
                      <w:color w:val="auto"/>
                      <w:szCs w:val="21"/>
                      <w:highlight w:val="none"/>
                    </w:rPr>
                    <w:t>Sv/h</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iCs/>
                      <w:color w:val="auto"/>
                      <w:sz w:val="21"/>
                      <w:szCs w:val="21"/>
                      <w:highlight w:val="none"/>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0keV~</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.0MeV</w:t>
                  </w:r>
                </w:p>
              </w:tc>
              <w:tc>
                <w:tcPr>
                  <w:tcW w:w="284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iCs/>
                      <w:color w:val="auto"/>
                      <w:szCs w:val="21"/>
                      <w:highlight w:val="none"/>
                    </w:rPr>
                  </w:pPr>
                  <w:r>
                    <w:rPr>
                      <w:rFonts w:hint="default" w:ascii="Times New Roman" w:hAnsi="Times New Roman" w:cs="Times New Roman"/>
                      <w:iCs/>
                      <w:color w:val="auto"/>
                      <w:szCs w:val="21"/>
                      <w:highlight w:val="none"/>
                    </w:rPr>
                    <w:t>检定</w:t>
                  </w:r>
                  <w:r>
                    <w:rPr>
                      <w:rFonts w:hint="default" w:ascii="Times New Roman" w:hAnsi="Times New Roman" w:cs="Times New Roman"/>
                      <w:iCs/>
                      <w:color w:val="auto"/>
                      <w:szCs w:val="21"/>
                      <w:highlight w:val="none"/>
                      <w:lang w:val="en-US" w:eastAsia="zh-CN"/>
                    </w:rPr>
                    <w:t>/校准</w:t>
                  </w:r>
                  <w:r>
                    <w:rPr>
                      <w:rFonts w:hint="default" w:ascii="Times New Roman" w:hAnsi="Times New Roman" w:cs="Times New Roman"/>
                      <w:iCs/>
                      <w:color w:val="auto"/>
                      <w:szCs w:val="21"/>
                      <w:highlight w:val="none"/>
                    </w:rPr>
                    <w:t>单位：</w:t>
                  </w:r>
                </w:p>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iCs/>
                      <w:color w:val="auto"/>
                      <w:szCs w:val="21"/>
                      <w:highlight w:val="none"/>
                    </w:rPr>
                  </w:pPr>
                  <w:r>
                    <w:rPr>
                      <w:rFonts w:hint="default" w:ascii="Times New Roman" w:hAnsi="Times New Roman" w:cs="Times New Roman"/>
                      <w:iCs/>
                      <w:color w:val="auto"/>
                      <w:szCs w:val="21"/>
                      <w:highlight w:val="none"/>
                    </w:rPr>
                    <w:t>中国测试技术研究院</w:t>
                  </w:r>
                </w:p>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iCs/>
                      <w:color w:val="auto"/>
                      <w:szCs w:val="21"/>
                      <w:highlight w:val="none"/>
                    </w:rPr>
                  </w:pPr>
                  <w:r>
                    <w:rPr>
                      <w:rFonts w:hint="default" w:ascii="Times New Roman" w:hAnsi="Times New Roman" w:cs="Times New Roman"/>
                      <w:iCs/>
                      <w:color w:val="auto"/>
                      <w:szCs w:val="21"/>
                      <w:highlight w:val="none"/>
                    </w:rPr>
                    <w:t>检定</w:t>
                  </w:r>
                  <w:r>
                    <w:rPr>
                      <w:rFonts w:hint="default" w:ascii="Times New Roman" w:hAnsi="Times New Roman" w:cs="Times New Roman"/>
                      <w:iCs/>
                      <w:color w:val="auto"/>
                      <w:szCs w:val="21"/>
                      <w:highlight w:val="none"/>
                      <w:lang w:val="en-US" w:eastAsia="zh-CN"/>
                    </w:rPr>
                    <w:t>/校准</w:t>
                  </w:r>
                  <w:r>
                    <w:rPr>
                      <w:rFonts w:hint="default" w:ascii="Times New Roman" w:hAnsi="Times New Roman" w:cs="Times New Roman"/>
                      <w:iCs/>
                      <w:color w:val="auto"/>
                      <w:szCs w:val="21"/>
                      <w:highlight w:val="none"/>
                    </w:rPr>
                    <w:t>有效期：</w:t>
                  </w:r>
                </w:p>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cs="Times New Roman"/>
                      <w:iCs/>
                      <w:color w:val="auto"/>
                      <w:szCs w:val="21"/>
                      <w:highlight w:val="none"/>
                    </w:rPr>
                    <w:t>20</w:t>
                  </w:r>
                  <w:r>
                    <w:rPr>
                      <w:rFonts w:hint="default" w:ascii="Times New Roman" w:hAnsi="Times New Roman" w:cs="Times New Roman"/>
                      <w:iCs/>
                      <w:color w:val="auto"/>
                      <w:szCs w:val="21"/>
                      <w:highlight w:val="none"/>
                      <w:lang w:val="en-US" w:eastAsia="zh-CN"/>
                    </w:rPr>
                    <w:t>20</w:t>
                  </w:r>
                  <w:r>
                    <w:rPr>
                      <w:rFonts w:hint="default" w:ascii="Times New Roman" w:hAnsi="Times New Roman" w:cs="Times New Roman"/>
                      <w:iCs/>
                      <w:color w:val="auto"/>
                      <w:szCs w:val="21"/>
                      <w:highlight w:val="none"/>
                    </w:rPr>
                    <w:t>.</w:t>
                  </w:r>
                  <w:r>
                    <w:rPr>
                      <w:rFonts w:hint="default" w:ascii="Times New Roman" w:hAnsi="Times New Roman" w:cs="Times New Roman"/>
                      <w:iCs/>
                      <w:color w:val="auto"/>
                      <w:szCs w:val="21"/>
                      <w:highlight w:val="none"/>
                      <w:lang w:val="en-US" w:eastAsia="zh-CN"/>
                    </w:rPr>
                    <w:t>07</w:t>
                  </w:r>
                  <w:r>
                    <w:rPr>
                      <w:rFonts w:hint="default" w:ascii="Times New Roman" w:hAnsi="Times New Roman" w:cs="Times New Roman"/>
                      <w:iCs/>
                      <w:color w:val="auto"/>
                      <w:szCs w:val="21"/>
                      <w:highlight w:val="none"/>
                    </w:rPr>
                    <w:t>.</w:t>
                  </w:r>
                  <w:r>
                    <w:rPr>
                      <w:rFonts w:hint="default" w:ascii="Times New Roman" w:hAnsi="Times New Roman" w:cs="Times New Roman"/>
                      <w:iCs/>
                      <w:color w:val="auto"/>
                      <w:szCs w:val="21"/>
                      <w:highlight w:val="none"/>
                      <w:lang w:val="en-US" w:eastAsia="zh-CN"/>
                    </w:rPr>
                    <w:t>19</w:t>
                  </w:r>
                  <w:r>
                    <w:rPr>
                      <w:rFonts w:hint="default" w:ascii="Times New Roman" w:hAnsi="Times New Roman" w:cs="Times New Roman"/>
                      <w:iCs/>
                      <w:color w:val="auto"/>
                      <w:szCs w:val="21"/>
                      <w:highlight w:val="none"/>
                    </w:rPr>
                    <w:t>至20</w:t>
                  </w:r>
                  <w:r>
                    <w:rPr>
                      <w:rFonts w:hint="default" w:ascii="Times New Roman" w:hAnsi="Times New Roman" w:cs="Times New Roman"/>
                      <w:iCs/>
                      <w:color w:val="auto"/>
                      <w:szCs w:val="21"/>
                      <w:highlight w:val="none"/>
                      <w:lang w:val="en-US" w:eastAsia="zh-CN"/>
                    </w:rPr>
                    <w:t>21</w:t>
                  </w:r>
                  <w:r>
                    <w:rPr>
                      <w:rFonts w:hint="default" w:ascii="Times New Roman" w:hAnsi="Times New Roman" w:cs="Times New Roman"/>
                      <w:iCs/>
                      <w:color w:val="auto"/>
                      <w:szCs w:val="21"/>
                      <w:highlight w:val="none"/>
                    </w:rPr>
                    <w:t>.0</w:t>
                  </w:r>
                  <w:r>
                    <w:rPr>
                      <w:rFonts w:hint="default" w:ascii="Times New Roman" w:hAnsi="Times New Roman" w:cs="Times New Roman"/>
                      <w:iCs/>
                      <w:color w:val="auto"/>
                      <w:szCs w:val="21"/>
                      <w:highlight w:val="none"/>
                      <w:lang w:val="en-US" w:eastAsia="zh-CN"/>
                    </w:rPr>
                    <w:t>7</w:t>
                  </w:r>
                  <w:r>
                    <w:rPr>
                      <w:rFonts w:hint="default" w:ascii="Times New Roman" w:hAnsi="Times New Roman" w:cs="Times New Roman"/>
                      <w:iCs/>
                      <w:color w:val="auto"/>
                      <w:szCs w:val="21"/>
                      <w:highlight w:val="none"/>
                    </w:rPr>
                    <w:t>.</w:t>
                  </w:r>
                  <w:r>
                    <w:rPr>
                      <w:rFonts w:hint="default" w:ascii="Times New Roman" w:hAnsi="Times New Roman" w:cs="Times New Roman"/>
                      <w:iCs/>
                      <w:color w:val="auto"/>
                      <w:szCs w:val="21"/>
                      <w:highlight w:val="none"/>
                      <w:lang w:val="en-US" w:eastAsia="zh-CN"/>
                    </w:rPr>
                    <w:t>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58" w:hRule="exact"/>
                <w:jc w:val="center"/>
              </w:trPr>
              <w:tc>
                <w:tcPr>
                  <w:tcW w:w="1689" w:type="dxa"/>
                  <w:tcBorders>
                    <w:top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中子剂量当量率</w:t>
                  </w:r>
                </w:p>
              </w:tc>
              <w:tc>
                <w:tcPr>
                  <w:tcW w:w="2106"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中子剂量率仪</w:t>
                  </w:r>
                </w:p>
                <w:p>
                  <w:pPr>
                    <w:pStyle w:val="2"/>
                    <w:keepNext w:val="0"/>
                    <w:keepLines w:val="0"/>
                    <w:suppressLineNumbers w:val="0"/>
                    <w:spacing w:before="0" w:beforeAutospacing="0" w:after="0" w:afterAutospacing="0"/>
                    <w:ind w:left="0" w:right="0"/>
                    <w:jc w:val="center"/>
                    <w:rPr>
                      <w:rFonts w:hint="default"/>
                      <w:color w:val="auto"/>
                      <w:kern w:val="2"/>
                      <w:sz w:val="21"/>
                      <w:szCs w:val="21"/>
                      <w:lang w:val="en-US" w:eastAsia="zh-CN"/>
                    </w:rPr>
                  </w:pPr>
                  <w:r>
                    <w:rPr>
                      <w:rFonts w:hint="eastAsia" w:ascii="Times New Roman" w:hAnsi="Times New Roman" w:cs="Times New Roman"/>
                      <w:color w:val="auto"/>
                      <w:kern w:val="2"/>
                      <w:sz w:val="21"/>
                      <w:szCs w:val="21"/>
                      <w:highlight w:val="none"/>
                      <w:lang w:val="en-US" w:eastAsia="zh-CN"/>
                    </w:rPr>
                    <w:t>编号：H0053</w:t>
                  </w:r>
                </w:p>
              </w:tc>
              <w:tc>
                <w:tcPr>
                  <w:tcW w:w="2359"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0.01μSv/h~</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00m</w:t>
                  </w:r>
                  <w:r>
                    <w:rPr>
                      <w:rFonts w:hint="default" w:ascii="Times New Roman" w:hAnsi="Times New Roman" w:cs="Times New Roman"/>
                      <w:color w:val="auto"/>
                      <w:szCs w:val="21"/>
                      <w:highlight w:val="none"/>
                    </w:rPr>
                    <w:t>Sv/h</w:t>
                  </w:r>
                </w:p>
              </w:tc>
              <w:tc>
                <w:tcPr>
                  <w:tcW w:w="284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iCs/>
                      <w:color w:val="auto"/>
                      <w:szCs w:val="21"/>
                    </w:rPr>
                  </w:pPr>
                  <w:r>
                    <w:rPr>
                      <w:rFonts w:hint="default" w:ascii="Times New Roman" w:hAnsi="Times New Roman" w:cs="Times New Roman"/>
                      <w:iCs/>
                      <w:color w:val="auto"/>
                      <w:szCs w:val="21"/>
                    </w:rPr>
                    <w:t>检定/校准单位：</w:t>
                  </w:r>
                </w:p>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iCs/>
                      <w:color w:val="auto"/>
                      <w:szCs w:val="21"/>
                    </w:rPr>
                  </w:pPr>
                  <w:r>
                    <w:rPr>
                      <w:rFonts w:hint="default" w:ascii="Times New Roman" w:hAnsi="Times New Roman" w:cs="Times New Roman"/>
                      <w:iCs/>
                      <w:color w:val="auto"/>
                      <w:szCs w:val="21"/>
                    </w:rPr>
                    <w:t>中国测试技术研究院</w:t>
                  </w:r>
                </w:p>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iCs/>
                      <w:color w:val="auto"/>
                      <w:szCs w:val="21"/>
                    </w:rPr>
                  </w:pPr>
                  <w:r>
                    <w:rPr>
                      <w:rFonts w:hint="default" w:ascii="Times New Roman" w:hAnsi="Times New Roman" w:cs="Times New Roman"/>
                      <w:iCs/>
                      <w:color w:val="auto"/>
                      <w:szCs w:val="21"/>
                    </w:rPr>
                    <w:t>检定/校准有效期至：</w:t>
                  </w:r>
                </w:p>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iCs/>
                      <w:color w:val="auto"/>
                      <w:szCs w:val="21"/>
                      <w:highlight w:val="none"/>
                      <w:lang w:val="en-US" w:eastAsia="zh-CN"/>
                    </w:rPr>
                  </w:pPr>
                  <w:r>
                    <w:rPr>
                      <w:rFonts w:hint="default" w:ascii="Times New Roman" w:hAnsi="Times New Roman" w:cs="Times New Roman"/>
                      <w:iCs/>
                      <w:color w:val="auto"/>
                      <w:szCs w:val="21"/>
                    </w:rPr>
                    <w:t>2020.0</w:t>
                  </w:r>
                  <w:r>
                    <w:rPr>
                      <w:rFonts w:hint="eastAsia" w:ascii="Times New Roman" w:hAnsi="Times New Roman" w:cs="Times New Roman"/>
                      <w:iCs/>
                      <w:color w:val="auto"/>
                      <w:szCs w:val="21"/>
                      <w:lang w:val="en-US" w:eastAsia="zh-CN"/>
                    </w:rPr>
                    <w:t>5</w:t>
                  </w:r>
                  <w:r>
                    <w:rPr>
                      <w:rFonts w:hint="default" w:ascii="Times New Roman" w:hAnsi="Times New Roman" w:cs="Times New Roman"/>
                      <w:iCs/>
                      <w:color w:val="auto"/>
                      <w:szCs w:val="21"/>
                    </w:rPr>
                    <w:t>.2</w:t>
                  </w:r>
                  <w:r>
                    <w:rPr>
                      <w:rFonts w:hint="eastAsia" w:ascii="Times New Roman" w:hAnsi="Times New Roman" w:cs="Times New Roman"/>
                      <w:iCs/>
                      <w:color w:val="auto"/>
                      <w:szCs w:val="21"/>
                      <w:lang w:val="en-US" w:eastAsia="zh-CN"/>
                    </w:rPr>
                    <w:t>9</w:t>
                  </w:r>
                  <w:r>
                    <w:rPr>
                      <w:rFonts w:hint="default" w:ascii="Times New Roman" w:hAnsi="Times New Roman" w:cs="Times New Roman"/>
                      <w:iCs/>
                      <w:color w:val="auto"/>
                      <w:szCs w:val="21"/>
                    </w:rPr>
                    <w:t>~2021.0</w:t>
                  </w:r>
                  <w:r>
                    <w:rPr>
                      <w:rFonts w:hint="eastAsia" w:ascii="Times New Roman" w:hAnsi="Times New Roman" w:cs="Times New Roman"/>
                      <w:iCs/>
                      <w:color w:val="auto"/>
                      <w:szCs w:val="21"/>
                      <w:lang w:val="en-US" w:eastAsia="zh-CN"/>
                    </w:rPr>
                    <w:t>5</w:t>
                  </w:r>
                  <w:r>
                    <w:rPr>
                      <w:rFonts w:hint="default" w:ascii="Times New Roman" w:hAnsi="Times New Roman" w:cs="Times New Roman"/>
                      <w:iCs/>
                      <w:color w:val="auto"/>
                      <w:szCs w:val="21"/>
                    </w:rPr>
                    <w:t>.</w:t>
                  </w:r>
                  <w:r>
                    <w:rPr>
                      <w:rFonts w:hint="eastAsia" w:ascii="Times New Roman" w:hAnsi="Times New Roman" w:cs="Times New Roman"/>
                      <w:iCs/>
                      <w:color w:val="auto"/>
                      <w:szCs w:val="21"/>
                      <w:lang w:val="en-US" w:eastAsia="zh-CN"/>
                    </w:rPr>
                    <w:t>28</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三、质量保证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本项目环境现状监测单位四川省</w:t>
            </w:r>
            <w:r>
              <w:rPr>
                <w:rFonts w:hint="default" w:ascii="Times New Roman" w:hAnsi="Times New Roman" w:cs="Times New Roman"/>
                <w:color w:val="auto"/>
                <w:sz w:val="24"/>
                <w:highlight w:val="none"/>
                <w:lang w:eastAsia="zh-CN"/>
              </w:rPr>
              <w:t>永坤</w:t>
            </w:r>
            <w:r>
              <w:rPr>
                <w:rFonts w:hint="default" w:ascii="Times New Roman" w:hAnsi="Times New Roman" w:cs="Times New Roman"/>
                <w:color w:val="auto"/>
                <w:sz w:val="24"/>
                <w:highlight w:val="none"/>
              </w:rPr>
              <w:t>环境监测有限公司，通过了计量认证，具备完整、有效的质量控制体系。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四川省</w:t>
            </w:r>
            <w:r>
              <w:rPr>
                <w:rFonts w:hint="default" w:ascii="Times New Roman" w:hAnsi="Times New Roman" w:cs="Times New Roman"/>
                <w:color w:val="auto"/>
                <w:sz w:val="24"/>
                <w:highlight w:val="none"/>
                <w:lang w:eastAsia="zh-CN"/>
              </w:rPr>
              <w:t>永坤</w:t>
            </w:r>
            <w:r>
              <w:rPr>
                <w:rFonts w:hint="default" w:ascii="Times New Roman" w:hAnsi="Times New Roman" w:cs="Times New Roman"/>
                <w:color w:val="auto"/>
                <w:sz w:val="24"/>
                <w:highlight w:val="none"/>
              </w:rPr>
              <w:t>环境监测有限公司质量管理体系：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计量认证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从事监测的单位四川省</w:t>
            </w:r>
            <w:r>
              <w:rPr>
                <w:rFonts w:hint="default" w:ascii="Times New Roman" w:hAnsi="Times New Roman" w:cs="Times New Roman"/>
                <w:color w:val="auto"/>
                <w:sz w:val="24"/>
                <w:highlight w:val="none"/>
                <w:lang w:eastAsia="zh-CN"/>
              </w:rPr>
              <w:t>永坤</w:t>
            </w:r>
            <w:r>
              <w:rPr>
                <w:rFonts w:hint="default" w:ascii="Times New Roman" w:hAnsi="Times New Roman" w:cs="Times New Roman"/>
                <w:color w:val="auto"/>
                <w:sz w:val="24"/>
                <w:highlight w:val="none"/>
              </w:rPr>
              <w:t>环境监测有限公司通过了</w:t>
            </w:r>
            <w:r>
              <w:rPr>
                <w:rFonts w:hint="default" w:ascii="Times New Roman" w:hAnsi="Times New Roman" w:cs="Times New Roman"/>
                <w:color w:val="auto"/>
                <w:sz w:val="24"/>
                <w:highlight w:val="none"/>
                <w:lang w:eastAsia="zh-CN"/>
              </w:rPr>
              <w:t>原</w:t>
            </w:r>
            <w:r>
              <w:rPr>
                <w:rFonts w:hint="default" w:ascii="Times New Roman" w:hAnsi="Times New Roman" w:cs="Times New Roman"/>
                <w:bCs/>
                <w:color w:val="auto"/>
                <w:sz w:val="24"/>
                <w:highlight w:val="none"/>
              </w:rPr>
              <w:t>四川省质量技术监督局的计量认证（计量认证号：</w:t>
            </w:r>
            <w:r>
              <w:rPr>
                <w:rFonts w:hint="default" w:ascii="Times New Roman" w:hAnsi="Times New Roman" w:cs="Times New Roman"/>
                <w:bCs/>
                <w:color w:val="auto"/>
                <w:sz w:val="24"/>
                <w:highlight w:val="none"/>
                <w:lang w:val="en-US" w:eastAsia="zh-CN"/>
              </w:rPr>
              <w:t>182312050067</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有效期至2024年1月28日。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（2）</w:t>
            </w:r>
            <w:r>
              <w:rPr>
                <w:rFonts w:hint="default" w:ascii="Times New Roman" w:hAnsi="Times New Roman" w:cs="Times New Roman"/>
                <w:color w:val="auto"/>
                <w:sz w:val="24"/>
                <w:highlight w:val="none"/>
              </w:rPr>
              <w:t>仪器设备管理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①</w:t>
            </w:r>
            <w:r>
              <w:rPr>
                <w:rFonts w:hint="default" w:ascii="Times New Roman" w:hAnsi="Times New Roman" w:cs="Times New Roman"/>
                <w:color w:val="auto"/>
                <w:sz w:val="24"/>
                <w:highlight w:val="none"/>
              </w:rPr>
              <w:t>管理与标准化；</w:t>
            </w:r>
            <w:r>
              <w:rPr>
                <w:rFonts w:hint="default" w:ascii="Times New Roman" w:hAnsi="Times New Roman" w:eastAsia="宋体" w:cs="Times New Roman"/>
                <w:color w:val="auto"/>
                <w:sz w:val="24"/>
                <w:highlight w:val="none"/>
              </w:rPr>
              <w:t>②</w:t>
            </w:r>
            <w:r>
              <w:rPr>
                <w:rFonts w:hint="default" w:ascii="Times New Roman" w:hAnsi="Times New Roman" w:cs="Times New Roman"/>
                <w:color w:val="auto"/>
                <w:sz w:val="24"/>
                <w:highlight w:val="none"/>
              </w:rPr>
              <w:t>计量器具的标准化；</w:t>
            </w:r>
            <w:r>
              <w:rPr>
                <w:rFonts w:hint="default" w:ascii="Times New Roman" w:hAnsi="Times New Roman" w:eastAsia="宋体" w:cs="Times New Roman"/>
                <w:color w:val="auto"/>
                <w:sz w:val="24"/>
                <w:highlight w:val="none"/>
              </w:rPr>
              <w:t>③</w:t>
            </w:r>
            <w:r>
              <w:rPr>
                <w:rFonts w:hint="default" w:ascii="Times New Roman" w:hAnsi="Times New Roman" w:cs="Times New Roman"/>
                <w:color w:val="auto"/>
                <w:sz w:val="24"/>
                <w:highlight w:val="none"/>
              </w:rPr>
              <w:t>计量器具、仪器设备的检定。</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（3）记录与报告</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①</w:t>
            </w:r>
            <w:r>
              <w:rPr>
                <w:rFonts w:hint="default" w:ascii="Times New Roman" w:hAnsi="Times New Roman" w:cs="Times New Roman"/>
                <w:color w:val="auto"/>
                <w:sz w:val="24"/>
                <w:highlight w:val="none"/>
              </w:rPr>
              <w:t>数据记录制度；</w:t>
            </w:r>
            <w:r>
              <w:rPr>
                <w:rFonts w:hint="default" w:ascii="Times New Roman" w:hAnsi="Times New Roman" w:eastAsia="宋体" w:cs="Times New Roman"/>
                <w:color w:val="auto"/>
                <w:sz w:val="24"/>
                <w:highlight w:val="none"/>
              </w:rPr>
              <w:t>②</w:t>
            </w:r>
            <w:r>
              <w:rPr>
                <w:rFonts w:hint="default" w:ascii="Times New Roman" w:hAnsi="Times New Roman" w:cs="Times New Roman"/>
                <w:color w:val="auto"/>
                <w:sz w:val="24"/>
                <w:highlight w:val="none"/>
              </w:rPr>
              <w:t>报告质量控制。</w:t>
            </w:r>
            <w:r>
              <w:rPr>
                <w:rFonts w:hint="default" w:ascii="Times New Roman" w:hAnsi="Times New Roman" w:cs="Times New Roman"/>
                <w:color w:val="auto"/>
                <w:sz w:val="24"/>
                <w:highlight w:val="none"/>
                <w:lang w:eastAsia="zh-CN"/>
              </w:rPr>
              <w:t>监测人员均经具有相应资质的部门培训，考核合格持证上岗。</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四、环境现状监测与评价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监测所用仪器已由计量部门年检，且在有效期内；测量方法按国家相关标准实施；测量不确定度符合统计学要求；布点合理、人员合格、结果可信，能够反映出辐射工作场所的客观辐射水平，可以作为本次评价的科学依据。</w:t>
            </w:r>
            <w:r>
              <w:rPr>
                <w:rFonts w:hint="eastAsia" w:ascii="Times New Roman" w:hAnsi="Times New Roman" w:cs="Times New Roman"/>
                <w:color w:val="auto"/>
                <w:sz w:val="24"/>
                <w:highlight w:val="none"/>
                <w:lang w:val="en-US" w:eastAsia="zh-CN"/>
              </w:rPr>
              <w:t>具体监测结果如下：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黑体" w:cs="Times New Roman"/>
                <w:b/>
                <w:bCs/>
                <w:color w:val="auto"/>
                <w:sz w:val="21"/>
                <w:szCs w:val="21"/>
                <w:highlight w:val="none"/>
              </w:rPr>
            </w:pPr>
            <w:r>
              <w:rPr>
                <w:rFonts w:hint="default" w:ascii="Times New Roman" w:hAnsi="Times New Roman" w:eastAsia="黑体" w:cs="Times New Roman"/>
                <w:color w:val="auto"/>
                <w:sz w:val="24"/>
                <w:szCs w:val="24"/>
              </w:rPr>
              <w:t>（1）X-γ辐射剂量率监测结果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rPr>
            </w:pPr>
            <w:r>
              <w:rPr>
                <w:rFonts w:hint="eastAsia" w:ascii="Times New Roman" w:hAnsi="Times New Roman"/>
                <w:bCs/>
                <w:color w:val="auto"/>
                <w:sz w:val="24"/>
                <w:szCs w:val="24"/>
                <w:lang w:val="en-US" w:eastAsia="zh-CN"/>
              </w:rPr>
              <w:t>根据本项目平面布置和外环境关系，为了解放疗中心加速器、后装机所在区域的背景值，本次选择在在建门急诊住院综合楼配套工程（三期）负三层</w:t>
            </w:r>
            <w:r>
              <w:rPr>
                <w:rFonts w:hint="default" w:ascii="Times New Roman" w:hAnsi="Times New Roman" w:cs="Times New Roman"/>
                <w:color w:val="auto"/>
                <w:sz w:val="24"/>
                <w:szCs w:val="24"/>
                <w:highlight w:val="none"/>
                <w:lang w:val="en-US" w:eastAsia="zh-CN"/>
              </w:rPr>
              <w:t>放疗中心</w:t>
            </w:r>
            <w:r>
              <w:rPr>
                <w:rFonts w:hint="eastAsia" w:ascii="Times New Roman" w:hAnsi="Times New Roman"/>
                <w:bCs/>
                <w:color w:val="auto"/>
                <w:sz w:val="24"/>
                <w:szCs w:val="24"/>
                <w:lang w:val="en-US" w:eastAsia="zh-CN"/>
              </w:rPr>
              <w:t>1#、2#、3#加速器治疗室、后装治疗室、上方地面</w:t>
            </w:r>
            <w:r>
              <w:rPr>
                <w:rFonts w:hint="eastAsia" w:ascii="Times New Roman" w:hAnsi="Times New Roman" w:cs="Times New Roman"/>
                <w:color w:val="auto"/>
                <w:sz w:val="24"/>
                <w:szCs w:val="24"/>
                <w:highlight w:val="none"/>
                <w:lang w:val="en-US" w:eastAsia="zh-CN"/>
              </w:rPr>
              <w:t xml:space="preserve">布设了1~4 </w:t>
            </w:r>
            <w:r>
              <w:rPr>
                <w:rFonts w:hint="default" w:ascii="Times New Roman" w:hAnsi="Times New Roman"/>
                <w:bCs/>
                <w:color w:val="auto"/>
                <w:sz w:val="24"/>
                <w:szCs w:val="24"/>
              </w:rPr>
              <w:t>X-γ</w:t>
            </w:r>
            <w:r>
              <w:rPr>
                <w:rFonts w:hint="eastAsia" w:ascii="Times New Roman" w:hAnsi="Times New Roman"/>
                <w:bCs/>
                <w:color w:val="auto"/>
                <w:sz w:val="24"/>
                <w:szCs w:val="24"/>
              </w:rPr>
              <w:t>辐射</w:t>
            </w:r>
            <w:r>
              <w:rPr>
                <w:rFonts w:hint="default" w:ascii="Times New Roman" w:hAnsi="Times New Roman"/>
                <w:bCs/>
                <w:color w:val="auto"/>
                <w:sz w:val="24"/>
                <w:szCs w:val="24"/>
              </w:rPr>
              <w:t>剂量率</w:t>
            </w:r>
            <w:r>
              <w:rPr>
                <w:rFonts w:hint="eastAsia" w:ascii="Times New Roman" w:hAnsi="Times New Roman"/>
                <w:bCs/>
                <w:color w:val="auto"/>
                <w:sz w:val="24"/>
                <w:szCs w:val="24"/>
              </w:rPr>
              <w:t>监测点位</w:t>
            </w:r>
            <w:r>
              <w:rPr>
                <w:rFonts w:hint="eastAsia" w:ascii="Times New Roman" w:hAnsi="Times New Roman"/>
                <w:bCs/>
                <w:color w:val="auto"/>
                <w:sz w:val="24"/>
                <w:szCs w:val="24"/>
                <w:lang w:eastAsia="zh-CN"/>
              </w:rPr>
              <w:t>，</w:t>
            </w:r>
            <w:r>
              <w:rPr>
                <w:rFonts w:hint="eastAsia" w:ascii="Times New Roman" w:hAnsi="Times New Roman"/>
                <w:bCs/>
                <w:color w:val="auto"/>
                <w:sz w:val="24"/>
                <w:szCs w:val="24"/>
                <w:lang w:val="en-US" w:eastAsia="zh-CN"/>
              </w:rPr>
              <w:t>以上监测点位能较好反映项目场所处的辐射环境现状，其监测点位布设合理。</w:t>
            </w:r>
            <w:r>
              <w:rPr>
                <w:rFonts w:hint="default" w:ascii="Times New Roman" w:hAnsi="Times New Roman"/>
                <w:bCs/>
                <w:color w:val="auto"/>
                <w:sz w:val="24"/>
                <w:szCs w:val="24"/>
              </w:rPr>
              <w:t>X-γ</w:t>
            </w:r>
            <w:r>
              <w:rPr>
                <w:rFonts w:hint="eastAsia" w:ascii="Times New Roman" w:hAnsi="Times New Roman"/>
                <w:bCs/>
                <w:color w:val="auto"/>
                <w:sz w:val="24"/>
                <w:szCs w:val="24"/>
              </w:rPr>
              <w:t>辐射</w:t>
            </w:r>
            <w:r>
              <w:rPr>
                <w:rFonts w:hint="default" w:ascii="Times New Roman" w:hAnsi="Times New Roman"/>
                <w:bCs/>
                <w:color w:val="auto"/>
                <w:sz w:val="24"/>
                <w:szCs w:val="24"/>
              </w:rPr>
              <w:t>剂量率具体监测点位布设见表8-</w:t>
            </w:r>
            <w:r>
              <w:rPr>
                <w:rFonts w:hint="eastAsia" w:ascii="Times New Roman" w:hAnsi="Times New Roman"/>
                <w:bCs/>
                <w:color w:val="auto"/>
                <w:sz w:val="24"/>
                <w:szCs w:val="24"/>
                <w:lang w:val="en-US" w:eastAsia="zh-CN"/>
              </w:rPr>
              <w:t>3</w:t>
            </w:r>
            <w:r>
              <w:rPr>
                <w:rFonts w:hint="default" w:ascii="Times New Roman" w:hAnsi="Times New Roman"/>
                <w:bCs/>
                <w:color w:val="auto"/>
                <w:sz w:val="24"/>
                <w:szCs w:val="24"/>
              </w:rPr>
              <w:t>。</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表8-3　拟建辐射工作场所及周围环境γ辐射剂量率 </w:t>
            </w:r>
            <w:r>
              <w:rPr>
                <w:rFonts w:hint="default" w:ascii="Times New Roman" w:hAnsi="Times New Roman" w:cs="Times New Roman"/>
                <w:b/>
                <w:bCs/>
                <w:color w:val="auto"/>
                <w:sz w:val="21"/>
                <w:szCs w:val="21"/>
                <w:highlight w:val="none"/>
              </w:rPr>
              <w:t xml:space="preserve">   单位：μSv/h</w:t>
            </w:r>
          </w:p>
          <w:tbl>
            <w:tblPr>
              <w:tblStyle w:val="17"/>
              <w:tblW w:w="899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545"/>
              <w:gridCol w:w="989"/>
              <w:gridCol w:w="1061"/>
              <w:gridCol w:w="4948"/>
              <w:gridCol w:w="145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5" w:hRule="atLeast"/>
                <w:jc w:val="center"/>
              </w:trPr>
              <w:tc>
                <w:tcPr>
                  <w:tcW w:w="545" w:type="dxa"/>
                  <w:vMerge w:val="restart"/>
                  <w:tcBorders>
                    <w:top w:val="single" w:color="auto" w:sz="12"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bookmarkStart w:id="58" w:name="_Toc485996440"/>
                  <w:r>
                    <w:rPr>
                      <w:rFonts w:hint="default" w:ascii="Times New Roman" w:hAnsi="Times New Roman" w:cs="Times New Roman"/>
                      <w:bCs/>
                      <w:color w:val="auto"/>
                      <w:sz w:val="21"/>
                      <w:szCs w:val="21"/>
                      <w:highlight w:val="none"/>
                    </w:rPr>
                    <w:t>编号</w:t>
                  </w:r>
                  <w:bookmarkEnd w:id="58"/>
                </w:p>
              </w:tc>
              <w:tc>
                <w:tcPr>
                  <w:tcW w:w="2050" w:type="dxa"/>
                  <w:gridSpan w:val="2"/>
                  <w:tcBorders>
                    <w:top w:val="single" w:color="auto" w:sz="12"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bookmarkStart w:id="59" w:name="_Toc485996442"/>
                  <w:r>
                    <w:rPr>
                      <w:rFonts w:hint="default" w:ascii="Times New Roman" w:hAnsi="Times New Roman" w:cs="Times New Roman"/>
                      <w:bCs/>
                      <w:color w:val="auto"/>
                      <w:sz w:val="21"/>
                      <w:szCs w:val="21"/>
                      <w:highlight w:val="none"/>
                    </w:rPr>
                    <w:t>γ辐射剂量率</w:t>
                  </w:r>
                  <w:bookmarkEnd w:id="59"/>
                </w:p>
              </w:tc>
              <w:tc>
                <w:tcPr>
                  <w:tcW w:w="4948" w:type="dxa"/>
                  <w:vMerge w:val="restart"/>
                  <w:tcBorders>
                    <w:top w:val="single" w:color="auto" w:sz="12" w:space="0"/>
                    <w:lef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bookmarkStart w:id="60" w:name="_Toc485996443"/>
                  <w:r>
                    <w:rPr>
                      <w:rFonts w:hint="default" w:ascii="Times New Roman" w:hAnsi="Times New Roman" w:cs="Times New Roman"/>
                      <w:bCs/>
                      <w:color w:val="auto"/>
                      <w:sz w:val="21"/>
                      <w:szCs w:val="21"/>
                      <w:highlight w:val="none"/>
                    </w:rPr>
                    <w:t>监测位置</w:t>
                  </w:r>
                  <w:bookmarkEnd w:id="60"/>
                </w:p>
              </w:tc>
              <w:tc>
                <w:tcPr>
                  <w:tcW w:w="1454" w:type="dxa"/>
                  <w:vMerge w:val="restart"/>
                  <w:tcBorders>
                    <w:top w:val="single" w:color="auto" w:sz="12" w:space="0"/>
                    <w:lef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8" w:hRule="atLeast"/>
                <w:jc w:val="center"/>
              </w:trPr>
              <w:tc>
                <w:tcPr>
                  <w:tcW w:w="545" w:type="dxa"/>
                  <w:vMerge w:val="continue"/>
                  <w:tcBorders>
                    <w:bottom w:val="single" w:color="auto" w:sz="12"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p>
              </w:tc>
              <w:tc>
                <w:tcPr>
                  <w:tcW w:w="989" w:type="dxa"/>
                  <w:tcBorders>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bookmarkStart w:id="61" w:name="_Toc485996446"/>
                  <w:r>
                    <w:rPr>
                      <w:rFonts w:hint="default" w:ascii="Times New Roman" w:hAnsi="Times New Roman" w:cs="Times New Roman"/>
                      <w:bCs/>
                      <w:color w:val="auto"/>
                      <w:sz w:val="21"/>
                      <w:szCs w:val="21"/>
                      <w:highlight w:val="none"/>
                    </w:rPr>
                    <w:t>平均值</w:t>
                  </w:r>
                  <w:bookmarkEnd w:id="61"/>
                </w:p>
              </w:tc>
              <w:tc>
                <w:tcPr>
                  <w:tcW w:w="1061" w:type="dxa"/>
                  <w:tcBorders>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bookmarkStart w:id="62" w:name="_Toc485996447"/>
                  <w:r>
                    <w:rPr>
                      <w:rFonts w:hint="default" w:ascii="Times New Roman" w:hAnsi="Times New Roman" w:cs="Times New Roman"/>
                      <w:bCs/>
                      <w:color w:val="auto"/>
                      <w:sz w:val="21"/>
                      <w:szCs w:val="21"/>
                      <w:highlight w:val="none"/>
                    </w:rPr>
                    <w:t>标准差</w:t>
                  </w:r>
                  <w:bookmarkEnd w:id="62"/>
                </w:p>
              </w:tc>
              <w:tc>
                <w:tcPr>
                  <w:tcW w:w="4948" w:type="dxa"/>
                  <w:vMerge w:val="continue"/>
                  <w:tcBorders>
                    <w:left w:val="single" w:color="auto" w:sz="4" w:space="0"/>
                    <w:bottom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p>
              </w:tc>
              <w:tc>
                <w:tcPr>
                  <w:tcW w:w="1454" w:type="dxa"/>
                  <w:vMerge w:val="continue"/>
                  <w:tcBorders>
                    <w:left w:val="single" w:color="auto" w:sz="4" w:space="0"/>
                    <w:bottom w:val="single" w:color="auto" w:sz="12"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6" w:hRule="atLeast"/>
                <w:jc w:val="center"/>
              </w:trPr>
              <w:tc>
                <w:tcPr>
                  <w:tcW w:w="545" w:type="dxa"/>
                  <w:tcBorders>
                    <w:top w:val="single" w:color="auto" w:sz="12"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989" w:type="dxa"/>
                  <w:tcBorders>
                    <w:top w:val="single" w:color="auto" w:sz="12" w:space="0"/>
                    <w:left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0.10</w:t>
                  </w:r>
                </w:p>
              </w:tc>
              <w:tc>
                <w:tcPr>
                  <w:tcW w:w="1061" w:type="dxa"/>
                  <w:tcBorders>
                    <w:top w:val="single" w:color="auto" w:sz="12" w:space="0"/>
                    <w:left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010</w:t>
                  </w:r>
                </w:p>
              </w:tc>
              <w:tc>
                <w:tcPr>
                  <w:tcW w:w="4948" w:type="dxa"/>
                  <w:tcBorders>
                    <w:top w:val="single" w:color="auto" w:sz="12" w:space="0"/>
                    <w:left w:val="single" w:color="auto" w:sz="4" w:space="0"/>
                    <w:bottom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项目拟建1#加速器治疗室上方</w:t>
                  </w:r>
                </w:p>
              </w:tc>
              <w:tc>
                <w:tcPr>
                  <w:tcW w:w="1454" w:type="dxa"/>
                  <w:vMerge w:val="restart"/>
                  <w:tcBorders>
                    <w:top w:val="single" w:color="auto" w:sz="12" w:space="0"/>
                    <w:lef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室外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93" w:hRule="atLeast"/>
                <w:jc w:val="center"/>
              </w:trPr>
              <w:tc>
                <w:tcPr>
                  <w:tcW w:w="545" w:type="dxa"/>
                  <w:tcBorders>
                    <w:top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989"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0.09</w:t>
                  </w:r>
                </w:p>
              </w:tc>
              <w:tc>
                <w:tcPr>
                  <w:tcW w:w="1061"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0.011</w:t>
                  </w:r>
                </w:p>
              </w:tc>
              <w:tc>
                <w:tcPr>
                  <w:tcW w:w="4948" w:type="dxa"/>
                  <w:tcBorders>
                    <w:top w:val="single" w:color="auto" w:sz="4" w:space="0"/>
                    <w:left w:val="single" w:color="auto" w:sz="4" w:space="0"/>
                    <w:bottom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项目拟建2#加速器治疗室上方</w:t>
                  </w:r>
                </w:p>
              </w:tc>
              <w:tc>
                <w:tcPr>
                  <w:tcW w:w="1454" w:type="dxa"/>
                  <w:vMerge w:val="continue"/>
                  <w:tcBorders>
                    <w:lef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93" w:hRule="atLeast"/>
                <w:jc w:val="center"/>
              </w:trPr>
              <w:tc>
                <w:tcPr>
                  <w:tcW w:w="545" w:type="dxa"/>
                  <w:tcBorders>
                    <w:top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989"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0.10</w:t>
                  </w:r>
                </w:p>
              </w:tc>
              <w:tc>
                <w:tcPr>
                  <w:tcW w:w="1061"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0.010</w:t>
                  </w:r>
                </w:p>
              </w:tc>
              <w:tc>
                <w:tcPr>
                  <w:tcW w:w="4948" w:type="dxa"/>
                  <w:tcBorders>
                    <w:top w:val="single" w:color="auto" w:sz="4" w:space="0"/>
                    <w:left w:val="single" w:color="auto" w:sz="4" w:space="0"/>
                    <w:bottom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项目拟建3#加速器治疗室上方</w:t>
                  </w:r>
                </w:p>
              </w:tc>
              <w:tc>
                <w:tcPr>
                  <w:tcW w:w="1454" w:type="dxa"/>
                  <w:vMerge w:val="continue"/>
                  <w:tcBorders>
                    <w:lef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3" w:hRule="atLeast"/>
                <w:jc w:val="center"/>
              </w:trPr>
              <w:tc>
                <w:tcPr>
                  <w:tcW w:w="545" w:type="dxa"/>
                  <w:tcBorders>
                    <w:top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989"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0.09</w:t>
                  </w:r>
                </w:p>
              </w:tc>
              <w:tc>
                <w:tcPr>
                  <w:tcW w:w="1061"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0.013</w:t>
                  </w:r>
                </w:p>
              </w:tc>
              <w:tc>
                <w:tcPr>
                  <w:tcW w:w="4948" w:type="dxa"/>
                  <w:tcBorders>
                    <w:top w:val="single" w:color="auto" w:sz="4" w:space="0"/>
                    <w:left w:val="single" w:color="auto" w:sz="4" w:space="0"/>
                    <w:bottom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项目拟建后装治疗室上方</w:t>
                  </w:r>
                </w:p>
              </w:tc>
              <w:tc>
                <w:tcPr>
                  <w:tcW w:w="1454" w:type="dxa"/>
                  <w:vMerge w:val="continue"/>
                  <w:tcBorders>
                    <w:left w:val="single" w:color="auto" w:sz="4" w:space="0"/>
                    <w:bottom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p>
              </w:tc>
            </w:tr>
          </w:tbl>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val="0"/>
                <w:bCs w:val="0"/>
                <w:color w:val="auto"/>
                <w:sz w:val="24"/>
                <w:szCs w:val="24"/>
                <w:highlight w:val="none"/>
              </w:rPr>
            </w:pPr>
            <w:r>
              <w:rPr>
                <w:rFonts w:hint="eastAsia" w:ascii="Times New Roman" w:hAnsi="Times New Roman"/>
                <w:b w:val="0"/>
                <w:bCs w:val="0"/>
                <w:color w:val="auto"/>
                <w:sz w:val="24"/>
                <w:szCs w:val="24"/>
                <w:lang w:val="en-US" w:eastAsia="zh-CN"/>
              </w:rPr>
              <w:t>由表8-3得出结论：</w:t>
            </w:r>
            <w:r>
              <w:rPr>
                <w:rFonts w:hint="eastAsia" w:ascii="Times New Roman" w:hAnsi="Times New Roman" w:eastAsia="宋体" w:cs="Times New Roman"/>
                <w:b w:val="0"/>
                <w:bCs w:val="0"/>
                <w:color w:val="auto"/>
                <w:sz w:val="24"/>
                <w:szCs w:val="24"/>
                <w:highlight w:val="none"/>
                <w:lang w:val="en-US" w:eastAsia="zh-CN"/>
              </w:rPr>
              <w:t>医院</w:t>
            </w:r>
            <w:r>
              <w:rPr>
                <w:rFonts w:hint="eastAsia" w:ascii="Times New Roman" w:hAnsi="Times New Roman" w:cs="Times New Roman"/>
                <w:b w:val="0"/>
                <w:bCs w:val="0"/>
                <w:color w:val="auto"/>
                <w:sz w:val="24"/>
                <w:szCs w:val="24"/>
                <w:highlight w:val="none"/>
                <w:lang w:val="en-US" w:eastAsia="zh-CN"/>
              </w:rPr>
              <w:t>本次涉及辐射工作场所周围</w:t>
            </w:r>
            <w:r>
              <w:rPr>
                <w:rFonts w:hint="default" w:ascii="Times New Roman" w:hAnsi="Times New Roman" w:cs="Times New Roman"/>
                <w:b w:val="0"/>
                <w:bCs w:val="0"/>
                <w:color w:val="auto"/>
                <w:sz w:val="24"/>
                <w:szCs w:val="24"/>
                <w:highlight w:val="none"/>
              </w:rPr>
              <w:t>X-γ辐射剂量率背景值为</w:t>
            </w:r>
            <w:r>
              <w:rPr>
                <w:rFonts w:hint="default" w:ascii="Times New Roman" w:hAnsi="Times New Roman" w:cs="Times New Roman"/>
                <w:b w:val="0"/>
                <w:bCs w:val="0"/>
                <w:color w:val="auto"/>
                <w:sz w:val="24"/>
                <w:szCs w:val="24"/>
                <w:highlight w:val="none"/>
                <w:lang w:val="en-US" w:eastAsia="zh-CN"/>
              </w:rPr>
              <w:t>0.0</w:t>
            </w:r>
            <w:r>
              <w:rPr>
                <w:rFonts w:hint="eastAsia" w:ascii="Times New Roman" w:hAnsi="Times New Roman" w:cs="Times New Roman"/>
                <w:b w:val="0"/>
                <w:bCs w:val="0"/>
                <w:color w:val="auto"/>
                <w:sz w:val="24"/>
                <w:szCs w:val="24"/>
                <w:highlight w:val="none"/>
                <w:lang w:val="en-US" w:eastAsia="zh-CN"/>
              </w:rPr>
              <w:t>9</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val="en-US" w:eastAsia="zh-CN"/>
              </w:rPr>
              <w:t>0.</w:t>
            </w:r>
            <w:r>
              <w:rPr>
                <w:rFonts w:hint="eastAsia" w:ascii="Times New Roman" w:hAnsi="Times New Roman" w:cs="Times New Roman"/>
                <w:b w:val="0"/>
                <w:bCs w:val="0"/>
                <w:color w:val="auto"/>
                <w:sz w:val="24"/>
                <w:szCs w:val="24"/>
                <w:highlight w:val="none"/>
                <w:lang w:val="en-US" w:eastAsia="zh-CN"/>
              </w:rPr>
              <w:t>10</w:t>
            </w:r>
            <w:r>
              <w:rPr>
                <w:rFonts w:hint="default" w:ascii="Times New Roman" w:hAnsi="Times New Roman" w:cs="Times New Roman"/>
                <w:b w:val="0"/>
                <w:bCs w:val="0"/>
                <w:iCs/>
                <w:color w:val="auto"/>
                <w:sz w:val="24"/>
                <w:szCs w:val="24"/>
                <w:highlight w:val="none"/>
              </w:rPr>
              <w:t>μ</w:t>
            </w:r>
            <w:r>
              <w:rPr>
                <w:rFonts w:hint="default" w:ascii="Times New Roman" w:hAnsi="Times New Roman" w:cs="Times New Roman"/>
                <w:b w:val="0"/>
                <w:bCs w:val="0"/>
                <w:color w:val="auto"/>
                <w:sz w:val="24"/>
                <w:szCs w:val="24"/>
                <w:highlight w:val="none"/>
              </w:rPr>
              <w:t>Sv/h，在普通生活环境状态下，辐射环境权重因子按1进行考虑，则X-γ辐射剂量率背景值为</w:t>
            </w:r>
            <w:r>
              <w:rPr>
                <w:rFonts w:hint="eastAsia" w:ascii="Times New Roman" w:hAnsi="Times New Roman" w:cs="Times New Roman"/>
                <w:b w:val="0"/>
                <w:bCs w:val="0"/>
                <w:color w:val="auto"/>
                <w:sz w:val="24"/>
                <w:szCs w:val="24"/>
                <w:highlight w:val="none"/>
                <w:lang w:val="en-US" w:eastAsia="zh-CN"/>
              </w:rPr>
              <w:t>90</w:t>
            </w:r>
            <w:r>
              <w:rPr>
                <w:rFonts w:hint="default" w:ascii="Times New Roman" w:hAnsi="Times New Roman" w:cs="Times New Roman"/>
                <w:b w:val="0"/>
                <w:bCs w:val="0"/>
                <w:color w:val="auto"/>
                <w:sz w:val="24"/>
                <w:szCs w:val="24"/>
                <w:highlight w:val="none"/>
              </w:rPr>
              <w:t>nGy/h～</w:t>
            </w:r>
            <w:r>
              <w:rPr>
                <w:rFonts w:hint="eastAsia" w:ascii="Times New Roman" w:hAnsi="Times New Roman" w:cs="Times New Roman"/>
                <w:b w:val="0"/>
                <w:bCs w:val="0"/>
                <w:color w:val="auto"/>
                <w:sz w:val="24"/>
                <w:szCs w:val="24"/>
                <w:highlight w:val="none"/>
                <w:lang w:val="en-US" w:eastAsia="zh-CN"/>
              </w:rPr>
              <w:t>100</w:t>
            </w:r>
            <w:r>
              <w:rPr>
                <w:rFonts w:hint="default" w:ascii="Times New Roman" w:hAnsi="Times New Roman" w:cs="Times New Roman"/>
                <w:b w:val="0"/>
                <w:bCs w:val="0"/>
                <w:color w:val="auto"/>
                <w:sz w:val="24"/>
                <w:szCs w:val="24"/>
                <w:highlight w:val="none"/>
              </w:rPr>
              <w:t>nGy/h，与</w:t>
            </w: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四川省</w:t>
            </w:r>
            <w:r>
              <w:rPr>
                <w:rFonts w:hint="default" w:ascii="Times New Roman" w:hAnsi="Times New Roman" w:cs="Times New Roman"/>
                <w:b w:val="0"/>
                <w:bCs w:val="0"/>
                <w:color w:val="auto"/>
                <w:sz w:val="24"/>
                <w:szCs w:val="24"/>
                <w:highlight w:val="none"/>
              </w:rPr>
              <w:t>生态环境</w:t>
            </w:r>
            <w:r>
              <w:rPr>
                <w:rFonts w:hint="eastAsia" w:ascii="Times New Roman" w:hAnsi="Times New Roman" w:cs="Times New Roman"/>
                <w:b w:val="0"/>
                <w:bCs w:val="0"/>
                <w:color w:val="auto"/>
                <w:sz w:val="24"/>
                <w:szCs w:val="24"/>
                <w:highlight w:val="none"/>
                <w:lang w:val="en-US" w:eastAsia="zh-CN"/>
              </w:rPr>
              <w:t>状况公报 2019年》中</w:t>
            </w:r>
            <w:r>
              <w:rPr>
                <w:rFonts w:hint="default" w:ascii="Times New Roman" w:hAnsi="Times New Roman" w:cs="Times New Roman"/>
                <w:b w:val="0"/>
                <w:bCs w:val="0"/>
                <w:color w:val="auto"/>
                <w:sz w:val="24"/>
                <w:szCs w:val="24"/>
                <w:highlight w:val="none"/>
                <w:lang w:val="en-US" w:eastAsia="zh-CN"/>
              </w:rPr>
              <w:t>四川省</w:t>
            </w:r>
            <w:r>
              <w:rPr>
                <w:rFonts w:hint="eastAsia" w:ascii="Times New Roman" w:hAnsi="Times New Roman" w:cs="Times New Roman"/>
                <w:b w:val="0"/>
                <w:bCs w:val="0"/>
                <w:color w:val="auto"/>
                <w:sz w:val="24"/>
                <w:szCs w:val="24"/>
                <w:highlight w:val="none"/>
                <w:lang w:val="en-US" w:eastAsia="zh-CN"/>
              </w:rPr>
              <w:t>电离辐射环境监测自动站测得的</w:t>
            </w:r>
            <w:r>
              <w:rPr>
                <w:rFonts w:hint="default" w:ascii="Times New Roman" w:hAnsi="Times New Roman" w:cs="Times New Roman"/>
                <w:b w:val="0"/>
                <w:bCs w:val="0"/>
                <w:color w:val="auto"/>
                <w:sz w:val="24"/>
                <w:szCs w:val="24"/>
                <w:highlight w:val="none"/>
              </w:rPr>
              <w:t>γ辐射</w:t>
            </w:r>
            <w:r>
              <w:rPr>
                <w:rFonts w:hint="eastAsia" w:ascii="Times New Roman" w:hAnsi="Times New Roman" w:cs="Times New Roman"/>
                <w:b w:val="0"/>
                <w:bCs w:val="0"/>
                <w:color w:val="auto"/>
                <w:sz w:val="24"/>
                <w:szCs w:val="24"/>
                <w:highlight w:val="none"/>
                <w:lang w:val="en-US" w:eastAsia="zh-CN"/>
              </w:rPr>
              <w:t>空气吸收</w:t>
            </w:r>
            <w:r>
              <w:rPr>
                <w:rFonts w:hint="default" w:ascii="Times New Roman" w:hAnsi="Times New Roman" w:cs="Times New Roman"/>
                <w:b w:val="0"/>
                <w:bCs w:val="0"/>
                <w:color w:val="auto"/>
                <w:sz w:val="24"/>
                <w:szCs w:val="24"/>
                <w:highlight w:val="none"/>
              </w:rPr>
              <w:t>剂量率（</w:t>
            </w:r>
            <w:r>
              <w:rPr>
                <w:rFonts w:hint="eastAsia" w:ascii="Times New Roman" w:hAnsi="Times New Roman" w:cs="Times New Roman"/>
                <w:b w:val="0"/>
                <w:bCs w:val="0"/>
                <w:color w:val="auto"/>
                <w:sz w:val="24"/>
                <w:szCs w:val="24"/>
                <w:highlight w:val="none"/>
                <w:lang w:val="en-US" w:eastAsia="zh-CN"/>
              </w:rPr>
              <w:t>76.8</w:t>
            </w:r>
            <w:r>
              <w:rPr>
                <w:rFonts w:hint="default" w:ascii="Times New Roman" w:hAnsi="Times New Roman" w:cs="Times New Roman"/>
                <w:b w:val="0"/>
                <w:bCs w:val="0"/>
                <w:color w:val="auto"/>
                <w:sz w:val="24"/>
                <w:szCs w:val="24"/>
                <w:highlight w:val="none"/>
              </w:rPr>
              <w:t>nGy/h～</w:t>
            </w:r>
            <w:r>
              <w:rPr>
                <w:rFonts w:hint="eastAsia" w:ascii="Times New Roman" w:hAnsi="Times New Roman" w:cs="Times New Roman"/>
                <w:b w:val="0"/>
                <w:bCs w:val="0"/>
                <w:color w:val="auto"/>
                <w:sz w:val="24"/>
                <w:szCs w:val="24"/>
                <w:highlight w:val="none"/>
                <w:lang w:val="en-US" w:eastAsia="zh-CN"/>
              </w:rPr>
              <w:t>163</w:t>
            </w:r>
            <w:r>
              <w:rPr>
                <w:rFonts w:hint="default" w:ascii="Times New Roman" w:hAnsi="Times New Roman" w:cs="Times New Roman"/>
                <w:b w:val="0"/>
                <w:bCs w:val="0"/>
                <w:color w:val="auto"/>
                <w:sz w:val="24"/>
                <w:szCs w:val="24"/>
                <w:highlight w:val="none"/>
              </w:rPr>
              <w:t>nGy/h）</w:t>
            </w:r>
            <w:r>
              <w:rPr>
                <w:rFonts w:hint="default" w:ascii="Times New Roman" w:hAnsi="Times New Roman" w:cs="Times New Roman"/>
                <w:b w:val="0"/>
                <w:bCs w:val="0"/>
                <w:color w:val="auto"/>
                <w:sz w:val="24"/>
                <w:szCs w:val="24"/>
                <w:highlight w:val="none"/>
                <w:lang w:val="en-US" w:eastAsia="zh-CN"/>
              </w:rPr>
              <w:t>处在同一水平</w:t>
            </w:r>
            <w:r>
              <w:rPr>
                <w:rFonts w:hint="default" w:ascii="Times New Roman" w:hAnsi="Times New Roman" w:cs="Times New Roman"/>
                <w:b w:val="0"/>
                <w:bCs w:val="0"/>
                <w:color w:val="auto"/>
                <w:sz w:val="24"/>
                <w:szCs w:val="24"/>
                <w:highlight w:val="none"/>
              </w:rPr>
              <w:t>，属于当地正常辐射水平。</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黑体" w:cs="Times New Roman"/>
                <w:color w:val="auto"/>
                <w:sz w:val="24"/>
                <w:szCs w:val="24"/>
              </w:rPr>
            </w:pPr>
            <w:r>
              <w:rPr>
                <w:rFonts w:hint="eastAsia" w:ascii="Times New Roman" w:hAnsi="Times New Roman" w:eastAsia="黑体" w:cs="Times New Roman"/>
                <w:color w:val="auto"/>
                <w:sz w:val="24"/>
                <w:szCs w:val="24"/>
              </w:rPr>
              <w:t>（</w:t>
            </w:r>
            <w:r>
              <w:rPr>
                <w:rFonts w:hint="eastAsia" w:ascii="Times New Roman" w:hAnsi="Times New Roman" w:eastAsia="黑体" w:cs="Times New Roman"/>
                <w:color w:val="auto"/>
                <w:sz w:val="24"/>
                <w:szCs w:val="24"/>
                <w:lang w:val="en-US" w:eastAsia="zh-CN"/>
              </w:rPr>
              <w:t>2</w:t>
            </w:r>
            <w:r>
              <w:rPr>
                <w:rFonts w:hint="eastAsia" w:ascii="Times New Roman" w:hAnsi="Times New Roman" w:eastAsia="黑体" w:cs="Times New Roman"/>
                <w:color w:val="auto"/>
                <w:sz w:val="24"/>
                <w:szCs w:val="24"/>
              </w:rPr>
              <w:t>）</w:t>
            </w:r>
            <w:r>
              <w:rPr>
                <w:rFonts w:hint="eastAsia" w:ascii="Times New Roman" w:hAnsi="Times New Roman" w:eastAsia="黑体" w:cs="Times New Roman"/>
                <w:color w:val="auto"/>
                <w:sz w:val="24"/>
                <w:szCs w:val="24"/>
                <w:lang w:val="en-US" w:eastAsia="zh-CN"/>
              </w:rPr>
              <w:t>中子</w:t>
            </w:r>
            <w:r>
              <w:rPr>
                <w:rFonts w:hint="eastAsia" w:ascii="Times New Roman" w:hAnsi="Times New Roman" w:eastAsia="黑体" w:cs="Times New Roman"/>
                <w:color w:val="auto"/>
                <w:sz w:val="24"/>
                <w:szCs w:val="24"/>
              </w:rPr>
              <w:t>监测结果</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sz w:val="24"/>
                <w:szCs w:val="24"/>
                <w:highlight w:val="none"/>
              </w:rPr>
            </w:pPr>
            <w:r>
              <w:rPr>
                <w:rFonts w:hint="eastAsia" w:ascii="Times New Roman" w:hAnsi="Times New Roman"/>
                <w:bCs/>
                <w:color w:val="auto"/>
                <w:sz w:val="24"/>
                <w:szCs w:val="24"/>
                <w:highlight w:val="none"/>
                <w:lang w:val="en-US" w:eastAsia="zh-CN"/>
              </w:rPr>
              <w:t>根据本项目平面布置和外环境关系，为了解医院所在区域的背景值，本次选择在预留发展用地布设了1个中子</w:t>
            </w:r>
            <w:r>
              <w:rPr>
                <w:rFonts w:hint="eastAsia" w:ascii="Times New Roman" w:hAnsi="Times New Roman"/>
                <w:bCs/>
                <w:color w:val="auto"/>
                <w:sz w:val="24"/>
                <w:szCs w:val="24"/>
                <w:highlight w:val="none"/>
              </w:rPr>
              <w:t>监测点位</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在建门急诊住院综合楼配套工程（三期）放疗中心</w:t>
            </w:r>
            <w:r>
              <w:rPr>
                <w:rFonts w:hint="eastAsia" w:ascii="Times New Roman" w:hAnsi="Times New Roman" w:cs="Times New Roman"/>
                <w:color w:val="auto"/>
                <w:sz w:val="24"/>
                <w:szCs w:val="24"/>
                <w:highlight w:val="none"/>
                <w:lang w:val="en-US" w:eastAsia="zh-CN"/>
              </w:rPr>
              <w:t>2#直线加速器治疗室上方</w:t>
            </w:r>
            <w:r>
              <w:rPr>
                <w:rFonts w:hint="eastAsia" w:ascii="Times New Roman" w:hAnsi="Times New Roman"/>
                <w:bCs/>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w:t>
            </w:r>
            <w:r>
              <w:rPr>
                <w:rFonts w:hint="default" w:ascii="Times New Roman" w:hAnsi="Times New Roman"/>
                <w:bCs/>
                <w:color w:val="auto"/>
                <w:sz w:val="24"/>
                <w:szCs w:val="24"/>
                <w:highlight w:val="none"/>
              </w:rPr>
              <w:t>能较好反映项目</w:t>
            </w:r>
            <w:r>
              <w:rPr>
                <w:rFonts w:hint="eastAsia" w:ascii="Times New Roman" w:hAnsi="Times New Roman"/>
                <w:bCs/>
                <w:color w:val="auto"/>
                <w:sz w:val="24"/>
                <w:szCs w:val="24"/>
                <w:highlight w:val="none"/>
              </w:rPr>
              <w:t>场所室外</w:t>
            </w:r>
            <w:r>
              <w:rPr>
                <w:rFonts w:hint="eastAsia" w:ascii="Times New Roman" w:hAnsi="Times New Roman"/>
                <w:bCs/>
                <w:color w:val="auto"/>
                <w:sz w:val="24"/>
                <w:szCs w:val="24"/>
                <w:highlight w:val="none"/>
                <w:lang w:val="en-US" w:eastAsia="zh-CN"/>
              </w:rPr>
              <w:t>的</w:t>
            </w:r>
            <w:r>
              <w:rPr>
                <w:rFonts w:hint="default" w:ascii="Times New Roman" w:hAnsi="Times New Roman"/>
                <w:bCs/>
                <w:color w:val="auto"/>
                <w:sz w:val="24"/>
                <w:szCs w:val="24"/>
                <w:highlight w:val="none"/>
              </w:rPr>
              <w:t>辐射环境现状，其监测点位布设合理。</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表8-</w:t>
            </w:r>
            <w:r>
              <w:rPr>
                <w:rFonts w:hint="eastAsia"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拟建辐射工作场所及周围</w:t>
            </w:r>
            <w:r>
              <w:rPr>
                <w:rFonts w:hint="eastAsia" w:ascii="Times New Roman" w:hAnsi="Times New Roman" w:cs="Times New Roman"/>
                <w:b/>
                <w:bCs/>
                <w:color w:val="auto"/>
                <w:sz w:val="21"/>
                <w:szCs w:val="21"/>
                <w:highlight w:val="none"/>
                <w:lang w:val="en-US" w:eastAsia="zh-CN"/>
              </w:rPr>
              <w:t>中子监测点位</w:t>
            </w:r>
            <w:r>
              <w:rPr>
                <w:rFonts w:hint="default" w:ascii="Times New Roman" w:hAnsi="Times New Roman" w:cs="Times New Roman"/>
                <w:b/>
                <w:bCs/>
                <w:color w:val="auto"/>
                <w:sz w:val="21"/>
                <w:szCs w:val="21"/>
                <w:highlight w:val="none"/>
              </w:rPr>
              <w:t xml:space="preserve">   单位：</w:t>
            </w:r>
          </w:p>
          <w:tbl>
            <w:tblPr>
              <w:tblStyle w:val="17"/>
              <w:tblW w:w="893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873"/>
              <w:gridCol w:w="3448"/>
              <w:gridCol w:w="461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7" w:hRule="atLeast"/>
                <w:jc w:val="center"/>
              </w:trPr>
              <w:tc>
                <w:tcPr>
                  <w:tcW w:w="873" w:type="dxa"/>
                  <w:tcBorders>
                    <w:top w:val="single" w:color="auto" w:sz="12"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编号</w:t>
                  </w:r>
                </w:p>
              </w:tc>
              <w:tc>
                <w:tcPr>
                  <w:tcW w:w="3448" w:type="dxa"/>
                  <w:tcBorders>
                    <w:top w:val="single" w:color="auto" w:sz="12" w:space="0"/>
                    <w:left w:val="single" w:color="auto" w:sz="4" w:space="0"/>
                    <w:bottom w:val="single" w:color="auto" w:sz="12"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中子剂量当量率</w:t>
                  </w:r>
                </w:p>
              </w:tc>
              <w:tc>
                <w:tcPr>
                  <w:tcW w:w="4618" w:type="dxa"/>
                  <w:tcBorders>
                    <w:top w:val="single" w:color="auto" w:sz="12" w:space="0"/>
                    <w:lef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outlineLvl w:val="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监测位置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0" w:hRule="atLeast"/>
                <w:jc w:val="center"/>
              </w:trPr>
              <w:tc>
                <w:tcPr>
                  <w:tcW w:w="873" w:type="dxa"/>
                  <w:tcBorders>
                    <w:top w:val="single" w:color="auto" w:sz="12" w:space="0"/>
                    <w:bottom w:val="single" w:color="auto" w:sz="4" w:space="0"/>
                    <w:right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344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highlight w:val="none"/>
                    </w:rPr>
                    <w:t>≤LLD</w:t>
                  </w:r>
                </w:p>
              </w:tc>
              <w:tc>
                <w:tcPr>
                  <w:tcW w:w="4618" w:type="dxa"/>
                  <w:tcBorders>
                    <w:top w:val="single" w:color="auto" w:sz="12" w:space="0"/>
                    <w:left w:val="single" w:color="auto" w:sz="4" w:space="0"/>
                    <w:bottom w:val="single" w:color="auto" w:sz="4" w:space="0"/>
                  </w:tcBorders>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4"/>
                      <w:szCs w:val="24"/>
                      <w:highlight w:val="none"/>
                      <w:lang w:val="en-US" w:eastAsia="zh-CN"/>
                    </w:rPr>
                    <w:t>2#直线加速器治疗室上方</w:t>
                  </w:r>
                </w:p>
              </w:tc>
            </w:tr>
          </w:tbl>
          <w:p>
            <w:pPr>
              <w:pStyle w:val="9"/>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color w:val="auto"/>
                <w:sz w:val="24"/>
                <w:highlight w:val="yellow"/>
              </w:rPr>
            </w:pPr>
            <w:r>
              <w:rPr>
                <w:rFonts w:hint="default" w:ascii="Times New Roman" w:hAnsi="Times New Roman" w:cs="Times New Roman"/>
                <w:color w:val="auto"/>
                <w:sz w:val="24"/>
                <w:highlight w:val="none"/>
              </w:rPr>
              <w:t>由</w:t>
            </w:r>
            <w:r>
              <w:rPr>
                <w:rFonts w:hint="eastAsia" w:ascii="Times New Roman" w:hAnsi="Times New Roman" w:cs="Times New Roman"/>
                <w:color w:val="auto"/>
                <w:sz w:val="24"/>
                <w:highlight w:val="none"/>
                <w:lang w:val="en-US" w:eastAsia="zh-CN"/>
              </w:rPr>
              <w:t>表8-5</w:t>
            </w:r>
            <w:r>
              <w:rPr>
                <w:rFonts w:hint="default" w:ascii="Times New Roman" w:hAnsi="Times New Roman" w:cs="Times New Roman"/>
                <w:color w:val="auto"/>
                <w:sz w:val="24"/>
                <w:highlight w:val="none"/>
              </w:rPr>
              <w:t>监测</w:t>
            </w:r>
            <w:r>
              <w:rPr>
                <w:rFonts w:hint="eastAsia" w:ascii="Times New Roman" w:hAnsi="Times New Roman" w:cs="Times New Roman"/>
                <w:color w:val="auto"/>
                <w:sz w:val="24"/>
                <w:highlight w:val="none"/>
                <w:lang w:val="en-US" w:eastAsia="zh-CN"/>
              </w:rPr>
              <w:t>结果</w:t>
            </w:r>
            <w:r>
              <w:rPr>
                <w:rFonts w:hint="default" w:ascii="Times New Roman" w:hAnsi="Times New Roman" w:cs="Times New Roman"/>
                <w:color w:val="auto"/>
                <w:sz w:val="24"/>
                <w:highlight w:val="none"/>
              </w:rPr>
              <w:t>可知，</w:t>
            </w:r>
            <w:r>
              <w:rPr>
                <w:rFonts w:hint="eastAsia" w:ascii="Times New Roman" w:hAnsi="Times New Roman" w:cs="Times New Roman"/>
                <w:color w:val="auto"/>
                <w:sz w:val="24"/>
                <w:highlight w:val="none"/>
                <w:lang w:val="en-US" w:eastAsia="zh-CN"/>
              </w:rPr>
              <w:t>项目拟建辐射工作场所及周围环境中子剂量当量率监测</w:t>
            </w:r>
            <w:r>
              <w:rPr>
                <w:rFonts w:hint="default" w:ascii="宋体" w:hAnsi="宋体" w:eastAsia="宋体" w:cs="宋体"/>
                <w:color w:val="auto"/>
                <w:sz w:val="24"/>
                <w:szCs w:val="24"/>
                <w:highlight w:val="none"/>
              </w:rPr>
              <w:t>结果低于检测限值</w:t>
            </w:r>
            <w:r>
              <w:rPr>
                <w:rFonts w:hint="default" w:ascii="Times New Roman" w:hAnsi="Times New Roman" w:cs="Times New Roman"/>
                <w:color w:val="auto"/>
                <w:sz w:val="24"/>
                <w:highlight w:val="none"/>
              </w:rPr>
              <w:t>。</w:t>
            </w:r>
          </w:p>
          <w:p>
            <w:pPr>
              <w:pStyle w:val="16"/>
              <w:keepNext w:val="0"/>
              <w:keepLines w:val="0"/>
              <w:suppressLineNumbers w:val="0"/>
              <w:spacing w:before="0" w:beforeAutospacing="0" w:after="0" w:afterAutospacing="0"/>
              <w:ind w:left="0" w:leftChars="0" w:right="0" w:firstLine="0" w:firstLineChars="0"/>
              <w:rPr>
                <w:rFonts w:hint="eastAsia" w:ascii="Times New Roman" w:cs="Times New Roman"/>
                <w:color w:val="auto"/>
                <w:sz w:val="28"/>
                <w:szCs w:val="28"/>
                <w:lang w:val="en-US" w:eastAsia="zh-CN"/>
              </w:rPr>
            </w:pPr>
          </w:p>
          <w:p>
            <w:pPr>
              <w:pStyle w:val="16"/>
              <w:keepNext w:val="0"/>
              <w:keepLines w:val="0"/>
              <w:suppressLineNumbers w:val="0"/>
              <w:spacing w:before="0" w:beforeAutospacing="0" w:after="0" w:afterAutospacing="0"/>
              <w:ind w:left="0" w:leftChars="0" w:right="0" w:firstLine="0" w:firstLineChars="0"/>
              <w:rPr>
                <w:rFonts w:hint="default" w:ascii="Times New Roman" w:cs="Times New Roman"/>
                <w:color w:val="auto"/>
                <w:sz w:val="28"/>
                <w:szCs w:val="28"/>
                <w:lang w:val="en-US" w:eastAsia="zh-CN"/>
              </w:rPr>
            </w:pPr>
          </w:p>
          <w:p>
            <w:pPr>
              <w:pStyle w:val="16"/>
              <w:keepNext w:val="0"/>
              <w:keepLines w:val="0"/>
              <w:suppressLineNumbers w:val="0"/>
              <w:spacing w:before="0" w:beforeAutospacing="0" w:after="0" w:afterAutospacing="0"/>
              <w:ind w:left="0" w:leftChars="0" w:right="0" w:firstLine="0" w:firstLineChars="0"/>
              <w:rPr>
                <w:rFonts w:hint="eastAsia" w:ascii="Times New Roman" w:cs="Times New Roman"/>
                <w:color w:val="auto"/>
                <w:sz w:val="28"/>
                <w:szCs w:val="28"/>
                <w:lang w:val="en-US" w:eastAsia="zh-CN"/>
              </w:rPr>
            </w:pPr>
          </w:p>
          <w:p>
            <w:pPr>
              <w:pStyle w:val="16"/>
              <w:keepNext w:val="0"/>
              <w:keepLines w:val="0"/>
              <w:suppressLineNumbers w:val="0"/>
              <w:spacing w:before="0" w:beforeAutospacing="0" w:after="0" w:afterAutospacing="0"/>
              <w:ind w:left="0" w:leftChars="0" w:right="0" w:firstLine="0" w:firstLineChars="0"/>
              <w:rPr>
                <w:rFonts w:hint="eastAsia" w:ascii="Times New Roman" w:cs="Times New Roman"/>
                <w:color w:val="auto"/>
                <w:sz w:val="28"/>
                <w:szCs w:val="28"/>
                <w:lang w:val="en-US" w:eastAsia="zh-CN"/>
              </w:rPr>
            </w:pPr>
          </w:p>
          <w:p>
            <w:pPr>
              <w:pStyle w:val="16"/>
              <w:keepNext w:val="0"/>
              <w:keepLines w:val="0"/>
              <w:suppressLineNumbers w:val="0"/>
              <w:spacing w:before="0" w:beforeAutospacing="0" w:after="0" w:afterAutospacing="0"/>
              <w:ind w:left="0" w:leftChars="0" w:right="0" w:firstLine="0" w:firstLineChars="0"/>
              <w:rPr>
                <w:rFonts w:hint="eastAsia" w:ascii="Times New Roman" w:hAnsi="Times New Roman" w:eastAsia="宋体" w:cs="Times New Roman"/>
                <w:color w:val="auto"/>
                <w:sz w:val="28"/>
                <w:szCs w:val="28"/>
                <w:lang w:val="en-US" w:eastAsia="zh-CN"/>
              </w:rPr>
            </w:pPr>
          </w:p>
        </w:tc>
      </w:tr>
    </w:tbl>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63" w:name="_Toc11610"/>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r>
        <w:rPr>
          <w:rFonts w:hint="default" w:ascii="Times New Roman" w:hAnsi="Times New Roman" w:eastAsia="宋体" w:cs="Times New Roman"/>
          <w:b/>
          <w:bCs w:val="0"/>
          <w:color w:val="auto"/>
          <w:kern w:val="0"/>
          <w:sz w:val="30"/>
          <w:szCs w:val="30"/>
        </w:rPr>
        <w:t>表9  项目工程分析与源项</w:t>
      </w:r>
      <w:bookmarkEnd w:id="63"/>
    </w:p>
    <w:tbl>
      <w:tblPr>
        <w:tblStyle w:val="17"/>
        <w:tblW w:w="9046"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trPr>
        <w:tc>
          <w:tcPr>
            <w:tcW w:w="9046" w:type="dxa"/>
          </w:tcPr>
          <w:p>
            <w:pPr>
              <w:keepNext w:val="0"/>
              <w:keepLines w:val="0"/>
              <w:suppressLineNumbers w:val="0"/>
              <w:spacing w:before="0" w:beforeAutospacing="0" w:after="0" w:afterAutospacing="0"/>
              <w:ind w:left="0" w:right="0"/>
              <w:jc w:val="left"/>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工程设备和工艺分析</w:t>
            </w:r>
          </w:p>
          <w:p>
            <w:pPr>
              <w:pStyle w:val="4"/>
              <w:numPr>
                <w:ilvl w:val="2"/>
                <w:numId w:val="0"/>
              </w:numPr>
              <w:suppressLineNumbers w:val="0"/>
              <w:spacing w:before="0" w:beforeAutospacing="0" w:after="0" w:afterAutospacing="0"/>
              <w:ind w:left="0" w:right="0"/>
              <w:rPr>
                <w:rFonts w:hint="default" w:ascii="Times New Roman" w:hAnsi="Times New Roman" w:cs="Times New Roman"/>
                <w:color w:val="auto"/>
                <w:sz w:val="28"/>
                <w:szCs w:val="28"/>
              </w:rPr>
            </w:pPr>
            <w:bookmarkStart w:id="64" w:name="_Toc28492"/>
            <w:r>
              <w:rPr>
                <w:rFonts w:hint="default" w:ascii="Times New Roman" w:hAnsi="Times New Roman" w:cs="Times New Roman"/>
                <w:color w:val="auto"/>
                <w:sz w:val="28"/>
                <w:szCs w:val="28"/>
              </w:rPr>
              <w:t>一、施工期</w:t>
            </w:r>
            <w:bookmarkEnd w:id="64"/>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本项目所在的放疗中心土建工程属于“</w:t>
            </w:r>
            <w:r>
              <w:rPr>
                <w:rFonts w:hint="default" w:ascii="Times New Roman" w:hAnsi="Times New Roman" w:cs="Times New Roman"/>
                <w:color w:val="auto"/>
                <w:sz w:val="24"/>
                <w:lang w:eastAsia="zh-CN"/>
              </w:rPr>
              <w:t>成都市第五人民医院门急诊住院综合楼配套工程</w:t>
            </w:r>
            <w:r>
              <w:rPr>
                <w:rFonts w:hint="default" w:ascii="Times New Roman" w:hAnsi="Times New Roman" w:cs="Times New Roman"/>
                <w:color w:val="auto"/>
                <w:sz w:val="24"/>
              </w:rPr>
              <w:t>”建设内容之一，其施工期环境影响包含在</w:t>
            </w:r>
            <w:r>
              <w:rPr>
                <w:rFonts w:hint="default" w:ascii="Times New Roman" w:hAnsi="Times New Roman" w:cs="Times New Roman"/>
                <w:color w:val="auto"/>
                <w:sz w:val="24"/>
                <w:lang w:eastAsia="zh-CN"/>
              </w:rPr>
              <w:t>“成都市第五人民医院门急诊住院综合楼配套工程</w:t>
            </w:r>
            <w:r>
              <w:rPr>
                <w:rFonts w:hint="default" w:ascii="Times New Roman" w:hAnsi="Times New Roman" w:cs="Times New Roman"/>
                <w:color w:val="auto"/>
                <w:sz w:val="24"/>
              </w:rPr>
              <w:t>环境影响</w:t>
            </w:r>
            <w:r>
              <w:rPr>
                <w:rFonts w:hint="default" w:ascii="Times New Roman" w:hAnsi="Times New Roman" w:cs="Times New Roman"/>
                <w:color w:val="auto"/>
                <w:sz w:val="24"/>
                <w:lang w:val="en-US" w:eastAsia="zh-CN"/>
              </w:rPr>
              <w:t>登记表</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中</w:t>
            </w:r>
            <w:r>
              <w:rPr>
                <w:rFonts w:hint="default" w:ascii="Times New Roman" w:hAnsi="Times New Roman" w:cs="Times New Roman"/>
                <w:color w:val="auto"/>
                <w:kern w:val="44"/>
                <w:sz w:val="24"/>
                <w:lang w:val="en-US" w:eastAsia="zh-CN"/>
              </w:rPr>
              <w:t>，</w:t>
            </w:r>
            <w:r>
              <w:rPr>
                <w:rFonts w:hint="default" w:ascii="Times New Roman" w:hAnsi="Times New Roman" w:cs="Times New Roman"/>
                <w:color w:val="auto"/>
                <w:kern w:val="44"/>
                <w:sz w:val="24"/>
              </w:rPr>
              <w:t>放疗中心直线加速器和</w:t>
            </w:r>
            <w:r>
              <w:rPr>
                <w:rFonts w:hint="eastAsia" w:ascii="Times New Roman" w:hAnsi="Times New Roman" w:cs="Times New Roman"/>
                <w:color w:val="auto"/>
                <w:kern w:val="44"/>
                <w:sz w:val="24"/>
                <w:lang w:eastAsia="zh-CN"/>
              </w:rPr>
              <w:t>后装治疗室</w:t>
            </w:r>
            <w:r>
              <w:rPr>
                <w:rFonts w:hint="default" w:ascii="Times New Roman" w:hAnsi="Times New Roman" w:cs="Times New Roman"/>
                <w:color w:val="auto"/>
                <w:kern w:val="44"/>
                <w:sz w:val="24"/>
              </w:rPr>
              <w:t>仅需进行设备安装、管线敷设、铅玻璃窗和铅防护门及其他环境防护设施的安装，施工期将产生少量扬尘</w:t>
            </w:r>
            <w:r>
              <w:rPr>
                <w:rFonts w:hint="default" w:ascii="Times New Roman" w:hAnsi="Times New Roman" w:cs="Times New Roman"/>
                <w:color w:val="auto"/>
                <w:sz w:val="24"/>
              </w:rPr>
              <w:t>、噪声、生活污水及固体废物。施工期工艺流程及污染物产生环节见图9-1。</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cs="Times New Roman"/>
                <w:color w:val="auto"/>
                <w:sz w:val="28"/>
                <w:szCs w:val="28"/>
              </w:rPr>
              <mc:AlternateContent>
                <mc:Choice Requires="wpc">
                  <w:drawing>
                    <wp:inline distT="0" distB="0" distL="114300" distR="114300">
                      <wp:extent cx="5553075" cy="1166495"/>
                      <wp:effectExtent l="0" t="5080" r="0" b="0"/>
                      <wp:docPr id="29" name="画布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24"/>
                              <wps:cNvSpPr txBox="1"/>
                              <wps:spPr>
                                <a:xfrm>
                                  <a:off x="1391285" y="0"/>
                                  <a:ext cx="673100" cy="248285"/>
                                </a:xfrm>
                                <a:prstGeom prst="rect">
                                  <a:avLst/>
                                </a:prstGeom>
                                <a:solidFill>
                                  <a:srgbClr val="FFFFFF"/>
                                </a:solidFill>
                                <a:ln w="9525" cap="rnd" cmpd="sng">
                                  <a:solidFill>
                                    <a:srgbClr val="000000"/>
                                  </a:solidFill>
                                  <a:prstDash val="sysDot"/>
                                  <a:miter/>
                                  <a:headEnd type="none" w="med" len="med"/>
                                  <a:tailEnd type="none" w="med" len="med"/>
                                </a:ln>
                              </wps:spPr>
                              <wps:txbx>
                                <w:txbxContent>
                                  <w:p>
                                    <w:pPr>
                                      <w:spacing w:line="360" w:lineRule="exact"/>
                                      <w:jc w:val="center"/>
                                      <w:rPr>
                                        <w:rFonts w:ascii="宋体" w:hAnsi="宋体" w:cs="宋体"/>
                                        <w:szCs w:val="21"/>
                                      </w:rPr>
                                    </w:pPr>
                                    <w:r>
                                      <w:rPr>
                                        <w:rFonts w:hint="eastAsia" w:ascii="宋体" w:hAnsi="宋体" w:cs="宋体"/>
                                        <w:szCs w:val="21"/>
                                      </w:rPr>
                                      <w:t>噪  声</w:t>
                                    </w:r>
                                  </w:p>
                                </w:txbxContent>
                              </wps:txbx>
                              <wps:bodyPr lIns="0" tIns="0" rIns="0" bIns="0" upright="1"/>
                            </wps:wsp>
                            <wps:wsp>
                              <wps:cNvPr id="10" name="文本框 25"/>
                              <wps:cNvSpPr txBox="1"/>
                              <wps:spPr>
                                <a:xfrm>
                                  <a:off x="2112645" y="0"/>
                                  <a:ext cx="671195" cy="248285"/>
                                </a:xfrm>
                                <a:prstGeom prst="rect">
                                  <a:avLst/>
                                </a:prstGeom>
                                <a:solidFill>
                                  <a:srgbClr val="FFFFFF"/>
                                </a:solidFill>
                                <a:ln w="9525" cap="rnd" cmpd="sng">
                                  <a:solidFill>
                                    <a:srgbClr val="000000"/>
                                  </a:solidFill>
                                  <a:prstDash val="sysDot"/>
                                  <a:miter/>
                                  <a:headEnd type="none" w="med" len="med"/>
                                  <a:tailEnd type="none" w="med" len="med"/>
                                </a:ln>
                              </wps:spPr>
                              <wps:txbx>
                                <w:txbxContent>
                                  <w:p>
                                    <w:pPr>
                                      <w:spacing w:line="360" w:lineRule="exact"/>
                                      <w:jc w:val="center"/>
                                      <w:rPr>
                                        <w:rFonts w:ascii="宋体" w:hAnsi="宋体" w:cs="宋体"/>
                                        <w:szCs w:val="21"/>
                                      </w:rPr>
                                    </w:pPr>
                                    <w:r>
                                      <w:rPr>
                                        <w:rFonts w:hint="eastAsia" w:ascii="宋体" w:hAnsi="宋体" w:cs="宋体"/>
                                        <w:szCs w:val="21"/>
                                      </w:rPr>
                                      <w:t>扬  尘</w:t>
                                    </w:r>
                                  </w:p>
                                </w:txbxContent>
                              </wps:txbx>
                              <wps:bodyPr lIns="0" tIns="0" rIns="0" bIns="0" upright="1"/>
                            </wps:wsp>
                            <wps:wsp>
                              <wps:cNvPr id="11" name="文本框 26"/>
                              <wps:cNvSpPr txBox="1"/>
                              <wps:spPr>
                                <a:xfrm>
                                  <a:off x="3041650" y="0"/>
                                  <a:ext cx="619125" cy="238125"/>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pPr>
                                    <w:r>
                                      <w:rPr>
                                        <w:rFonts w:hint="eastAsia" w:ascii="宋体" w:hAnsi="宋体" w:cs="宋体"/>
                                        <w:szCs w:val="21"/>
                                      </w:rPr>
                                      <w:t>废水</w:t>
                                    </w:r>
                                  </w:p>
                                  <w:p>
                                    <w:pPr>
                                      <w:jc w:val="center"/>
                                    </w:pPr>
                                  </w:p>
                                  <w:p>
                                    <w:pPr>
                                      <w:jc w:val="center"/>
                                    </w:pPr>
                                  </w:p>
                                  <w:p>
                                    <w:pPr>
                                      <w:spacing w:line="360" w:lineRule="exact"/>
                                      <w:jc w:val="center"/>
                                      <w:rPr>
                                        <w:szCs w:val="21"/>
                                      </w:rPr>
                                    </w:pPr>
                                    <w:r>
                                      <w:rPr>
                                        <w:rFonts w:hint="eastAsia"/>
                                        <w:szCs w:val="21"/>
                                      </w:rPr>
                                      <w:t xml:space="preserve">   </w:t>
                                    </w:r>
                                  </w:p>
                                  <w:p>
                                    <w:pPr>
                                      <w:jc w:val="center"/>
                                    </w:pPr>
                                  </w:p>
                                  <w:p>
                                    <w:pPr>
                                      <w:jc w:val="center"/>
                                    </w:pPr>
                                  </w:p>
                                </w:txbxContent>
                              </wps:txbx>
                              <wps:bodyPr lIns="0" tIns="0" rIns="0" bIns="0" upright="1"/>
                            </wps:wsp>
                            <wps:wsp>
                              <wps:cNvPr id="57" name="直线 674"/>
                              <wps:cNvCnPr/>
                              <wps:spPr>
                                <a:xfrm flipV="1">
                                  <a:off x="1602105" y="281940"/>
                                  <a:ext cx="635" cy="265430"/>
                                </a:xfrm>
                                <a:prstGeom prst="line">
                                  <a:avLst/>
                                </a:prstGeom>
                                <a:ln w="9525" cap="flat" cmpd="sng">
                                  <a:solidFill>
                                    <a:srgbClr val="000000"/>
                                  </a:solidFill>
                                  <a:prstDash val="dash"/>
                                  <a:headEnd type="none" w="med" len="med"/>
                                  <a:tailEnd type="triangle" w="med" len="med"/>
                                </a:ln>
                              </wps:spPr>
                              <wps:bodyPr upright="1"/>
                            </wps:wsp>
                            <wps:wsp>
                              <wps:cNvPr id="58" name="直线 28"/>
                              <wps:cNvCnPr/>
                              <wps:spPr>
                                <a:xfrm flipV="1">
                                  <a:off x="2431415" y="287655"/>
                                  <a:ext cx="635" cy="266065"/>
                                </a:xfrm>
                                <a:prstGeom prst="line">
                                  <a:avLst/>
                                </a:prstGeom>
                                <a:ln w="9525" cap="flat" cmpd="sng">
                                  <a:solidFill>
                                    <a:srgbClr val="000000"/>
                                  </a:solidFill>
                                  <a:prstDash val="dash"/>
                                  <a:headEnd type="none" w="med" len="med"/>
                                  <a:tailEnd type="triangle" w="med" len="med"/>
                                </a:ln>
                              </wps:spPr>
                              <wps:bodyPr upright="1"/>
                            </wps:wsp>
                            <wps:wsp>
                              <wps:cNvPr id="63" name="直线 676"/>
                              <wps:cNvCnPr/>
                              <wps:spPr>
                                <a:xfrm flipV="1">
                                  <a:off x="3356610" y="281940"/>
                                  <a:ext cx="1270" cy="265430"/>
                                </a:xfrm>
                                <a:prstGeom prst="line">
                                  <a:avLst/>
                                </a:prstGeom>
                                <a:ln w="9525" cap="flat" cmpd="sng">
                                  <a:solidFill>
                                    <a:srgbClr val="000000"/>
                                  </a:solidFill>
                                  <a:prstDash val="dash"/>
                                  <a:headEnd type="none" w="med" len="med"/>
                                  <a:tailEnd type="triangle" w="med" len="med"/>
                                </a:ln>
                              </wps:spPr>
                              <wps:bodyPr upright="1"/>
                            </wps:wsp>
                            <wps:wsp>
                              <wps:cNvPr id="78" name="直线 30"/>
                              <wps:cNvCnPr/>
                              <wps:spPr>
                                <a:xfrm flipV="1">
                                  <a:off x="4472940" y="281305"/>
                                  <a:ext cx="635" cy="266065"/>
                                </a:xfrm>
                                <a:prstGeom prst="line">
                                  <a:avLst/>
                                </a:prstGeom>
                                <a:ln w="9525" cap="flat" cmpd="sng">
                                  <a:solidFill>
                                    <a:srgbClr val="000000"/>
                                  </a:solidFill>
                                  <a:prstDash val="dash"/>
                                  <a:headEnd type="none" w="med" len="med"/>
                                  <a:tailEnd type="triangle" w="med" len="med"/>
                                </a:ln>
                              </wps:spPr>
                              <wps:bodyPr upright="1"/>
                            </wps:wsp>
                            <wps:wsp>
                              <wps:cNvPr id="79" name="直线 31"/>
                              <wps:cNvCnPr/>
                              <wps:spPr>
                                <a:xfrm>
                                  <a:off x="379095" y="559435"/>
                                  <a:ext cx="4084955" cy="635"/>
                                </a:xfrm>
                                <a:prstGeom prst="line">
                                  <a:avLst/>
                                </a:prstGeom>
                                <a:ln w="9525" cap="flat" cmpd="sng">
                                  <a:solidFill>
                                    <a:srgbClr val="000000"/>
                                  </a:solidFill>
                                  <a:prstDash val="dash"/>
                                  <a:headEnd type="none" w="med" len="med"/>
                                  <a:tailEnd type="none" w="med" len="med"/>
                                </a:ln>
                              </wps:spPr>
                              <wps:bodyPr upright="1"/>
                            </wps:wsp>
                            <wps:wsp>
                              <wps:cNvPr id="80" name="直线 33"/>
                              <wps:cNvCnPr/>
                              <wps:spPr>
                                <a:xfrm>
                                  <a:off x="1613535" y="562610"/>
                                  <a:ext cx="1270" cy="257810"/>
                                </a:xfrm>
                                <a:prstGeom prst="line">
                                  <a:avLst/>
                                </a:prstGeom>
                                <a:ln w="9525" cap="flat" cmpd="sng">
                                  <a:solidFill>
                                    <a:srgbClr val="000000"/>
                                  </a:solidFill>
                                  <a:prstDash val="dash"/>
                                  <a:headEnd type="none" w="med" len="med"/>
                                  <a:tailEnd type="none" w="med" len="med"/>
                                </a:ln>
                              </wps:spPr>
                              <wps:bodyPr upright="1"/>
                            </wps:wsp>
                            <wps:wsp>
                              <wps:cNvPr id="81" name="直线 35"/>
                              <wps:cNvCnPr/>
                              <wps:spPr>
                                <a:xfrm>
                                  <a:off x="2014855" y="977265"/>
                                  <a:ext cx="455930" cy="1905"/>
                                </a:xfrm>
                                <a:prstGeom prst="line">
                                  <a:avLst/>
                                </a:prstGeom>
                                <a:ln w="9525" cap="flat" cmpd="sng">
                                  <a:solidFill>
                                    <a:srgbClr val="000000"/>
                                  </a:solidFill>
                                  <a:prstDash val="solid"/>
                                  <a:headEnd type="none" w="med" len="med"/>
                                  <a:tailEnd type="triangle" w="med" len="med"/>
                                </a:ln>
                              </wps:spPr>
                              <wps:bodyPr upright="1"/>
                            </wps:wsp>
                            <wps:wsp>
                              <wps:cNvPr id="82" name="直线 36"/>
                              <wps:cNvCnPr/>
                              <wps:spPr>
                                <a:xfrm>
                                  <a:off x="3154045" y="971550"/>
                                  <a:ext cx="477520" cy="635"/>
                                </a:xfrm>
                                <a:prstGeom prst="line">
                                  <a:avLst/>
                                </a:prstGeom>
                                <a:ln w="9525" cap="flat" cmpd="sng">
                                  <a:solidFill>
                                    <a:srgbClr val="000000"/>
                                  </a:solidFill>
                                  <a:prstDash val="solid"/>
                                  <a:headEnd type="none" w="med" len="med"/>
                                  <a:tailEnd type="triangle" w="med" len="med"/>
                                </a:ln>
                              </wps:spPr>
                              <wps:bodyPr upright="1"/>
                            </wps:wsp>
                            <wps:wsp>
                              <wps:cNvPr id="84" name="直线 37"/>
                              <wps:cNvCnPr/>
                              <wps:spPr>
                                <a:xfrm>
                                  <a:off x="2771140" y="555625"/>
                                  <a:ext cx="635" cy="257810"/>
                                </a:xfrm>
                                <a:prstGeom prst="line">
                                  <a:avLst/>
                                </a:prstGeom>
                                <a:ln w="9525" cap="flat" cmpd="sng">
                                  <a:solidFill>
                                    <a:srgbClr val="000000"/>
                                  </a:solidFill>
                                  <a:prstDash val="dash"/>
                                  <a:headEnd type="none" w="med" len="med"/>
                                  <a:tailEnd type="none" w="med" len="med"/>
                                </a:ln>
                              </wps:spPr>
                              <wps:bodyPr upright="1"/>
                            </wps:wsp>
                            <wps:wsp>
                              <wps:cNvPr id="85" name="文本框 38"/>
                              <wps:cNvSpPr txBox="1"/>
                              <wps:spPr>
                                <a:xfrm>
                                  <a:off x="3655060" y="833755"/>
                                  <a:ext cx="628650" cy="248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宋体" w:hAnsi="宋体" w:cs="宋体"/>
                                        <w:szCs w:val="21"/>
                                      </w:rPr>
                                    </w:pPr>
                                    <w:r>
                                      <w:rPr>
                                        <w:rFonts w:hint="eastAsia" w:ascii="宋体" w:hAnsi="宋体" w:cs="宋体"/>
                                        <w:szCs w:val="21"/>
                                      </w:rPr>
                                      <w:t>工程验收</w:t>
                                    </w:r>
                                  </w:p>
                                </w:txbxContent>
                              </wps:txbx>
                              <wps:bodyPr lIns="0" tIns="0" rIns="0" bIns="0" upright="1"/>
                            </wps:wsp>
                            <wps:wsp>
                              <wps:cNvPr id="88" name="文本框 39"/>
                              <wps:cNvSpPr txBox="1"/>
                              <wps:spPr>
                                <a:xfrm>
                                  <a:off x="4182110" y="4445"/>
                                  <a:ext cx="619125" cy="23876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spacing w:line="360" w:lineRule="exact"/>
                                      <w:jc w:val="center"/>
                                      <w:rPr>
                                        <w:rFonts w:ascii="宋体" w:hAnsi="宋体" w:cs="宋体"/>
                                        <w:szCs w:val="21"/>
                                      </w:rPr>
                                    </w:pPr>
                                    <w:r>
                                      <w:rPr>
                                        <w:rFonts w:hint="eastAsia" w:ascii="宋体" w:hAnsi="宋体" w:cs="宋体"/>
                                        <w:szCs w:val="21"/>
                                      </w:rPr>
                                      <w:t xml:space="preserve">固体废物   </w:t>
                                    </w:r>
                                  </w:p>
                                </w:txbxContent>
                              </wps:txbx>
                              <wps:bodyPr lIns="0" tIns="0" rIns="0" bIns="0" upright="1"/>
                            </wps:wsp>
                            <wps:wsp>
                              <wps:cNvPr id="89" name="文本框 40"/>
                              <wps:cNvSpPr txBox="1"/>
                              <wps:spPr>
                                <a:xfrm>
                                  <a:off x="45720" y="843280"/>
                                  <a:ext cx="635000" cy="248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宋体" w:hAnsi="宋体" w:cs="宋体"/>
                                        <w:szCs w:val="21"/>
                                      </w:rPr>
                                    </w:pPr>
                                    <w:r>
                                      <w:rPr>
                                        <w:rFonts w:hint="eastAsia" w:ascii="宋体" w:hAnsi="宋体" w:cs="宋体"/>
                                        <w:szCs w:val="21"/>
                                      </w:rPr>
                                      <w:t>施工搭架</w:t>
                                    </w:r>
                                  </w:p>
                                </w:txbxContent>
                              </wps:txbx>
                              <wps:bodyPr lIns="0" tIns="0" rIns="0" bIns="0" upright="1"/>
                            </wps:wsp>
                            <wps:wsp>
                              <wps:cNvPr id="90" name="文本框 41"/>
                              <wps:cNvSpPr txBox="1"/>
                              <wps:spPr>
                                <a:xfrm>
                                  <a:off x="1272540" y="845185"/>
                                  <a:ext cx="676910" cy="248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宋体" w:hAnsi="宋体" w:cs="宋体"/>
                                        <w:szCs w:val="21"/>
                                      </w:rPr>
                                    </w:pPr>
                                    <w:r>
                                      <w:rPr>
                                        <w:rFonts w:hint="eastAsia" w:ascii="宋体" w:hAnsi="宋体" w:cs="宋体"/>
                                        <w:szCs w:val="21"/>
                                      </w:rPr>
                                      <w:t>装饰工程</w:t>
                                    </w:r>
                                  </w:p>
                                </w:txbxContent>
                              </wps:txbx>
                              <wps:bodyPr lIns="0" tIns="0" rIns="0" bIns="0" upright="1"/>
                            </wps:wsp>
                            <wps:wsp>
                              <wps:cNvPr id="91" name="文本框 42"/>
                              <wps:cNvSpPr txBox="1"/>
                              <wps:spPr>
                                <a:xfrm>
                                  <a:off x="2509520" y="835660"/>
                                  <a:ext cx="628015" cy="248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宋体" w:hAnsi="宋体" w:cs="宋体"/>
                                        <w:szCs w:val="21"/>
                                      </w:rPr>
                                    </w:pPr>
                                    <w:r>
                                      <w:rPr>
                                        <w:rFonts w:hint="eastAsia" w:ascii="宋体" w:hAnsi="宋体" w:cs="宋体"/>
                                        <w:szCs w:val="21"/>
                                      </w:rPr>
                                      <w:t>设备安装</w:t>
                                    </w:r>
                                  </w:p>
                                </w:txbxContent>
                              </wps:txbx>
                              <wps:bodyPr lIns="0" tIns="0" rIns="0" bIns="0" upright="1"/>
                            </wps:wsp>
                            <wps:wsp>
                              <wps:cNvPr id="92" name="直线 43"/>
                              <wps:cNvCnPr/>
                              <wps:spPr>
                                <a:xfrm>
                                  <a:off x="681355" y="972820"/>
                                  <a:ext cx="459105" cy="635"/>
                                </a:xfrm>
                                <a:prstGeom prst="line">
                                  <a:avLst/>
                                </a:prstGeom>
                                <a:ln w="9525" cap="flat" cmpd="sng">
                                  <a:solidFill>
                                    <a:srgbClr val="000000"/>
                                  </a:solidFill>
                                  <a:prstDash val="solid"/>
                                  <a:headEnd type="none" w="med" len="med"/>
                                  <a:tailEnd type="triangle" w="med" len="med"/>
                                </a:ln>
                              </wps:spPr>
                              <wps:bodyPr upright="1"/>
                            </wps:wsp>
                            <wps:wsp>
                              <wps:cNvPr id="93" name="直线 45"/>
                              <wps:cNvCnPr/>
                              <wps:spPr>
                                <a:xfrm>
                                  <a:off x="379095" y="594360"/>
                                  <a:ext cx="635" cy="257810"/>
                                </a:xfrm>
                                <a:prstGeom prst="line">
                                  <a:avLst/>
                                </a:prstGeom>
                                <a:ln w="9525" cap="flat" cmpd="sng">
                                  <a:solidFill>
                                    <a:srgbClr val="000000"/>
                                  </a:solidFill>
                                  <a:prstDash val="dash"/>
                                  <a:headEnd type="none" w="med" len="med"/>
                                  <a:tailEnd type="none" w="med" len="med"/>
                                </a:ln>
                              </wps:spPr>
                              <wps:bodyPr upright="1"/>
                            </wps:wsp>
                          </wpc:wpc>
                        </a:graphicData>
                      </a:graphic>
                    </wp:inline>
                  </w:drawing>
                </mc:Choice>
                <mc:Fallback>
                  <w:pict>
                    <v:group id="画布 22" o:spid="_x0000_s1026" o:spt="203" style="height:91.85pt;width:437.25pt;" coordsize="5553075,1166495" editas="canvas" o:gfxdata="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">
                      <o:lock v:ext="edit" aspectratio="f"/>
                      <v:shape id="画布 22" o:spid="_x0000_s1026" style="position:absolute;left:0;top:0;height:1166495;width:5553075;" filled="f" stroked="f" coordsize="21600,21600" o:gfxdata="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">
                        <v:fill on="f" focussize="0,0"/>
                        <v:stroke on="f"/>
                        <v:imagedata o:title=""/>
                        <o:lock v:ext="edit" aspectratio="t"/>
                      </v:shape>
                      <v:shape id="文本框 24" o:spid="_x0000_s1026" o:spt="202" type="#_x0000_t202" style="position:absolute;left:1391285;top:0;height:248285;width:673100;" fillcolor="#FFFFFF" filled="t" stroked="t" coordsize="21600,21600" o:gfxdata="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W6O0LXAAAA&#10;BQEAAA8AAAAAAAAAAQAgAAAAIgAAAGRycy9kb3ducmV2LnhtbFBLAQIUABQAAAAIAIdO4kDMq3M1&#10;HgIAAGAEAAAOAAAAAAAAAAEAIAAAACYBAABkcnMvZTJvRG9jLnhtbFBLBQYAAAAABgAGAFkBAAC2&#10;BQAAAAA=&#10;">
                        <v:fill on="t" focussize="0,0"/>
                        <v:stroke color="#000000" joinstyle="miter" dashstyle="1 1" endcap="round"/>
                        <v:imagedata o:title=""/>
                        <o:lock v:ext="edit" aspectratio="f"/>
                        <v:textbox inset="0mm,0mm,0mm,0mm">
                          <w:txbxContent>
                            <w:p>
                              <w:pPr>
                                <w:spacing w:line="360" w:lineRule="exact"/>
                                <w:jc w:val="center"/>
                                <w:rPr>
                                  <w:rFonts w:ascii="宋体" w:hAnsi="宋体" w:cs="宋体"/>
                                  <w:szCs w:val="21"/>
                                </w:rPr>
                              </w:pPr>
                              <w:r>
                                <w:rPr>
                                  <w:rFonts w:hint="eastAsia" w:ascii="宋体" w:hAnsi="宋体" w:cs="宋体"/>
                                  <w:szCs w:val="21"/>
                                </w:rPr>
                                <w:t>噪  声</w:t>
                              </w:r>
                            </w:p>
                          </w:txbxContent>
                        </v:textbox>
                      </v:shape>
                      <v:shape id="文本框 25" o:spid="_x0000_s1026" o:spt="202" type="#_x0000_t202" style="position:absolute;left:2112645;top:0;height:248285;width:671195;" fillcolor="#FFFFFF" filled="t" stroked="t" coordsize="21600,21600" o:gfxdata="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ujtC&#10;1wAAAAUBAAAPAAAAAAAAAAEAIAAAACIAAABkcnMvZG93bnJldi54bWxQSwECFAAUAAAACACHTuJA&#10;1gSooSICAABhBAAADgAAAAAAAAABACAAAAAmAQAAZHJzL2Uyb0RvYy54bWxQSwUGAAAAAAYABgBZ&#10;AQAAugUAAAAA&#10;">
                        <v:fill on="t" focussize="0,0"/>
                        <v:stroke color="#000000" joinstyle="miter" dashstyle="1 1" endcap="round"/>
                        <v:imagedata o:title=""/>
                        <o:lock v:ext="edit" aspectratio="f"/>
                        <v:textbox inset="0mm,0mm,0mm,0mm">
                          <w:txbxContent>
                            <w:p>
                              <w:pPr>
                                <w:spacing w:line="360" w:lineRule="exact"/>
                                <w:jc w:val="center"/>
                                <w:rPr>
                                  <w:rFonts w:ascii="宋体" w:hAnsi="宋体" w:cs="宋体"/>
                                  <w:szCs w:val="21"/>
                                </w:rPr>
                              </w:pPr>
                              <w:r>
                                <w:rPr>
                                  <w:rFonts w:hint="eastAsia" w:ascii="宋体" w:hAnsi="宋体" w:cs="宋体"/>
                                  <w:szCs w:val="21"/>
                                </w:rPr>
                                <w:t>扬  尘</w:t>
                              </w:r>
                            </w:p>
                          </w:txbxContent>
                        </v:textbox>
                      </v:shape>
                      <v:shape id="文本框 26" o:spid="_x0000_s1026" o:spt="202" type="#_x0000_t202" style="position:absolute;left:3041650;top:0;height:238125;width:619125;" fillcolor="#FFFFFF" filled="t" stroked="t" coordsize="21600,21600" o:gfxdata="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W6O0LXAAAA&#10;BQEAAA8AAAAAAAAAAQAgAAAAIgAAAGRycy9kb3ducmV2LnhtbFBLAQIUABQAAAAIAIdO4kCTv2et&#10;HgIAAGEEAAAOAAAAAAAAAAEAIAAAACYBAABkcnMvZTJvRG9jLnhtbFBLBQYAAAAABgAGAFkBAAC2&#10;BQAAAAA=&#10;">
                        <v:fill on="t" focussize="0,0"/>
                        <v:stroke color="#000000" joinstyle="miter" dashstyle="1 1" endcap="round"/>
                        <v:imagedata o:title=""/>
                        <o:lock v:ext="edit" aspectratio="f"/>
                        <v:textbox inset="0mm,0mm,0mm,0mm">
                          <w:txbxContent>
                            <w:p>
                              <w:pPr>
                                <w:jc w:val="center"/>
                              </w:pPr>
                              <w:r>
                                <w:rPr>
                                  <w:rFonts w:hint="eastAsia" w:ascii="宋体" w:hAnsi="宋体" w:cs="宋体"/>
                                  <w:szCs w:val="21"/>
                                </w:rPr>
                                <w:t>废水</w:t>
                              </w:r>
                            </w:p>
                            <w:p>
                              <w:pPr>
                                <w:jc w:val="center"/>
                              </w:pPr>
                            </w:p>
                            <w:p>
                              <w:pPr>
                                <w:jc w:val="center"/>
                              </w:pPr>
                            </w:p>
                            <w:p>
                              <w:pPr>
                                <w:spacing w:line="360" w:lineRule="exact"/>
                                <w:jc w:val="center"/>
                                <w:rPr>
                                  <w:szCs w:val="21"/>
                                </w:rPr>
                              </w:pPr>
                              <w:r>
                                <w:rPr>
                                  <w:rFonts w:hint="eastAsia"/>
                                  <w:szCs w:val="21"/>
                                </w:rPr>
                                <w:t xml:space="preserve">   </w:t>
                              </w:r>
                            </w:p>
                            <w:p>
                              <w:pPr>
                                <w:jc w:val="center"/>
                              </w:pPr>
                            </w:p>
                            <w:p>
                              <w:pPr>
                                <w:jc w:val="center"/>
                              </w:pPr>
                            </w:p>
                          </w:txbxContent>
                        </v:textbox>
                      </v:shape>
                      <v:line id="直线 674" o:spid="_x0000_s1026" o:spt="20" style="position:absolute;left:1602105;top:281940;flip:y;height:265430;width:635;" filled="f" stroked="t" coordsize="21600,21600" o:gfxdata="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PyaV1AAAAAUBAAAPAAAAAAAAAAEAIAAAACIAAABkcnMv&#10;ZG93bnJldi54bWxQSwECFAAUAAAACACHTuJAPybX/QcCAAD3AwAADgAAAAAAAAABACAAAAAjAQAA&#10;ZHJzL2Uyb0RvYy54bWxQSwUGAAAAAAYABgBZAQAAnAUAAAAA&#10;">
                        <v:fill on="f" focussize="0,0"/>
                        <v:stroke color="#000000" joinstyle="round" dashstyle="dash" endarrow="block"/>
                        <v:imagedata o:title=""/>
                        <o:lock v:ext="edit" aspectratio="f"/>
                      </v:line>
                      <v:line id="直线 28" o:spid="_x0000_s1026" o:spt="20" style="position:absolute;left:2431415;top:287655;flip:y;height:266065;width:635;" filled="f" stroked="t" coordsize="21600,21600" o:gfxdata="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Y/JpXUAAAABQEAAA8AAAAAAAAAAQAgAAAAIgAAAGRycy9k&#10;b3ducmV2LnhtbFBLAQIUABQAAAAIAIdO4kDOYor5BgIAAPYDAAAOAAAAAAAAAAEAIAAAACMBAABk&#10;cnMvZTJvRG9jLnhtbFBLBQYAAAAABgAGAFkBAACbBQAAAAA=&#10;">
                        <v:fill on="f" focussize="0,0"/>
                        <v:stroke color="#000000" joinstyle="round" dashstyle="dash" endarrow="block"/>
                        <v:imagedata o:title=""/>
                        <o:lock v:ext="edit" aspectratio="f"/>
                      </v:line>
                      <v:line id="直线 676" o:spid="_x0000_s1026" o:spt="20" style="position:absolute;left:3356610;top:281940;flip:y;height:265430;width:1270;" filled="f" stroked="t" coordsize="21600,21600" o:gfxdata="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JpXUAAAABQEAAA8AAAAAAAAAAQAgAAAAIgAAAGRy&#10;cy9kb3ducmV2LnhtbFBLAQIUABQAAAAIAIdO4kAqKCcUCQIAAPgDAAAOAAAAAAAAAAEAIAAAACMB&#10;AABkcnMvZTJvRG9jLnhtbFBLBQYAAAAABgAGAFkBAACeBQAAAAA=&#10;">
                        <v:fill on="f" focussize="0,0"/>
                        <v:stroke color="#000000" joinstyle="round" dashstyle="dash" endarrow="block"/>
                        <v:imagedata o:title=""/>
                        <o:lock v:ext="edit" aspectratio="f"/>
                      </v:line>
                      <v:line id="直线 30" o:spid="_x0000_s1026" o:spt="20" style="position:absolute;left:4472940;top:281305;flip:y;height:266065;width:635;" filled="f" stroked="t" coordsize="21600,21600" o:gfxdata="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Y/JpXUAAAABQEAAA8AAAAAAAAAAQAgAAAAIgAAAGRycy9k&#10;b3ducmV2LnhtbFBLAQIUABQAAAAIAIdO4kC3BBGaBgIAAPYDAAAOAAAAAAAAAAEAIAAAACMBAABk&#10;cnMvZTJvRG9jLnhtbFBLBQYAAAAABgAGAFkBAACbBQAAAAA=&#10;">
                        <v:fill on="f" focussize="0,0"/>
                        <v:stroke color="#000000" joinstyle="round" dashstyle="dash" endarrow="block"/>
                        <v:imagedata o:title=""/>
                        <o:lock v:ext="edit" aspectratio="f"/>
                      </v:line>
                      <v:line id="直线 31" o:spid="_x0000_s1026" o:spt="20" style="position:absolute;left:379095;top:559435;height:635;width:4084955;" filled="f" stroked="t" coordsize="21600,21600" o:gfxdata="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doafLWAAAABQEAAA8AAAAAAAAAAQAgAAAAIgAAAGRycy9kb3ducmV2LnhtbFBL&#10;AQIUABQAAAAIAIdO4kCY2LGo+AEAAOgDAAAOAAAAAAAAAAEAIAAAACUBAABkcnMvZTJvRG9jLnht&#10;bFBLBQYAAAAABgAGAFkBAACPBQAAAAA=&#10;">
                        <v:fill on="f" focussize="0,0"/>
                        <v:stroke color="#000000" joinstyle="round" dashstyle="dash"/>
                        <v:imagedata o:title=""/>
                        <o:lock v:ext="edit" aspectratio="f"/>
                      </v:line>
                      <v:line id="直线 33" o:spid="_x0000_s1026" o:spt="20" style="position:absolute;left:1613535;top:562610;height:257810;width:1270;" filled="f" stroked="t" coordsize="21600,21600" o:gfxdata="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doafLWAAAABQEAAA8AAAAAAAAAAQAgAAAAIgAAAGRycy9kb3ducmV2LnhtbFBL&#10;AQIUABQAAAAIAIdO4kBkTpCy+AEAAOkDAAAOAAAAAAAAAAEAIAAAACUBAABkcnMvZTJvRG9jLnht&#10;bFBLBQYAAAAABgAGAFkBAACPBQAAAAA=&#10;">
                        <v:fill on="f" focussize="0,0"/>
                        <v:stroke color="#000000" joinstyle="round" dashstyle="dash"/>
                        <v:imagedata o:title=""/>
                        <o:lock v:ext="edit" aspectratio="f"/>
                      </v:line>
                      <v:line id="直线 35" o:spid="_x0000_s1026" o:spt="20" style="position:absolute;left:2014855;top:977265;height:1905;width:455930;" filled="f" stroked="t" coordsize="21600,21600" o:gfxdata="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hRJD1wAAAAUBAAAPAAAAAAAAAAEAIAAAACIAAABkcnMvZG93&#10;bnJldi54bWxQSwECFAAUAAAACACHTuJACxudhwECAADuAwAADgAAAAAAAAABACAAAAAmAQAAZHJz&#10;L2Uyb0RvYy54bWxQSwUGAAAAAAYABgBZAQAAmQUAAAAA&#10;">
                        <v:fill on="f" focussize="0,0"/>
                        <v:stroke color="#000000" joinstyle="round" endarrow="block"/>
                        <v:imagedata o:title=""/>
                        <o:lock v:ext="edit" aspectratio="f"/>
                      </v:line>
                      <v:line id="直线 36" o:spid="_x0000_s1026" o:spt="20" style="position:absolute;left:3154045;top:971550;height:635;width:477520;" filled="f" stroked="t" coordsize="21600,21600" o:gfxdata="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FEkPXAAAABQEAAA8AAAAAAAAAAQAgAAAAIgAAAGRycy9kb3ducmV2&#10;LnhtbFBLAQIUABQAAAAIAIdO4kDahtbX/QEAAO0DAAAOAAAAAAAAAAEAIAAAACYBAABkcnMvZTJv&#10;RG9jLnhtbFBLBQYAAAAABgAGAFkBAACVBQAAAAA=&#10;">
                        <v:fill on="f" focussize="0,0"/>
                        <v:stroke color="#000000" joinstyle="round" endarrow="block"/>
                        <v:imagedata o:title=""/>
                        <o:lock v:ext="edit" aspectratio="f"/>
                      </v:line>
                      <v:line id="直线 37" o:spid="_x0000_s1026" o:spt="20" style="position:absolute;left:2771140;top:555625;height:257810;width:635;" filled="f" stroked="t" coordsize="21600,21600" o:gfxdata="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aGny1gAAAAUBAAAPAAAAAAAAAAEAIAAAACIAAABkcnMvZG93bnJldi54bWxQ&#10;SwECFAAUAAAACACHTuJAmdnAdvkBAADoAwAADgAAAAAAAAABACAAAAAlAQAAZHJzL2Uyb0RvYy54&#10;bWxQSwUGAAAAAAYABgBZAQAAkAUAAAAA&#10;">
                        <v:fill on="f" focussize="0,0"/>
                        <v:stroke color="#000000" joinstyle="round" dashstyle="dash"/>
                        <v:imagedata o:title=""/>
                        <o:lock v:ext="edit" aspectratio="f"/>
                      </v:line>
                      <v:shape id="文本框 38" o:spid="_x0000_s1026" o:spt="202" type="#_x0000_t202" style="position:absolute;left:3655060;top:833755;height:248285;width:628650;" fillcolor="#FFFFFF" filled="t" stroked="t" coordsize="21600,21600" o:gfxdata="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anq&#10;o9YAAAAFAQAADwAAAAAAAAABACAAAAAiAAAAZHJzL2Rvd25yZXYueG1sUEsBAhQAFAAAAAgAh07i&#10;QMBrfKUkAgAAZgQAAA4AAAAAAAAAAQAgAAAAJQEAAGRycy9lMm9Eb2MueG1sUEsFBgAAAAAGAAYA&#10;WQEAALsFAAAAAA==&#10;">
                        <v:fill on="t" focussize="0,0"/>
                        <v:stroke color="#000000" joinstyle="miter"/>
                        <v:imagedata o:title=""/>
                        <o:lock v:ext="edit" aspectratio="f"/>
                        <v:textbox inset="0mm,0mm,0mm,0mm">
                          <w:txbxContent>
                            <w:p>
                              <w:pPr>
                                <w:spacing w:line="360" w:lineRule="exact"/>
                                <w:jc w:val="center"/>
                                <w:rPr>
                                  <w:rFonts w:ascii="宋体" w:hAnsi="宋体" w:cs="宋体"/>
                                  <w:szCs w:val="21"/>
                                </w:rPr>
                              </w:pPr>
                              <w:r>
                                <w:rPr>
                                  <w:rFonts w:hint="eastAsia" w:ascii="宋体" w:hAnsi="宋体" w:cs="宋体"/>
                                  <w:szCs w:val="21"/>
                                </w:rPr>
                                <w:t>工程验收</w:t>
                              </w:r>
                            </w:p>
                          </w:txbxContent>
                        </v:textbox>
                      </v:shape>
                      <v:shape id="文本框 39" o:spid="_x0000_s1026" o:spt="202" type="#_x0000_t202" style="position:absolute;left:4182110;top:4445;height:238760;width:619125;" fillcolor="#FFFFFF" filled="t" stroked="t" coordsize="21600,21600" o:gfxdata="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bo7QtcAAAAFAQAADwAAAAAAAAABACAAAAAiAAAAZHJzL2Rvd25yZXYueG1sUEsBAhQAFAAAAAgA&#10;h07iQMkk7dkmAgAAZAQAAA4AAAAAAAAAAQAgAAAAJgEAAGRycy9lMm9Eb2MueG1sUEsFBgAAAAAG&#10;AAYAWQEAAL4FAAAAAA==&#10;">
                        <v:fill on="t" focussize="0,0"/>
                        <v:stroke color="#000000" joinstyle="miter" dashstyle="1 1" endcap="round"/>
                        <v:imagedata o:title=""/>
                        <o:lock v:ext="edit" aspectratio="f"/>
                        <v:textbox inset="0mm,0mm,0mm,0mm">
                          <w:txbxContent>
                            <w:p>
                              <w:pPr>
                                <w:spacing w:line="360" w:lineRule="exact"/>
                                <w:jc w:val="center"/>
                                <w:rPr>
                                  <w:rFonts w:ascii="宋体" w:hAnsi="宋体" w:cs="宋体"/>
                                  <w:szCs w:val="21"/>
                                </w:rPr>
                              </w:pPr>
                              <w:r>
                                <w:rPr>
                                  <w:rFonts w:hint="eastAsia" w:ascii="宋体" w:hAnsi="宋体" w:cs="宋体"/>
                                  <w:szCs w:val="21"/>
                                </w:rPr>
                                <w:t xml:space="preserve">固体废物   </w:t>
                              </w:r>
                            </w:p>
                          </w:txbxContent>
                        </v:textbox>
                      </v:shape>
                      <v:shape id="文本框 40" o:spid="_x0000_s1026" o:spt="202" type="#_x0000_t202" style="position:absolute;left:45720;top:843280;height:248285;width:635000;" fillcolor="#FFFFFF" filled="t" stroked="t" coordsize="21600,21600" o:gfxdata="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p&#10;6qPWAAAABQEAAA8AAAAAAAAAAQAgAAAAIgAAAGRycy9kb3ducmV2LnhtbFBLAQIUABQAAAAIAIdO&#10;4kC90u5CJQIAAGQEAAAOAAAAAAAAAAEAIAAAACUBAABkcnMvZTJvRG9jLnhtbFBLBQYAAAAABgAG&#10;AFkBAAC8BQAAAAA=&#10;">
                        <v:fill on="t" focussize="0,0"/>
                        <v:stroke color="#000000" joinstyle="miter"/>
                        <v:imagedata o:title=""/>
                        <o:lock v:ext="edit" aspectratio="f"/>
                        <v:textbox inset="0mm,0mm,0mm,0mm">
                          <w:txbxContent>
                            <w:p>
                              <w:pPr>
                                <w:spacing w:line="360" w:lineRule="exact"/>
                                <w:jc w:val="center"/>
                                <w:rPr>
                                  <w:rFonts w:ascii="宋体" w:hAnsi="宋体" w:cs="宋体"/>
                                  <w:szCs w:val="21"/>
                                </w:rPr>
                              </w:pPr>
                              <w:r>
                                <w:rPr>
                                  <w:rFonts w:hint="eastAsia" w:ascii="宋体" w:hAnsi="宋体" w:cs="宋体"/>
                                  <w:szCs w:val="21"/>
                                </w:rPr>
                                <w:t>施工搭架</w:t>
                              </w:r>
                            </w:p>
                          </w:txbxContent>
                        </v:textbox>
                      </v:shape>
                      <v:shape id="文本框 41" o:spid="_x0000_s1026" o:spt="202" type="#_x0000_t202" style="position:absolute;left:1272540;top:845185;height:248285;width:676910;" fillcolor="#FFFFFF" filled="t" stroked="t" coordsize="21600,21600" o:gfxdata="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p&#10;6qPWAAAABQEAAA8AAAAAAAAAAQAgAAAAIgAAAGRycy9kb3ducmV2LnhtbFBLAQIUABQAAAAIAIdO&#10;4kDH+w/qJQIAAGYEAAAOAAAAAAAAAAEAIAAAACUBAABkcnMvZTJvRG9jLnhtbFBLBQYAAAAABgAG&#10;AFkBAAC8BQAAAAA=&#10;">
                        <v:fill on="t" focussize="0,0"/>
                        <v:stroke color="#000000" joinstyle="miter"/>
                        <v:imagedata o:title=""/>
                        <o:lock v:ext="edit" aspectratio="f"/>
                        <v:textbox inset="0mm,0mm,0mm,0mm">
                          <w:txbxContent>
                            <w:p>
                              <w:pPr>
                                <w:spacing w:line="360" w:lineRule="exact"/>
                                <w:jc w:val="center"/>
                                <w:rPr>
                                  <w:rFonts w:ascii="宋体" w:hAnsi="宋体" w:cs="宋体"/>
                                  <w:szCs w:val="21"/>
                                </w:rPr>
                              </w:pPr>
                              <w:r>
                                <w:rPr>
                                  <w:rFonts w:hint="eastAsia" w:ascii="宋体" w:hAnsi="宋体" w:cs="宋体"/>
                                  <w:szCs w:val="21"/>
                                </w:rPr>
                                <w:t>装饰工程</w:t>
                              </w:r>
                            </w:p>
                          </w:txbxContent>
                        </v:textbox>
                      </v:shape>
                      <v:shape id="文本框 42" o:spid="_x0000_s1026" o:spt="202" type="#_x0000_t202" style="position:absolute;left:2509520;top:835660;height:248285;width:628015;" fillcolor="#FFFFFF" filled="t" stroked="t" coordsize="21600,21600" o:gfxdata="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anq&#10;o9YAAAAFAQAADwAAAAAAAAABACAAAAAiAAAAZHJzL2Rvd25yZXYueG1sUEsBAhQAFAAAAAgAh07i&#10;QDtgs+AkAgAAZgQAAA4AAAAAAAAAAQAgAAAAJQEAAGRycy9lMm9Eb2MueG1sUEsFBgAAAAAGAAYA&#10;WQEAALsFAAAAAA==&#10;">
                        <v:fill on="t" focussize="0,0"/>
                        <v:stroke color="#000000" joinstyle="miter"/>
                        <v:imagedata o:title=""/>
                        <o:lock v:ext="edit" aspectratio="f"/>
                        <v:textbox inset="0mm,0mm,0mm,0mm">
                          <w:txbxContent>
                            <w:p>
                              <w:pPr>
                                <w:spacing w:line="360" w:lineRule="exact"/>
                                <w:jc w:val="center"/>
                                <w:rPr>
                                  <w:rFonts w:ascii="宋体" w:hAnsi="宋体" w:cs="宋体"/>
                                  <w:szCs w:val="21"/>
                                </w:rPr>
                              </w:pPr>
                              <w:r>
                                <w:rPr>
                                  <w:rFonts w:hint="eastAsia" w:ascii="宋体" w:hAnsi="宋体" w:cs="宋体"/>
                                  <w:szCs w:val="21"/>
                                </w:rPr>
                                <w:t>设备安装</w:t>
                              </w:r>
                            </w:p>
                          </w:txbxContent>
                        </v:textbox>
                      </v:shape>
                      <v:line id="直线 43" o:spid="_x0000_s1026" o:spt="20" style="position:absolute;left:681355;top:972820;height:635;width:459105;" filled="f" stroked="t" coordsize="21600,21600" o:gfxdata="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hRJD1wAAAAUBAAAPAAAAAAAAAAEAIAAAACIAAABkcnMvZG93bnJldi54&#10;bWxQSwECFAAUAAAACACHTuJAsG8EofsBAADsAwAADgAAAAAAAAABACAAAAAmAQAAZHJzL2Uyb0Rv&#10;Yy54bWxQSwUGAAAAAAYABgBZAQAAkwUAAAAA&#10;">
                        <v:fill on="f" focussize="0,0"/>
                        <v:stroke color="#000000" joinstyle="round" endarrow="block"/>
                        <v:imagedata o:title=""/>
                        <o:lock v:ext="edit" aspectratio="f"/>
                      </v:line>
                      <v:line id="直线 45" o:spid="_x0000_s1026" o:spt="20" style="position:absolute;left:379095;top:594360;height:257810;width:635;" filled="f" stroked="t" coordsize="21600,21600" o:gfxdata="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2hp8tYAAAAFAQAADwAAAAAAAAABACAAAAAiAAAAZHJzL2Rvd25yZXYueG1sUEsB&#10;AhQAFAAAAAgAh07iQDX5CC33AQAA5wMAAA4AAAAAAAAAAQAgAAAAJQEAAGRycy9lMm9Eb2MueG1s&#10;UEsFBgAAAAAGAAYAWQEAAI4FAAAAAA==&#10;">
                        <v:fill on="f" focussize="0,0"/>
                        <v:stroke color="#000000" joinstyle="round" dashstyle="dash"/>
                        <v:imagedata o:title=""/>
                        <o:lock v:ext="edit" aspectratio="f"/>
                      </v:line>
                      <w10:wrap type="none"/>
                      <w10:anchorlock/>
                    </v:group>
                  </w:pict>
                </mc:Fallback>
              </mc:AlternateContent>
            </w:r>
            <w:r>
              <w:rPr>
                <w:rFonts w:hint="default" w:ascii="Times New Roman" w:hAnsi="Times New Roman" w:eastAsia="宋体" w:cs="Times New Roman"/>
                <w:b/>
                <w:bCs w:val="0"/>
                <w:color w:val="auto"/>
                <w:sz w:val="21"/>
                <w:szCs w:val="21"/>
              </w:rPr>
              <w:t>图9-1  施工期工艺流程及污染物产生环节图</w:t>
            </w:r>
          </w:p>
          <w:p>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根据《放射治疗机房的辐射屏蔽规范 第1部分：一般原则》（GBZ201.1-2007）中相关要求，本项目加速器机房在施工期严格按照施工规范进行施工，机房的混凝土浇筑一次整体浇筑并有充分的振捣，以防出现裂缝和过大的气孔。</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sz w:val="24"/>
                <w:szCs w:val="24"/>
              </w:rPr>
            </w:pPr>
            <w:r>
              <w:rPr>
                <w:rFonts w:hint="eastAsia" w:ascii="Times New Roman" w:hAnsi="Times New Roman" w:cs="Times New Roman"/>
                <w:b w:val="0"/>
                <w:bCs/>
                <w:color w:val="auto"/>
                <w:sz w:val="24"/>
                <w:szCs w:val="24"/>
                <w:highlight w:val="none"/>
                <w:lang w:val="en-US" w:eastAsia="zh-CN"/>
              </w:rPr>
              <w:t xml:space="preserve">    在后期的室内装修及其他辐射防护设施安装过程中，在机房内、外墙上的电气部件 （如配电箱、激光定位器等）的部位，应与同侧墙具有同等的屏蔽；迷道的防护门结构应考虑门因自身重量而发生形变、频繁开关门的振动连接松动、屏蔽体老化龟裂等问题，防护门应尽可能减小缝隙泄露辐射，通常防护门宽于门洞的部分应大于“门-墙”间隙的十倍，墙体与防护门应有足够的搭接宽度，应预留防护门下沉沟槽。</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1、扬尘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由于本项目施工期工程量较小，设备安装及管线敷设</w:t>
            </w:r>
            <w:r>
              <w:rPr>
                <w:rFonts w:hint="default" w:ascii="Times New Roman" w:hAnsi="Times New Roman" w:cs="Times New Roman"/>
                <w:bCs/>
                <w:color w:val="auto"/>
                <w:sz w:val="24"/>
                <w:lang w:val="en-US" w:eastAsia="zh-CN"/>
              </w:rPr>
              <w:t>和</w:t>
            </w:r>
            <w:r>
              <w:rPr>
                <w:rFonts w:hint="default" w:ascii="Times New Roman" w:hAnsi="Times New Roman" w:cs="Times New Roman"/>
                <w:color w:val="auto"/>
                <w:kern w:val="44"/>
                <w:sz w:val="24"/>
              </w:rPr>
              <w:t>环境防护设施</w:t>
            </w:r>
            <w:r>
              <w:rPr>
                <w:rFonts w:hint="default" w:ascii="Times New Roman" w:hAnsi="Times New Roman" w:cs="Times New Roman"/>
                <w:color w:val="auto"/>
                <w:kern w:val="44"/>
                <w:sz w:val="24"/>
                <w:lang w:val="en-US" w:eastAsia="zh-CN"/>
              </w:rPr>
              <w:t>安装</w:t>
            </w:r>
            <w:r>
              <w:rPr>
                <w:rFonts w:hint="default" w:ascii="Times New Roman" w:hAnsi="Times New Roman" w:cs="Times New Roman"/>
                <w:bCs/>
                <w:color w:val="auto"/>
                <w:sz w:val="24"/>
              </w:rPr>
              <w:t>过程中产生极少量扬尘。</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由于主体工程施工期间已预留有管线沟槽，设备安装及管线敷设</w:t>
            </w:r>
            <w:r>
              <w:rPr>
                <w:rFonts w:hint="default" w:ascii="Times New Roman" w:hAnsi="Times New Roman" w:cs="Times New Roman"/>
                <w:bCs/>
                <w:color w:val="auto"/>
                <w:sz w:val="24"/>
                <w:lang w:val="en-US" w:eastAsia="zh-CN"/>
              </w:rPr>
              <w:t>和</w:t>
            </w:r>
            <w:r>
              <w:rPr>
                <w:rFonts w:hint="default" w:ascii="Times New Roman" w:hAnsi="Times New Roman" w:cs="Times New Roman"/>
                <w:color w:val="auto"/>
                <w:kern w:val="44"/>
                <w:sz w:val="24"/>
              </w:rPr>
              <w:t>环境防护设施</w:t>
            </w:r>
            <w:r>
              <w:rPr>
                <w:rFonts w:hint="default" w:ascii="Times New Roman" w:hAnsi="Times New Roman" w:cs="Times New Roman"/>
                <w:bCs/>
                <w:color w:val="auto"/>
                <w:sz w:val="24"/>
              </w:rPr>
              <w:t>安装过程中会产生一定噪声。</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3、废水</w:t>
            </w:r>
          </w:p>
          <w:p>
            <w:pPr>
              <w:keepNext w:val="0"/>
              <w:keepLines w:val="0"/>
              <w:suppressLineNumbers w:val="0"/>
              <w:spacing w:before="0" w:beforeAutospacing="0" w:after="0" w:afterAutospacing="0" w:line="360" w:lineRule="auto"/>
              <w:ind w:left="0" w:right="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    本项目施工期废水主要为施工人员的生活污水。</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4、固体废物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val="0"/>
                <w:color w:val="auto"/>
                <w:sz w:val="21"/>
                <w:szCs w:val="21"/>
              </w:rPr>
            </w:pPr>
            <w:r>
              <w:rPr>
                <w:rFonts w:hint="default" w:ascii="Times New Roman" w:hAnsi="Times New Roman" w:cs="Times New Roman"/>
                <w:bCs/>
                <w:color w:val="auto"/>
                <w:sz w:val="24"/>
              </w:rPr>
              <w:t>设备安装及管线敷设</w:t>
            </w:r>
            <w:r>
              <w:rPr>
                <w:rFonts w:hint="default" w:ascii="Times New Roman" w:hAnsi="Times New Roman" w:cs="Times New Roman"/>
                <w:bCs/>
                <w:color w:val="auto"/>
                <w:sz w:val="24"/>
                <w:lang w:val="en-US" w:eastAsia="zh-CN"/>
              </w:rPr>
              <w:t>和辐射</w:t>
            </w:r>
            <w:r>
              <w:rPr>
                <w:rFonts w:hint="default" w:ascii="Times New Roman" w:hAnsi="Times New Roman" w:cs="Times New Roman"/>
                <w:color w:val="auto"/>
                <w:kern w:val="44"/>
                <w:sz w:val="24"/>
              </w:rPr>
              <w:t>防护设施</w:t>
            </w:r>
            <w:r>
              <w:rPr>
                <w:rFonts w:hint="default" w:ascii="Times New Roman" w:hAnsi="Times New Roman" w:cs="Times New Roman"/>
                <w:color w:val="auto"/>
                <w:kern w:val="44"/>
                <w:sz w:val="24"/>
                <w:lang w:val="en-US" w:eastAsia="zh-CN"/>
              </w:rPr>
              <w:t>安装</w:t>
            </w:r>
            <w:r>
              <w:rPr>
                <w:rFonts w:hint="default" w:ascii="Times New Roman" w:hAnsi="Times New Roman" w:cs="Times New Roman"/>
                <w:bCs/>
                <w:color w:val="auto"/>
                <w:sz w:val="24"/>
              </w:rPr>
              <w:t>过程中产生的装修垃圾和</w:t>
            </w:r>
            <w:r>
              <w:rPr>
                <w:rFonts w:hint="default" w:ascii="Times New Roman" w:hAnsi="Times New Roman" w:cs="Times New Roman"/>
                <w:color w:val="auto"/>
                <w:sz w:val="24"/>
              </w:rPr>
              <w:t>施工人员产生的生活垃圾可依托市政垃圾收运系统收集处理</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val="en-US" w:eastAsia="zh-CN"/>
              </w:rPr>
              <w:t xml:space="preserve">二、设备安装调试阶段工艺分析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 xml:space="preserve">项目拟购直线加速器和后装机在安装调试阶段会产生 X、γ 射线。在设备安装调试完后，现场会有少量的废包装材料产生。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 xml:space="preserve">项目直线加速器和后装机的运输、安装和调试均由设备厂家安排的专业人员进行。在设备安装调试期间，医院应配合设备厂家专业人员加强安装调试现场的辐射安全管理，保证在此期间内放射工作场所设置的各类辐射安全防护措施正常运行。设备安装好后，应先启动安全联锁装置，并经确认系统正常后才可启动射线装置。在射线装置进行调试期间，应关闭机房防护门，在门外设置醒目的电离辐射警告标志，禁止无关人员靠近；射线源开关钥匙应安排专人看管；安装人员离开机房期间，机房必须关闭上锁，钥匙交由专人看管或安排专人看守。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为确保加速器、</w:t>
            </w:r>
            <w:r>
              <w:rPr>
                <w:rFonts w:hint="eastAsia" w:ascii="Times New Roman" w:hAnsi="Times New Roman" w:cs="Times New Roman"/>
                <w:bCs/>
                <w:color w:val="auto"/>
                <w:sz w:val="24"/>
                <w:lang w:val="en-US" w:eastAsia="zh-CN"/>
              </w:rPr>
              <w:t>后装治疗室</w:t>
            </w:r>
            <w:r>
              <w:rPr>
                <w:rFonts w:hint="default" w:ascii="Times New Roman" w:hAnsi="Times New Roman" w:cs="Times New Roman"/>
                <w:bCs/>
                <w:color w:val="auto"/>
                <w:sz w:val="24"/>
                <w:lang w:val="en-US" w:eastAsia="zh-CN"/>
              </w:rPr>
              <w:t xml:space="preserve">工程屏蔽防护设施满足设计要求和辐射防护安全，提出以下施工管理要求：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①加速器、</w:t>
            </w:r>
            <w:r>
              <w:rPr>
                <w:rFonts w:hint="eastAsia" w:ascii="Times New Roman" w:hAnsi="Times New Roman" w:cs="Times New Roman"/>
                <w:bCs/>
                <w:color w:val="auto"/>
                <w:sz w:val="24"/>
                <w:lang w:val="en-US" w:eastAsia="zh-CN"/>
              </w:rPr>
              <w:t>后装治疗室</w:t>
            </w:r>
            <w:r>
              <w:rPr>
                <w:rFonts w:hint="default" w:ascii="Times New Roman" w:hAnsi="Times New Roman" w:cs="Times New Roman"/>
                <w:bCs/>
                <w:color w:val="auto"/>
                <w:sz w:val="24"/>
                <w:lang w:val="en-US" w:eastAsia="zh-CN"/>
              </w:rPr>
              <w:t xml:space="preserve">的土建施工必须符合其建设设计要求，机房混凝土施工过程中，对混凝土剪力墙及屋面屏蔽墙混凝土浇注应连续整体灌注，避免间断性施工作业，不留施工缝，防止屏蔽墙出现缝隙和气泡等现象，以防出现射线外泄；机房地面也要为混凝土地平；穿过屏蔽体的各种管道、电缆应采取适当的屏蔽防护措施，不得影响屏蔽体的屏蔽防护效果，其预留孔洞不得正对工作人员经常停留的地点。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 xml:space="preserve">②凡涉及射线装置和后装机的安装调试、维修的技术服务单位，必须是持有辐射安全许可证的单位。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③在设备安装及调试阶段，应加强辐射防护管理，应关闭机房防护门，在门外设置醒目的电离辐射警告标志，禁止无关人员靠近；射线源开关钥匙应安排专人看管。安装人员离开机房期间，机房必须关闭上锁，钥匙交由专人看管或安排专人看守。</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rPr>
            </w:pPr>
            <w:r>
              <w:rPr>
                <w:rFonts w:hint="default" w:ascii="Times New Roman" w:hAnsi="Times New Roman" w:cs="Times New Roman"/>
                <w:b/>
                <w:bCs/>
                <w:color w:val="auto"/>
                <w:sz w:val="28"/>
                <w:szCs w:val="28"/>
                <w:lang w:val="en-US" w:eastAsia="zh-CN"/>
              </w:rPr>
              <w:t>三</w:t>
            </w:r>
            <w:r>
              <w:rPr>
                <w:rFonts w:hint="default" w:ascii="Times New Roman" w:hAnsi="Times New Roman" w:eastAsia="宋体" w:cs="Times New Roman"/>
                <w:b/>
                <w:bCs/>
                <w:color w:val="auto"/>
                <w:sz w:val="28"/>
                <w:szCs w:val="28"/>
              </w:rPr>
              <w:t>、运营期</w:t>
            </w:r>
          </w:p>
          <w:p>
            <w:pPr>
              <w:keepNext w:val="0"/>
              <w:keepLines w:val="0"/>
              <w:suppressLineNumbers w:val="0"/>
              <w:spacing w:before="0" w:beforeAutospacing="0" w:after="0" w:afterAutospacing="0"/>
              <w:ind w:left="0" w:right="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w:t>
            </w:r>
            <w:r>
              <w:rPr>
                <w:rFonts w:hint="default" w:ascii="Times New Roman" w:hAnsi="Times New Roman" w:cs="Times New Roman"/>
                <w:b/>
                <w:bCs w:val="0"/>
                <w:color w:val="auto"/>
                <w:sz w:val="24"/>
              </w:rPr>
              <w:t>10MV</w:t>
            </w:r>
            <w:r>
              <w:rPr>
                <w:rFonts w:hint="default" w:ascii="Times New Roman" w:hAnsi="Times New Roman" w:cs="Times New Roman"/>
                <w:b/>
                <w:bCs/>
                <w:color w:val="auto"/>
                <w:sz w:val="24"/>
                <w:szCs w:val="24"/>
              </w:rPr>
              <w:t>直线加速器工艺流程及产污环节分析</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工作原理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本项目10MV医用直线加速器属治疗类射线装置，主要用于肿瘤病人的放射性治疗，其治疗机理是根据肿瘤的不同情况通过模拟定位，采用X射线束（深部治疗）进行照射</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采用</w:t>
            </w:r>
            <w:r>
              <w:rPr>
                <w:rFonts w:hint="default" w:ascii="Times New Roman" w:hAnsi="Times New Roman" w:cs="Times New Roman"/>
                <w:bCs/>
                <w:color w:val="auto"/>
                <w:sz w:val="24"/>
                <w:lang w:val="en-US" w:eastAsia="zh-CN"/>
              </w:rPr>
              <w:t>电子线对</w:t>
            </w:r>
            <w:r>
              <w:rPr>
                <w:rFonts w:hint="default" w:ascii="Times New Roman" w:hAnsi="Times New Roman" w:cs="Times New Roman"/>
                <w:bCs/>
                <w:color w:val="auto"/>
                <w:sz w:val="24"/>
                <w:lang w:eastAsia="zh-CN"/>
              </w:rPr>
              <w:t>表层病灶</w:t>
            </w:r>
            <w:r>
              <w:rPr>
                <w:rFonts w:hint="default" w:ascii="Times New Roman" w:hAnsi="Times New Roman" w:cs="Times New Roman"/>
                <w:bCs/>
                <w:color w:val="auto"/>
                <w:sz w:val="24"/>
              </w:rPr>
              <w:t>进行照射，</w:t>
            </w:r>
            <w:r>
              <w:rPr>
                <w:rFonts w:hint="default" w:ascii="Times New Roman" w:hAnsi="Times New Roman" w:cs="Times New Roman"/>
                <w:color w:val="auto"/>
                <w:sz w:val="24"/>
              </w:rPr>
              <w:t>使细胞分裂和代谢遭到破坏，杀死或者抑制细胞的繁殖生长，从而达到治疗的目的。</w:t>
            </w:r>
            <w:r>
              <w:rPr>
                <w:rFonts w:hint="default" w:ascii="Times New Roman" w:hAnsi="Times New Roman" w:cs="Times New Roman"/>
                <w:bCs/>
                <w:color w:val="auto"/>
                <w:sz w:val="24"/>
              </w:rPr>
              <w:t>物理师对肿瘤病人治疗计划设计时，严格按照相关标准，为病人的正常组织和医务人员的受照剂量进行计算-复核-模拟检测-实施中监测和健康监护等，并做好照射记录。根据病灶位置与性质及目的不同，给予的照射总剂量有所不同；治疗方法不同，给予的每日剂量亦不同。</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设备</w:t>
            </w:r>
            <w:r>
              <w:rPr>
                <w:rFonts w:hint="default" w:ascii="Times New Roman" w:hAnsi="Times New Roman" w:eastAsia="宋体" w:cs="Times New Roman"/>
                <w:b/>
                <w:bCs/>
                <w:color w:val="auto"/>
                <w:sz w:val="24"/>
                <w:szCs w:val="24"/>
                <w:highlight w:val="none"/>
              </w:rPr>
              <w:t>组成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医用直线加速器的核心部位由电子枪、加速管和束流控制三个主要部分组成，由于直线加速器结构简单、造价低、不使用放射源，目前已成为医院放射治疗的主要手段。本项目医院拟</w:t>
            </w:r>
            <w:r>
              <w:rPr>
                <w:rFonts w:hint="eastAsia" w:ascii="Times New Roman" w:hAnsi="Times New Roman" w:cs="Times New Roman"/>
                <w:color w:val="auto"/>
                <w:sz w:val="24"/>
                <w:lang w:val="en-US" w:eastAsia="zh-CN"/>
              </w:rPr>
              <w:t>搬迁1台</w:t>
            </w:r>
            <w:r>
              <w:rPr>
                <w:rFonts w:hint="default" w:ascii="Times New Roman" w:hAnsi="Times New Roman" w:cs="Times New Roman"/>
                <w:color w:val="auto"/>
                <w:sz w:val="24"/>
              </w:rPr>
              <w:t>10MV直线加速器</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购买</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台10MV直线加速器，属Ⅱ类射线装置，其结构图见附图9-2，具体参数见表9-1。</w:t>
            </w:r>
          </w:p>
          <w:p>
            <w:pPr>
              <w:keepNext w:val="0"/>
              <w:keepLines w:val="0"/>
              <w:suppressLineNumbers w:val="0"/>
              <w:spacing w:before="0" w:beforeAutospacing="0" w:after="0" w:afterAutospacing="0" w:line="360" w:lineRule="auto"/>
              <w:ind w:left="0" w:right="0"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0" distR="0">
                  <wp:extent cx="4292600" cy="2125345"/>
                  <wp:effectExtent l="0" t="0" r="12700" b="8255"/>
                  <wp:docPr id="3" name="图片 24" descr="QQ图片2016060314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QQ图片20160603143630"/>
                          <pic:cNvPicPr>
                            <a:picLocks noChangeAspect="1" noChangeArrowheads="1"/>
                          </pic:cNvPicPr>
                        </pic:nvPicPr>
                        <pic:blipFill>
                          <a:blip r:embed="rId9"/>
                          <a:srcRect/>
                          <a:stretch>
                            <a:fillRect/>
                          </a:stretch>
                        </pic:blipFill>
                        <pic:spPr>
                          <a:xfrm>
                            <a:off x="0" y="0"/>
                            <a:ext cx="4292600" cy="2125345"/>
                          </a:xfrm>
                          <a:prstGeom prst="rect">
                            <a:avLst/>
                          </a:prstGeom>
                          <a:noFill/>
                          <a:ln w="9525">
                            <a:noFill/>
                            <a:miter lim="800000"/>
                            <a:headEnd/>
                            <a:tailEnd/>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图9-2 本项目10MV直线加速器结构示意图</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表9-1　10MV医用直线加速器参数</w:t>
            </w:r>
          </w:p>
          <w:tbl>
            <w:tblPr>
              <w:tblStyle w:val="17"/>
              <w:tblW w:w="88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33"/>
              <w:gridCol w:w="4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厂家、型号</w:t>
                  </w:r>
                </w:p>
              </w:tc>
              <w:tc>
                <w:tcPr>
                  <w:tcW w:w="498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待定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最大X射线能量</w:t>
                  </w:r>
                </w:p>
              </w:tc>
              <w:tc>
                <w:tcPr>
                  <w:tcW w:w="498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10MV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最大电子线能量</w:t>
                  </w:r>
                </w:p>
              </w:tc>
              <w:tc>
                <w:tcPr>
                  <w:tcW w:w="498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21MeV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X射线泄漏率</w:t>
                  </w:r>
                </w:p>
              </w:tc>
              <w:tc>
                <w:tcPr>
                  <w:tcW w:w="498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X射线1m处剂量率</w:t>
                  </w:r>
                </w:p>
              </w:tc>
              <w:tc>
                <w:tcPr>
                  <w:tcW w:w="4987" w:type="dxa"/>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6Gy/min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电子</w:t>
                  </w:r>
                  <w:r>
                    <w:rPr>
                      <w:rFonts w:hint="default" w:ascii="Times New Roman" w:hAnsi="Times New Roman" w:cs="Times New Roman"/>
                      <w:color w:val="auto"/>
                      <w:szCs w:val="21"/>
                      <w:lang w:val="en-US" w:eastAsia="zh-CN"/>
                    </w:rPr>
                    <w:t>线</w:t>
                  </w:r>
                  <w:r>
                    <w:rPr>
                      <w:rFonts w:hint="default" w:ascii="Times New Roman" w:hAnsi="Times New Roman" w:cs="Times New Roman"/>
                      <w:color w:val="auto"/>
                      <w:szCs w:val="21"/>
                    </w:rPr>
                    <w:t>1m处剂量率</w:t>
                  </w:r>
                </w:p>
              </w:tc>
              <w:tc>
                <w:tcPr>
                  <w:tcW w:w="4987" w:type="dxa"/>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Gy/min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治疗角</w:t>
                  </w:r>
                </w:p>
              </w:tc>
              <w:tc>
                <w:tcPr>
                  <w:tcW w:w="4987" w:type="dxa"/>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0-360°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正常治疗距离</w:t>
                  </w:r>
                </w:p>
              </w:tc>
              <w:tc>
                <w:tcPr>
                  <w:tcW w:w="4987" w:type="dxa"/>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100cm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主射线最大出束角度</w:t>
                  </w:r>
                </w:p>
              </w:tc>
              <w:tc>
                <w:tcPr>
                  <w:tcW w:w="4987" w:type="dxa"/>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等中心高度</w:t>
                  </w:r>
                </w:p>
              </w:tc>
              <w:tc>
                <w:tcPr>
                  <w:tcW w:w="4987" w:type="dxa"/>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1.</w:t>
                  </w: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lang w:val="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83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最大照射野（SSD=1米）</w:t>
                  </w:r>
                </w:p>
              </w:tc>
              <w:tc>
                <w:tcPr>
                  <w:tcW w:w="498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40 cm×40cm，多叶准直器最小厚度不大于5mm</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）治疗流程及产污染环节</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rPr>
              <w:t>直线加速器治疗流程为：病人进行放射治疗的确诊并向患者告知可能受到辐射危害→职业人员佩戴个人剂量计，携带个人计量报警仪→模拟定位、进行体表标记→制定治疗计划、确定照射位置和剂量→病人进入</w:t>
            </w:r>
            <w:r>
              <w:rPr>
                <w:rFonts w:hint="eastAsia" w:ascii="Times New Roman" w:hAnsi="Times New Roman" w:cs="Times New Roman"/>
                <w:color w:val="auto"/>
                <w:sz w:val="24"/>
                <w:lang w:eastAsia="zh-CN"/>
              </w:rPr>
              <w:t>加速器治疗室</w:t>
            </w:r>
            <w:r>
              <w:rPr>
                <w:rFonts w:hint="default" w:ascii="Times New Roman" w:hAnsi="Times New Roman" w:cs="Times New Roman"/>
                <w:color w:val="auto"/>
                <w:sz w:val="24"/>
              </w:rPr>
              <w:t>→关闭屏蔽门并开启安全联锁→加速器出束治疗、实施治疗→治疗完毕。本项目所使用的直线加速器治疗流程及产污位置见图9-</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color w:val="auto"/>
                <w:sz w:val="28"/>
                <w:szCs w:val="28"/>
                <w:lang w:val="en-US" w:eastAsia="zh-CN"/>
              </w:rPr>
            </w:pPr>
            <w:r>
              <w:rPr>
                <w:rFonts w:hint="default" w:ascii="Times New Roman" w:hAnsi="Times New Roman" w:cs="Times New Roman"/>
                <w:color w:val="auto"/>
              </w:rPr>
              <mc:AlternateContent>
                <mc:Choice Requires="wps">
                  <w:drawing>
                    <wp:anchor distT="0" distB="0" distL="114300" distR="114300" simplePos="0" relativeHeight="251681792" behindDoc="0" locked="0" layoutInCell="1" allowOverlap="1">
                      <wp:simplePos x="0" y="0"/>
                      <wp:positionH relativeFrom="column">
                        <wp:posOffset>1499235</wp:posOffset>
                      </wp:positionH>
                      <wp:positionV relativeFrom="paragraph">
                        <wp:posOffset>550545</wp:posOffset>
                      </wp:positionV>
                      <wp:extent cx="2099945" cy="506095"/>
                      <wp:effectExtent l="6350" t="6350" r="8255" b="20955"/>
                      <wp:wrapNone/>
                      <wp:docPr id="62" name="Text Box 172"/>
                      <wp:cNvGraphicFramePr/>
                      <a:graphic xmlns:a="http://schemas.openxmlformats.org/drawingml/2006/main">
                        <a:graphicData uri="http://schemas.microsoft.com/office/word/2010/wordprocessingShape">
                          <wps:wsp>
                            <wps:cNvSpPr txBox="1">
                              <a:spLocks noChangeArrowheads="1"/>
                            </wps:cNvSpPr>
                            <wps:spPr bwMode="auto">
                              <a:xfrm>
                                <a:off x="0" y="0"/>
                                <a:ext cx="2099945" cy="297180"/>
                              </a:xfrm>
                              <a:prstGeom prst="rect">
                                <a:avLst/>
                              </a:prstGeom>
                              <a:solidFill>
                                <a:srgbClr val="FFFFFF"/>
                              </a:solidFill>
                              <a:ln w="12700">
                                <a:solidFill>
                                  <a:srgbClr val="000000"/>
                                </a:solidFill>
                                <a:miter lim="800000"/>
                              </a:ln>
                              <a:effectLst/>
                            </wps:spPr>
                            <wps:txbx>
                              <w:txbxContent>
                                <w:p>
                                  <w:pPr>
                                    <w:jc w:val="center"/>
                                  </w:pPr>
                                  <w:r>
                                    <w:rPr>
                                      <w:rFonts w:hint="eastAsia"/>
                                    </w:rPr>
                                    <w:t>病人进行放射治疗的确诊，向病人告知可能受到的辐射危害</w:t>
                                  </w:r>
                                </w:p>
                                <w:p>
                                  <w:pPr>
                                    <w:jc w:val="center"/>
                                  </w:pPr>
                                </w:p>
                              </w:txbxContent>
                            </wps:txbx>
                            <wps:bodyPr rot="0" vert="horz" wrap="square" lIns="91440" tIns="45720" rIns="91440" bIns="45720" anchor="t" anchorCtr="0" upright="1">
                              <a:noAutofit/>
                            </wps:bodyPr>
                          </wps:wsp>
                        </a:graphicData>
                      </a:graphic>
                    </wp:anchor>
                  </w:drawing>
                </mc:Choice>
                <mc:Fallback>
                  <w:pict>
                    <v:shape id="Text Box 172" o:spid="_x0000_s1026" o:spt="202" type="#_x0000_t202" style="position:absolute;left:0pt;margin-left:118.05pt;margin-top:43.35pt;height:39.85pt;width:165.35pt;z-index:251681792;mso-width-relative:page;mso-height-relative:page;" fillcolor="#FFFFFF" filled="t" stroked="t" coordsize="21600,21600" o:gfxdata="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kuGL9sAAAAKAQAADwAAAAAAAAABACAAAAAiAAAAZHJz&#10;L2Rvd25yZXYueG1sUEsBAhQAFAAAAAgAh07iQDtKIxU6AgAAmAQAAA4AAAAAAAAAAQAgAAAAKgEA&#10;AGRycy9lMm9Eb2MueG1sUEsFBgAAAAAGAAYAWQEAANYFAAAAAA==&#10;">
                      <v:fill on="t" focussize="0,0"/>
                      <v:stroke weight="1pt" color="#000000" miterlimit="8" joinstyle="miter"/>
                      <v:imagedata o:title=""/>
                      <o:lock v:ext="edit" aspectratio="f"/>
                      <v:textbox>
                        <w:txbxContent>
                          <w:p>
                            <w:pPr>
                              <w:jc w:val="center"/>
                            </w:pPr>
                            <w:r>
                              <w:rPr>
                                <w:rFonts w:hint="eastAsia"/>
                              </w:rPr>
                              <w:t>病人进行放射治疗的确诊，向病人告知可能受到的辐射危害</w:t>
                            </w:r>
                          </w:p>
                          <w:p>
                            <w:pPr>
                              <w:jc w:val="center"/>
                            </w:pPr>
                          </w:p>
                        </w:txbxContent>
                      </v:textbox>
                    </v:shape>
                  </w:pict>
                </mc:Fallback>
              </mc:AlternateContent>
            </w:r>
            <w:r>
              <w:rPr>
                <w:rFonts w:hint="default" w:ascii="Times New Roman" w:hAnsi="Times New Roman" w:cs="Times New Roman"/>
                <w:color w:val="auto"/>
                <w:sz w:val="24"/>
              </w:rPr>
              <w:t>通过分析可知，产污环节为：</w:t>
            </w:r>
            <w:r>
              <w:rPr>
                <w:rFonts w:hint="default" w:ascii="Times New Roman" w:hAnsi="Times New Roman" w:cs="Times New Roman"/>
                <w:bCs/>
                <w:color w:val="auto"/>
                <w:sz w:val="24"/>
              </w:rPr>
              <w:t>加速器治疗过程中产生的X射线、电子线、臭氧以及风机、水冷机房水泵产生的噪声</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rPr>
            </w:pPr>
            <w:r>
              <w:rPr>
                <w:rFonts w:hint="default" w:ascii="Times New Roman" w:hAnsi="Times New Roman" w:cs="Times New Roman"/>
                <w:color w:val="auto"/>
              </w:rPr>
              <mc:AlternateContent>
                <mc:Choice Requires="wps">
                  <w:drawing>
                    <wp:anchor distT="0" distB="0" distL="114300" distR="114300" simplePos="0" relativeHeight="251683840" behindDoc="0" locked="0" layoutInCell="1" allowOverlap="1">
                      <wp:simplePos x="0" y="0"/>
                      <wp:positionH relativeFrom="column">
                        <wp:posOffset>1508760</wp:posOffset>
                      </wp:positionH>
                      <wp:positionV relativeFrom="paragraph">
                        <wp:posOffset>1651000</wp:posOffset>
                      </wp:positionV>
                      <wp:extent cx="2099945" cy="295275"/>
                      <wp:effectExtent l="6350" t="6350" r="8255" b="22225"/>
                      <wp:wrapNone/>
                      <wp:docPr id="60" name="Text Box 174"/>
                      <wp:cNvGraphicFramePr/>
                      <a:graphic xmlns:a="http://schemas.openxmlformats.org/drawingml/2006/main">
                        <a:graphicData uri="http://schemas.microsoft.com/office/word/2010/wordprocessingShape">
                          <wps:wsp>
                            <wps:cNvSpPr txBox="1">
                              <a:spLocks noChangeArrowheads="1"/>
                            </wps:cNvSpPr>
                            <wps:spPr bwMode="auto">
                              <a:xfrm>
                                <a:off x="0" y="0"/>
                                <a:ext cx="2099945" cy="295275"/>
                              </a:xfrm>
                              <a:prstGeom prst="rect">
                                <a:avLst/>
                              </a:prstGeom>
                              <a:solidFill>
                                <a:srgbClr val="FFFFFF"/>
                              </a:solidFill>
                              <a:ln w="12700">
                                <a:solidFill>
                                  <a:srgbClr val="000000"/>
                                </a:solidFill>
                                <a:miter lim="800000"/>
                              </a:ln>
                              <a:effectLst/>
                            </wps:spPr>
                            <wps:txbx>
                              <w:txbxContent>
                                <w:p>
                                  <w:pPr>
                                    <w:jc w:val="center"/>
                                    <w:rPr>
                                      <w:spacing w:val="-10"/>
                                    </w:rPr>
                                  </w:pPr>
                                  <w:r>
                                    <w:rPr>
                                      <w:rFonts w:hint="eastAsia"/>
                                      <w:spacing w:val="-10"/>
                                    </w:rPr>
                                    <w:t>制定治疗计划，确定照射位置和剂量</w:t>
                                  </w:r>
                                </w:p>
                              </w:txbxContent>
                            </wps:txbx>
                            <wps:bodyPr rot="0" vert="horz" wrap="square" lIns="91440" tIns="45720" rIns="91440" bIns="45720" anchor="t" anchorCtr="0" upright="1">
                              <a:noAutofit/>
                            </wps:bodyPr>
                          </wps:wsp>
                        </a:graphicData>
                      </a:graphic>
                    </wp:anchor>
                  </w:drawing>
                </mc:Choice>
                <mc:Fallback>
                  <w:pict>
                    <v:shape id="Text Box 174" o:spid="_x0000_s1026" o:spt="202" type="#_x0000_t202" style="position:absolute;left:0pt;margin-left:118.8pt;margin-top:130pt;height:23.25pt;width:165.35pt;z-index:251683840;mso-width-relative:page;mso-height-relative:page;" fillcolor="#FFFFFF" filled="t" stroked="t" coordsize="21600,21600" o:gfxdata="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gM/pc3QAAAAsBAAAPAAAAAAAAAAEAIAAAACIAAABk&#10;cnMvZG93bnJldi54bWxQSwECFAAUAAAACACHTuJA+PE3dzoCAACYBAAADgAAAAAAAAABACAAAAAs&#10;AQAAZHJzL2Uyb0RvYy54bWxQSwUGAAAAAAYABgBZAQAA2AUAAAAA&#10;">
                      <v:fill on="t" focussize="0,0"/>
                      <v:stroke weight="1pt" color="#000000" miterlimit="8" joinstyle="miter"/>
                      <v:imagedata o:title=""/>
                      <o:lock v:ext="edit" aspectratio="f"/>
                      <v:textbox>
                        <w:txbxContent>
                          <w:p>
                            <w:pPr>
                              <w:jc w:val="center"/>
                              <w:rPr>
                                <w:spacing w:val="-10"/>
                              </w:rPr>
                            </w:pPr>
                            <w:r>
                              <w:rPr>
                                <w:rFonts w:hint="eastAsia"/>
                                <w:spacing w:val="-10"/>
                              </w:rPr>
                              <w:t>制定治疗计划，确定照射位置和剂量</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4864" behindDoc="0" locked="0" layoutInCell="1" allowOverlap="1">
                      <wp:simplePos x="0" y="0"/>
                      <wp:positionH relativeFrom="column">
                        <wp:posOffset>857885</wp:posOffset>
                      </wp:positionH>
                      <wp:positionV relativeFrom="paragraph">
                        <wp:posOffset>2298700</wp:posOffset>
                      </wp:positionV>
                      <wp:extent cx="1505585" cy="295275"/>
                      <wp:effectExtent l="6350" t="6350" r="12065" b="22225"/>
                      <wp:wrapNone/>
                      <wp:docPr id="59" name="Text Box 175"/>
                      <wp:cNvGraphicFramePr/>
                      <a:graphic xmlns:a="http://schemas.openxmlformats.org/drawingml/2006/main">
                        <a:graphicData uri="http://schemas.microsoft.com/office/word/2010/wordprocessingShape">
                          <wps:wsp>
                            <wps:cNvSpPr txBox="1">
                              <a:spLocks noChangeArrowheads="1"/>
                            </wps:cNvSpPr>
                            <wps:spPr bwMode="auto">
                              <a:xfrm>
                                <a:off x="0" y="0"/>
                                <a:ext cx="1505585" cy="295275"/>
                              </a:xfrm>
                              <a:prstGeom prst="rect">
                                <a:avLst/>
                              </a:prstGeom>
                              <a:noFill/>
                              <a:ln w="12700">
                                <a:solidFill>
                                  <a:srgbClr val="000000"/>
                                </a:solidFill>
                                <a:miter lim="800000"/>
                              </a:ln>
                              <a:effectLst/>
                            </wps:spPr>
                            <wps:txbx>
                              <w:txbxContent>
                                <w:p>
                                  <w:pPr>
                                    <w:jc w:val="center"/>
                                    <w:rPr>
                                      <w:rFonts w:hint="eastAsia" w:eastAsia="宋体"/>
                                      <w:lang w:eastAsia="zh-CN"/>
                                    </w:rPr>
                                  </w:pPr>
                                  <w:r>
                                    <w:rPr>
                                      <w:rFonts w:hint="eastAsia"/>
                                    </w:rPr>
                                    <w:t>病人进入</w:t>
                                  </w:r>
                                  <w:r>
                                    <w:rPr>
                                      <w:rFonts w:hint="eastAsia"/>
                                      <w:lang w:eastAsia="zh-CN"/>
                                    </w:rPr>
                                    <w:t>加速器治疗室</w:t>
                                  </w:r>
                                </w:p>
                              </w:txbxContent>
                            </wps:txbx>
                            <wps:bodyPr rot="0" vert="horz" wrap="square" lIns="91440" tIns="45720" rIns="91440" bIns="45720" anchor="t" anchorCtr="0" upright="1">
                              <a:noAutofit/>
                            </wps:bodyPr>
                          </wps:wsp>
                        </a:graphicData>
                      </a:graphic>
                    </wp:anchor>
                  </w:drawing>
                </mc:Choice>
                <mc:Fallback>
                  <w:pict>
                    <v:shape id="Text Box 175" o:spid="_x0000_s1026" o:spt="202" type="#_x0000_t202" style="position:absolute;left:0pt;margin-left:67.55pt;margin-top:181pt;height:23.25pt;width:118.55pt;z-index:251684864;mso-width-relative:page;mso-height-relative:page;" filled="f" stroked="t" coordsize="21600,21600" o:gfxdata="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ycTFtcAAAALAQAADwAAAAAAAAABACAAAAAiAAAAZHJzL2Rvd25yZXYu&#10;eG1sUEsBAhQAFAAAAAgAh07iQDkweWA1AgAAbwQAAA4AAAAAAAAAAQAgAAAAJgEAAGRycy9lMm9E&#10;b2MueG1sUEsFBgAAAAAGAAYAWQEAAM0FAAAAAA==&#10;">
                      <v:fill on="f" focussize="0,0"/>
                      <v:stroke weight="1pt" color="#000000" miterlimit="8" joinstyle="miter"/>
                      <v:imagedata o:title=""/>
                      <o:lock v:ext="edit" aspectratio="f"/>
                      <v:textbox>
                        <w:txbxContent>
                          <w:p>
                            <w:pPr>
                              <w:jc w:val="center"/>
                              <w:rPr>
                                <w:rFonts w:hint="eastAsia" w:eastAsia="宋体"/>
                                <w:lang w:eastAsia="zh-CN"/>
                              </w:rPr>
                            </w:pPr>
                            <w:r>
                              <w:rPr>
                                <w:rFonts w:hint="eastAsia"/>
                              </w:rPr>
                              <w:t>病人进入</w:t>
                            </w:r>
                            <w:r>
                              <w:rPr>
                                <w:rFonts w:hint="eastAsia"/>
                                <w:lang w:eastAsia="zh-CN"/>
                              </w:rPr>
                              <w:t>加速器治疗室</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7936" behindDoc="0" locked="0" layoutInCell="1" allowOverlap="1">
                      <wp:simplePos x="0" y="0"/>
                      <wp:positionH relativeFrom="column">
                        <wp:posOffset>2092960</wp:posOffset>
                      </wp:positionH>
                      <wp:positionV relativeFrom="paragraph">
                        <wp:posOffset>1948180</wp:posOffset>
                      </wp:positionV>
                      <wp:extent cx="469265" cy="297180"/>
                      <wp:effectExtent l="0" t="3810" r="6985" b="3810"/>
                      <wp:wrapNone/>
                      <wp:docPr id="55" name="Line 179"/>
                      <wp:cNvGraphicFramePr/>
                      <a:graphic xmlns:a="http://schemas.openxmlformats.org/drawingml/2006/main">
                        <a:graphicData uri="http://schemas.microsoft.com/office/word/2010/wordprocessingShape">
                          <wps:wsp>
                            <wps:cNvCnPr>
                              <a:cxnSpLocks noChangeShapeType="1"/>
                            </wps:cNvCnPr>
                            <wps:spPr bwMode="auto">
                              <a:xfrm flipH="1">
                                <a:off x="0" y="0"/>
                                <a:ext cx="469265" cy="297180"/>
                              </a:xfrm>
                              <a:prstGeom prst="line">
                                <a:avLst/>
                              </a:prstGeom>
                              <a:noFill/>
                              <a:ln w="9525">
                                <a:solidFill>
                                  <a:srgbClr val="000000"/>
                                </a:solidFill>
                                <a:round/>
                                <a:tailEnd type="triangle" w="sm" len="med"/>
                              </a:ln>
                              <a:effectLst/>
                            </wps:spPr>
                            <wps:bodyPr/>
                          </wps:wsp>
                        </a:graphicData>
                      </a:graphic>
                    </wp:anchor>
                  </w:drawing>
                </mc:Choice>
                <mc:Fallback>
                  <w:pict>
                    <v:line id="Line 179" o:spid="_x0000_s1026" o:spt="20" style="position:absolute;left:0pt;flip:x;margin-left:164.8pt;margin-top:153.4pt;height:23.4pt;width:36.95pt;z-index:251687936;mso-width-relative:page;mso-height-relative:page;" filled="f" stroked="t" coordsize="21600,21600" o:gfxdata="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phGh1wAAAAsBAAAPAAAAAAAAAAEAIAAAACIAAABkcnMvZG93bnJldi54bWxQSwEC&#10;FAAUAAAACACHTuJAJ+KvefUBAADrAwAADgAAAAAAAAABACAAAAAmAQAAZHJzL2Uyb0RvYy54bWxQ&#10;SwUGAAAAAAYABgBZAQAAjQU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3056" behindDoc="0" locked="0" layoutInCell="1" allowOverlap="1">
                      <wp:simplePos x="0" y="0"/>
                      <wp:positionH relativeFrom="column">
                        <wp:posOffset>4669790</wp:posOffset>
                      </wp:positionH>
                      <wp:positionV relativeFrom="paragraph">
                        <wp:posOffset>3533140</wp:posOffset>
                      </wp:positionV>
                      <wp:extent cx="229870" cy="635"/>
                      <wp:effectExtent l="0" t="25400" r="17780" b="31115"/>
                      <wp:wrapNone/>
                      <wp:docPr id="50" name="Line 184"/>
                      <wp:cNvGraphicFramePr/>
                      <a:graphic xmlns:a="http://schemas.openxmlformats.org/drawingml/2006/main">
                        <a:graphicData uri="http://schemas.microsoft.com/office/word/2010/wordprocessingShape">
                          <wps:wsp>
                            <wps:cNvCnPr>
                              <a:cxnSpLocks noChangeShapeType="1"/>
                            </wps:cNvCnPr>
                            <wps:spPr bwMode="auto">
                              <a:xfrm flipH="1">
                                <a:off x="0" y="0"/>
                                <a:ext cx="229870" cy="635"/>
                              </a:xfrm>
                              <a:prstGeom prst="line">
                                <a:avLst/>
                              </a:prstGeom>
                              <a:noFill/>
                              <a:ln w="9525">
                                <a:solidFill>
                                  <a:srgbClr val="000000"/>
                                </a:solidFill>
                                <a:prstDash val="sysDot"/>
                                <a:round/>
                                <a:headEnd type="triangle" w="sm" len="med"/>
                              </a:ln>
                              <a:effectLst/>
                            </wps:spPr>
                            <wps:bodyPr/>
                          </wps:wsp>
                        </a:graphicData>
                      </a:graphic>
                    </wp:anchor>
                  </w:drawing>
                </mc:Choice>
                <mc:Fallback>
                  <w:pict>
                    <v:line id="Line 184" o:spid="_x0000_s1026" o:spt="20" style="position:absolute;left:0pt;flip:x;margin-left:367.7pt;margin-top:278.2pt;height:0.05pt;width:18.1pt;z-index:251693056;mso-width-relative:page;mso-height-relative:page;" filled="f" stroked="t" coordsize="21600,21600" o:gfxdata="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4BQ42QAAAAsBAAAPAAAAAAAAAAEAIAAAACIAAABkcnMvZG93&#10;bnJldi54bWxQSwECFAAUAAAACACHTuJACuMhM/8BAAACBAAADgAAAAAAAAABACAAAAAoAQAAZHJz&#10;L2Uyb0RvYy54bWxQSwUGAAAAAAYABgBZAQAAmQUAAAAA&#10;">
                      <v:fill on="f" focussize="0,0"/>
                      <v:stroke color="#000000" joinstyle="round" dashstyle="1 1" startarrow="block" start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4080" behindDoc="0" locked="0" layoutInCell="1" allowOverlap="1">
                      <wp:simplePos x="0" y="0"/>
                      <wp:positionH relativeFrom="column">
                        <wp:posOffset>2955290</wp:posOffset>
                      </wp:positionH>
                      <wp:positionV relativeFrom="paragraph">
                        <wp:posOffset>2300605</wp:posOffset>
                      </wp:positionV>
                      <wp:extent cx="1505585" cy="295275"/>
                      <wp:effectExtent l="6350" t="6350" r="12065" b="22225"/>
                      <wp:wrapNone/>
                      <wp:docPr id="49" name="Text Box 185"/>
                      <wp:cNvGraphicFramePr/>
                      <a:graphic xmlns:a="http://schemas.openxmlformats.org/drawingml/2006/main">
                        <a:graphicData uri="http://schemas.microsoft.com/office/word/2010/wordprocessingShape">
                          <wps:wsp>
                            <wps:cNvSpPr txBox="1">
                              <a:spLocks noChangeArrowheads="1"/>
                            </wps:cNvSpPr>
                            <wps:spPr bwMode="auto">
                              <a:xfrm>
                                <a:off x="0" y="0"/>
                                <a:ext cx="1505585" cy="295275"/>
                              </a:xfrm>
                              <a:prstGeom prst="rect">
                                <a:avLst/>
                              </a:prstGeom>
                              <a:noFill/>
                              <a:ln w="12700">
                                <a:solidFill>
                                  <a:srgbClr val="000000"/>
                                </a:solidFill>
                                <a:miter lim="800000"/>
                              </a:ln>
                              <a:effectLst/>
                            </wps:spPr>
                            <wps:txbx>
                              <w:txbxContent>
                                <w:p>
                                  <w:pPr>
                                    <w:jc w:val="center"/>
                                    <w:rPr>
                                      <w:rFonts w:hint="eastAsia" w:eastAsia="宋体"/>
                                      <w:lang w:eastAsia="zh-CN"/>
                                    </w:rPr>
                                  </w:pPr>
                                  <w:r>
                                    <w:rPr>
                                      <w:rFonts w:hint="eastAsia"/>
                                    </w:rPr>
                                    <w:t>病人进入</w:t>
                                  </w:r>
                                  <w:r>
                                    <w:rPr>
                                      <w:rFonts w:hint="eastAsia"/>
                                      <w:lang w:eastAsia="zh-CN"/>
                                    </w:rPr>
                                    <w:t>加速器治疗室</w:t>
                                  </w:r>
                                </w:p>
                              </w:txbxContent>
                            </wps:txbx>
                            <wps:bodyPr rot="0" vert="horz" wrap="square" lIns="91440" tIns="45720" rIns="91440" bIns="45720" anchor="t" anchorCtr="0" upright="1">
                              <a:noAutofit/>
                            </wps:bodyPr>
                          </wps:wsp>
                        </a:graphicData>
                      </a:graphic>
                    </wp:anchor>
                  </w:drawing>
                </mc:Choice>
                <mc:Fallback>
                  <w:pict>
                    <v:shape id="Text Box 185" o:spid="_x0000_s1026" o:spt="202" type="#_x0000_t202" style="position:absolute;left:0pt;margin-left:232.7pt;margin-top:181.15pt;height:23.25pt;width:118.55pt;z-index:251694080;mso-width-relative:page;mso-height-relative:page;" filled="f" stroked="t" coordsize="21600,21600" o:gfxdata="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FErr7YAAAACwEAAA8AAAAAAAAAAQAgAAAAIgAAAGRycy9kb3ducmV2&#10;LnhtbFBLAQIUABQAAAAIAIdO4kAih1ETNQIAAG8EAAAOAAAAAAAAAAEAIAAAACcBAABkcnMvZTJv&#10;RG9jLnhtbFBLBQYAAAAABgAGAFkBAADOBQAAAAA=&#10;">
                      <v:fill on="f" focussize="0,0"/>
                      <v:stroke weight="1pt" color="#000000" miterlimit="8" joinstyle="miter"/>
                      <v:imagedata o:title=""/>
                      <o:lock v:ext="edit" aspectratio="f"/>
                      <v:textbox>
                        <w:txbxContent>
                          <w:p>
                            <w:pPr>
                              <w:jc w:val="center"/>
                              <w:rPr>
                                <w:rFonts w:hint="eastAsia" w:eastAsia="宋体"/>
                                <w:lang w:eastAsia="zh-CN"/>
                              </w:rPr>
                            </w:pPr>
                            <w:r>
                              <w:rPr>
                                <w:rFonts w:hint="eastAsia"/>
                              </w:rPr>
                              <w:t>病人进入</w:t>
                            </w:r>
                            <w:r>
                              <w:rPr>
                                <w:rFonts w:hint="eastAsia"/>
                                <w:lang w:eastAsia="zh-CN"/>
                              </w:rPr>
                              <w:t>加速器治疗室</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5104" behindDoc="0" locked="0" layoutInCell="1" allowOverlap="1">
                      <wp:simplePos x="0" y="0"/>
                      <wp:positionH relativeFrom="column">
                        <wp:posOffset>2668270</wp:posOffset>
                      </wp:positionH>
                      <wp:positionV relativeFrom="paragraph">
                        <wp:posOffset>1948180</wp:posOffset>
                      </wp:positionV>
                      <wp:extent cx="459740" cy="297180"/>
                      <wp:effectExtent l="2540" t="3810" r="13970" b="3810"/>
                      <wp:wrapNone/>
                      <wp:docPr id="48" name="Line 186"/>
                      <wp:cNvGraphicFramePr/>
                      <a:graphic xmlns:a="http://schemas.openxmlformats.org/drawingml/2006/main">
                        <a:graphicData uri="http://schemas.microsoft.com/office/word/2010/wordprocessingShape">
                          <wps:wsp>
                            <wps:cNvCnPr>
                              <a:cxnSpLocks noChangeShapeType="1"/>
                            </wps:cNvCnPr>
                            <wps:spPr bwMode="auto">
                              <a:xfrm>
                                <a:off x="0" y="0"/>
                                <a:ext cx="459740" cy="297180"/>
                              </a:xfrm>
                              <a:prstGeom prst="line">
                                <a:avLst/>
                              </a:prstGeom>
                              <a:noFill/>
                              <a:ln w="9525">
                                <a:solidFill>
                                  <a:srgbClr val="000000"/>
                                </a:solidFill>
                                <a:round/>
                                <a:tailEnd type="triangle" w="sm" len="med"/>
                              </a:ln>
                              <a:effectLst/>
                            </wps:spPr>
                            <wps:bodyPr/>
                          </wps:wsp>
                        </a:graphicData>
                      </a:graphic>
                    </wp:anchor>
                  </w:drawing>
                </mc:Choice>
                <mc:Fallback>
                  <w:pict>
                    <v:line id="Line 186" o:spid="_x0000_s1026" o:spt="20" style="position:absolute;left:0pt;margin-left:210.1pt;margin-top:153.4pt;height:23.4pt;width:36.2pt;z-index:251695104;mso-width-relative:page;mso-height-relative:page;" filled="f" stroked="t" coordsize="21600,21600" o:gfxdata="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5eACNsAAAALAQAADwAAAAAAAAABACAAAAAiAAAAZHJzL2Rvd25yZXYueG1sUEsBAhQA&#10;FAAAAAgAh07iQOCczg3vAQAA4QMAAA4AAAAAAAAAAQAgAAAAKgEAAGRycy9lMm9Eb2MueG1sUEsF&#10;BgAAAAAGAAYAWQEAAIsFA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6128" behindDoc="0" locked="0" layoutInCell="1" allowOverlap="1">
                      <wp:simplePos x="0" y="0"/>
                      <wp:positionH relativeFrom="column">
                        <wp:posOffset>2926715</wp:posOffset>
                      </wp:positionH>
                      <wp:positionV relativeFrom="paragraph">
                        <wp:posOffset>1969135</wp:posOffset>
                      </wp:positionV>
                      <wp:extent cx="804545" cy="295275"/>
                      <wp:effectExtent l="0" t="0" r="0" b="0"/>
                      <wp:wrapNone/>
                      <wp:docPr id="47" name="Text Box 187"/>
                      <wp:cNvGraphicFramePr/>
                      <a:graphic xmlns:a="http://schemas.openxmlformats.org/drawingml/2006/main">
                        <a:graphicData uri="http://schemas.microsoft.com/office/word/2010/wordprocessingShape">
                          <wps:wsp>
                            <wps:cNvSpPr txBox="1">
                              <a:spLocks noChangeArrowheads="1"/>
                            </wps:cNvSpPr>
                            <wps:spPr bwMode="auto">
                              <a:xfrm>
                                <a:off x="0" y="0"/>
                                <a:ext cx="804545" cy="295275"/>
                              </a:xfrm>
                              <a:prstGeom prst="rect">
                                <a:avLst/>
                              </a:prstGeom>
                              <a:noFill/>
                              <a:ln>
                                <a:noFill/>
                              </a:ln>
                              <a:effectLst/>
                            </wps:spPr>
                            <wps:txbx>
                              <w:txbxContent>
                                <w:p>
                                  <w:pPr>
                                    <w:jc w:val="center"/>
                                  </w:pPr>
                                  <w:r>
                                    <w:rPr>
                                      <w:rFonts w:hint="eastAsia"/>
                                    </w:rPr>
                                    <w:t>深部治疗</w:t>
                                  </w:r>
                                </w:p>
                              </w:txbxContent>
                            </wps:txbx>
                            <wps:bodyPr rot="0" vert="horz" wrap="square" lIns="91440" tIns="45720" rIns="91440" bIns="45720" anchor="t" anchorCtr="0" upright="1">
                              <a:noAutofit/>
                            </wps:bodyPr>
                          </wps:wsp>
                        </a:graphicData>
                      </a:graphic>
                    </wp:anchor>
                  </w:drawing>
                </mc:Choice>
                <mc:Fallback>
                  <w:pict>
                    <v:shape id="Text Box 187" o:spid="_x0000_s1026" o:spt="202" type="#_x0000_t202" style="position:absolute;left:0pt;margin-left:230.45pt;margin-top:155.05pt;height:23.25pt;width:63.35pt;z-index:251696128;mso-width-relative:page;mso-height-relative:page;" filled="f" stroked="f" coordsize="21600,21600" o:gfxdata="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IJIm7YAAAACwEAAA8AAAAAAAAAAQAg&#10;AAAAIgAAAGRycy9kb3ducmV2LnhtbFBLAQIUABQAAAAIAIdO4kBuG/ZjDgIAACQEAAAOAAAAAAAA&#10;AAEAIAAAACcBAABkcnMvZTJvRG9jLnhtbFBLBQYAAAAABgAGAFkBAACnBQAAAAA=&#10;">
                      <v:fill on="f" focussize="0,0"/>
                      <v:stroke on="f"/>
                      <v:imagedata o:title=""/>
                      <o:lock v:ext="edit" aspectratio="f"/>
                      <v:textbox>
                        <w:txbxContent>
                          <w:p>
                            <w:pPr>
                              <w:jc w:val="center"/>
                            </w:pPr>
                            <w:r>
                              <w:rPr>
                                <w:rFonts w:hint="eastAsia"/>
                              </w:rPr>
                              <w:t>深部治疗</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7152" behindDoc="0" locked="0" layoutInCell="1" allowOverlap="1">
                      <wp:simplePos x="0" y="0"/>
                      <wp:positionH relativeFrom="column">
                        <wp:posOffset>1059180</wp:posOffset>
                      </wp:positionH>
                      <wp:positionV relativeFrom="paragraph">
                        <wp:posOffset>1995805</wp:posOffset>
                      </wp:positionV>
                      <wp:extent cx="1034415" cy="295275"/>
                      <wp:effectExtent l="0" t="0" r="0" b="0"/>
                      <wp:wrapNone/>
                      <wp:docPr id="46" name="Text Box 188"/>
                      <wp:cNvGraphicFramePr/>
                      <a:graphic xmlns:a="http://schemas.openxmlformats.org/drawingml/2006/main">
                        <a:graphicData uri="http://schemas.microsoft.com/office/word/2010/wordprocessingShape">
                          <wps:wsp>
                            <wps:cNvSpPr txBox="1">
                              <a:spLocks noChangeArrowheads="1"/>
                            </wps:cNvSpPr>
                            <wps:spPr bwMode="auto">
                              <a:xfrm>
                                <a:off x="0" y="0"/>
                                <a:ext cx="1034415" cy="295275"/>
                              </a:xfrm>
                              <a:prstGeom prst="rect">
                                <a:avLst/>
                              </a:prstGeom>
                              <a:noFill/>
                              <a:ln>
                                <a:noFill/>
                              </a:ln>
                              <a:effectLst/>
                            </wps:spPr>
                            <wps:txbx>
                              <w:txbxContent>
                                <w:p>
                                  <w:pPr>
                                    <w:jc w:val="center"/>
                                  </w:pPr>
                                  <w:r>
                                    <w:rPr>
                                      <w:rFonts w:hint="eastAsia"/>
                                    </w:rPr>
                                    <w:t>表层病灶治疗</w:t>
                                  </w:r>
                                </w:p>
                              </w:txbxContent>
                            </wps:txbx>
                            <wps:bodyPr rot="0" vert="horz" wrap="square" lIns="91440" tIns="45720" rIns="91440" bIns="45720" anchor="t" anchorCtr="0" upright="1">
                              <a:noAutofit/>
                            </wps:bodyPr>
                          </wps:wsp>
                        </a:graphicData>
                      </a:graphic>
                    </wp:anchor>
                  </w:drawing>
                </mc:Choice>
                <mc:Fallback>
                  <w:pict>
                    <v:shape id="Text Box 188" o:spid="_x0000_s1026" o:spt="202" type="#_x0000_t202" style="position:absolute;left:0pt;margin-left:83.4pt;margin-top:157.15pt;height:23.25pt;width:81.45pt;z-index:251697152;mso-width-relative:page;mso-height-relative:page;" filled="f" stroked="f" coordsize="21600,21600" o:gfxdata="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qKnQ2AAAAAsBAAAPAAAAAAAAAAEA&#10;IAAAACIAAABkcnMvZG93bnJldi54bWxQSwECFAAUAAAACACHTuJAKnAzPQ8CAAAlBAAADgAAAAAA&#10;AAABACAAAAAnAQAAZHJzL2Uyb0RvYy54bWxQSwUGAAAAAAYABgBZAQAAqAUAAAAA&#10;">
                      <v:fill on="f" focussize="0,0"/>
                      <v:stroke on="f"/>
                      <v:imagedata o:title=""/>
                      <o:lock v:ext="edit" aspectratio="f"/>
                      <v:textbox>
                        <w:txbxContent>
                          <w:p>
                            <w:pPr>
                              <w:jc w:val="center"/>
                            </w:pPr>
                            <w:r>
                              <w:rPr>
                                <w:rFonts w:hint="eastAsia"/>
                              </w:rPr>
                              <w:t>表层病灶治疗</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8176" behindDoc="0" locked="0" layoutInCell="1" allowOverlap="1">
                      <wp:simplePos x="0" y="0"/>
                      <wp:positionH relativeFrom="column">
                        <wp:posOffset>790575</wp:posOffset>
                      </wp:positionH>
                      <wp:positionV relativeFrom="paragraph">
                        <wp:posOffset>2845435</wp:posOffset>
                      </wp:positionV>
                      <wp:extent cx="1724025" cy="297180"/>
                      <wp:effectExtent l="6350" t="6350" r="22225" b="20320"/>
                      <wp:wrapNone/>
                      <wp:docPr id="45" name="Text Box 189"/>
                      <wp:cNvGraphicFramePr/>
                      <a:graphic xmlns:a="http://schemas.openxmlformats.org/drawingml/2006/main">
                        <a:graphicData uri="http://schemas.microsoft.com/office/word/2010/wordprocessingShape">
                          <wps:wsp>
                            <wps:cNvSpPr txBox="1">
                              <a:spLocks noChangeArrowheads="1"/>
                            </wps:cNvSpPr>
                            <wps:spPr bwMode="auto">
                              <a:xfrm>
                                <a:off x="0" y="0"/>
                                <a:ext cx="1724025" cy="297180"/>
                              </a:xfrm>
                              <a:prstGeom prst="rect">
                                <a:avLst/>
                              </a:prstGeom>
                              <a:solidFill>
                                <a:srgbClr val="FFFFFF"/>
                              </a:solidFill>
                              <a:ln w="12700">
                                <a:solidFill>
                                  <a:srgbClr val="000000"/>
                                </a:solidFill>
                                <a:miter lim="800000"/>
                              </a:ln>
                              <a:effectLst/>
                            </wps:spPr>
                            <wps:txbx>
                              <w:txbxContent>
                                <w:p>
                                  <w:pPr>
                                    <w:jc w:val="center"/>
                                  </w:pPr>
                                  <w:r>
                                    <w:rPr>
                                      <w:rFonts w:hint="eastAsia"/>
                                    </w:rPr>
                                    <w:t>关屏蔽门并开启安全联锁</w:t>
                                  </w:r>
                                </w:p>
                              </w:txbxContent>
                            </wps:txbx>
                            <wps:bodyPr rot="0" vert="horz" wrap="square" lIns="91440" tIns="45720" rIns="91440" bIns="45720" anchor="t" anchorCtr="0" upright="1">
                              <a:noAutofit/>
                            </wps:bodyPr>
                          </wps:wsp>
                        </a:graphicData>
                      </a:graphic>
                    </wp:anchor>
                  </w:drawing>
                </mc:Choice>
                <mc:Fallback>
                  <w:pict>
                    <v:shape id="Text Box 189" o:spid="_x0000_s1026" o:spt="202" type="#_x0000_t202" style="position:absolute;left:0pt;margin-left:62.25pt;margin-top:224.05pt;height:23.4pt;width:135.75pt;z-index:251698176;mso-width-relative:page;mso-height-relative:page;" fillcolor="#FFFFFF" filled="t" stroked="t" coordsize="21600,21600" o:gfxdata="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Zh2iM3AAAAAsBAAAPAAAAAAAAAAEAIAAAACIAAABkcnMv&#10;ZG93bnJldi54bWxQSwECFAAUAAAACACHTuJA3zBdeDgCAACYBAAADgAAAAAAAAABACAAAAArAQAA&#10;ZHJzL2Uyb0RvYy54bWxQSwUGAAAAAAYABgBZAQAA1QUAAAAA&#10;">
                      <v:fill on="t" focussize="0,0"/>
                      <v:stroke weight="1pt" color="#000000" miterlimit="8" joinstyle="miter"/>
                      <v:imagedata o:title=""/>
                      <o:lock v:ext="edit" aspectratio="f"/>
                      <v:textbox>
                        <w:txbxContent>
                          <w:p>
                            <w:pPr>
                              <w:jc w:val="center"/>
                            </w:pPr>
                            <w:r>
                              <w:rPr>
                                <w:rFonts w:hint="eastAsia"/>
                              </w:rPr>
                              <w:t>关屏蔽门并开启安全联锁</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9200" behindDoc="0" locked="0" layoutInCell="1" allowOverlap="1">
                      <wp:simplePos x="0" y="0"/>
                      <wp:positionH relativeFrom="column">
                        <wp:posOffset>1644650</wp:posOffset>
                      </wp:positionH>
                      <wp:positionV relativeFrom="paragraph">
                        <wp:posOffset>2628265</wp:posOffset>
                      </wp:positionV>
                      <wp:extent cx="635" cy="198120"/>
                      <wp:effectExtent l="24765" t="0" r="31750" b="11430"/>
                      <wp:wrapNone/>
                      <wp:docPr id="44" name="Line 190"/>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Line 190" o:spid="_x0000_s1026" o:spt="20" style="position:absolute;left:0pt;margin-left:129.5pt;margin-top:206.95pt;height:15.6pt;width:0.05pt;z-index:251699200;mso-width-relative:page;mso-height-relative:page;" filled="f" stroked="t" coordsize="21600,21600" o:gfxdata="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G19cNoAAAALAQAADwAAAAAAAAABACAAAAAiAAAAZHJzL2Rvd25yZXYueG1sUEsBAhQAFAAA&#10;AAgAh07iQBDVP7HtAQAA3gMAAA4AAAAAAAAAAQAgAAAAKQEAAGRycy9lMm9Eb2MueG1sUEsFBgAA&#10;AAAGAAYAWQEAAIgFA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0224" behindDoc="0" locked="0" layoutInCell="1" allowOverlap="1">
                      <wp:simplePos x="0" y="0"/>
                      <wp:positionH relativeFrom="column">
                        <wp:posOffset>1644650</wp:posOffset>
                      </wp:positionH>
                      <wp:positionV relativeFrom="paragraph">
                        <wp:posOffset>3177540</wp:posOffset>
                      </wp:positionV>
                      <wp:extent cx="635" cy="198120"/>
                      <wp:effectExtent l="24765" t="0" r="31750" b="11430"/>
                      <wp:wrapNone/>
                      <wp:docPr id="43" name="Line 191"/>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Line 191" o:spid="_x0000_s1026" o:spt="20" style="position:absolute;left:0pt;margin-left:129.5pt;margin-top:250.2pt;height:15.6pt;width:0.05pt;z-index:251700224;mso-width-relative:page;mso-height-relative:page;" filled="f" stroked="t" coordsize="21600,21600" o:gfxdata="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ZpBlNoAAAALAQAADwAAAAAAAAABACAAAAAiAAAAZHJzL2Rvd25yZXYueG1sUEsBAhQAFAAA&#10;AAgAh07iQO1L727tAQAA3gMAAA4AAAAAAAAAAQAgAAAAKQEAAGRycy9lMm9Eb2MueG1sUEsFBgAA&#10;AAAGAAYAWQEAAIgFA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1248" behindDoc="0" locked="0" layoutInCell="1" allowOverlap="1">
                      <wp:simplePos x="0" y="0"/>
                      <wp:positionH relativeFrom="column">
                        <wp:posOffset>790575</wp:posOffset>
                      </wp:positionH>
                      <wp:positionV relativeFrom="paragraph">
                        <wp:posOffset>3386455</wp:posOffset>
                      </wp:positionV>
                      <wp:extent cx="1725295" cy="297180"/>
                      <wp:effectExtent l="6350" t="6350" r="20955" b="20320"/>
                      <wp:wrapNone/>
                      <wp:docPr id="42" name="Text Box 192"/>
                      <wp:cNvGraphicFramePr/>
                      <a:graphic xmlns:a="http://schemas.openxmlformats.org/drawingml/2006/main">
                        <a:graphicData uri="http://schemas.microsoft.com/office/word/2010/wordprocessingShape">
                          <wps:wsp>
                            <wps:cNvSpPr txBox="1">
                              <a:spLocks noChangeArrowheads="1"/>
                            </wps:cNvSpPr>
                            <wps:spPr bwMode="auto">
                              <a:xfrm>
                                <a:off x="0" y="0"/>
                                <a:ext cx="1725295" cy="297180"/>
                              </a:xfrm>
                              <a:prstGeom prst="rect">
                                <a:avLst/>
                              </a:prstGeom>
                              <a:solidFill>
                                <a:srgbClr val="FFFF00">
                                  <a:alpha val="42999"/>
                                </a:srgbClr>
                              </a:solidFill>
                              <a:ln w="12700">
                                <a:solidFill>
                                  <a:srgbClr val="000000"/>
                                </a:solidFill>
                                <a:miter lim="800000"/>
                              </a:ln>
                              <a:effectLst/>
                            </wps:spPr>
                            <wps:txbx>
                              <w:txbxContent>
                                <w:p>
                                  <w:pPr>
                                    <w:jc w:val="center"/>
                                  </w:pPr>
                                  <w:r>
                                    <w:rPr>
                                      <w:rFonts w:hint="eastAsia"/>
                                    </w:rPr>
                                    <w:t>加速器出束、实施治疗</w:t>
                                  </w:r>
                                </w:p>
                              </w:txbxContent>
                            </wps:txbx>
                            <wps:bodyPr rot="0" vert="horz" wrap="square" lIns="91440" tIns="45720" rIns="91440" bIns="45720" anchor="t" anchorCtr="0" upright="1">
                              <a:noAutofit/>
                            </wps:bodyPr>
                          </wps:wsp>
                        </a:graphicData>
                      </a:graphic>
                    </wp:anchor>
                  </w:drawing>
                </mc:Choice>
                <mc:Fallback>
                  <w:pict>
                    <v:shape id="Text Box 192" o:spid="_x0000_s1026" o:spt="202" type="#_x0000_t202" style="position:absolute;left:0pt;margin-left:62.25pt;margin-top:266.65pt;height:23.4pt;width:135.85pt;z-index:251701248;mso-width-relative:page;mso-height-relative:page;" fillcolor="#FFFF00" filled="t" stroked="t" coordsize="21600,21600" o:gfxdata="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NcITrbAAAACwEAAA8A&#10;AAAAAAAAAQAgAAAAIgAAAGRycy9kb3ducmV2LnhtbFBLAQIUABQAAAAIAIdO4kBhDknMTQIAALkE&#10;AAAOAAAAAAAAAAEAIAAAACoBAABkcnMvZTJvRG9jLnhtbFBLBQYAAAAABgAGAFkBAADpBQAAAAA=&#10;">
                      <v:fill on="t" opacity="28179f" focussize="0,0"/>
                      <v:stroke weight="1pt" color="#000000" miterlimit="8" joinstyle="miter"/>
                      <v:imagedata o:title=""/>
                      <o:lock v:ext="edit" aspectratio="f"/>
                      <v:textbox>
                        <w:txbxContent>
                          <w:p>
                            <w:pPr>
                              <w:jc w:val="center"/>
                            </w:pPr>
                            <w:r>
                              <w:rPr>
                                <w:rFonts w:hint="eastAsia"/>
                              </w:rPr>
                              <w:t>加速器出束、实施治疗</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2272" behindDoc="0" locked="0" layoutInCell="1" allowOverlap="1">
                      <wp:simplePos x="0" y="0"/>
                      <wp:positionH relativeFrom="column">
                        <wp:posOffset>2898140</wp:posOffset>
                      </wp:positionH>
                      <wp:positionV relativeFrom="paragraph">
                        <wp:posOffset>2839720</wp:posOffset>
                      </wp:positionV>
                      <wp:extent cx="1724025" cy="297180"/>
                      <wp:effectExtent l="6350" t="6350" r="22225" b="20320"/>
                      <wp:wrapNone/>
                      <wp:docPr id="41" name="Text Box 193"/>
                      <wp:cNvGraphicFramePr/>
                      <a:graphic xmlns:a="http://schemas.openxmlformats.org/drawingml/2006/main">
                        <a:graphicData uri="http://schemas.microsoft.com/office/word/2010/wordprocessingShape">
                          <wps:wsp>
                            <wps:cNvSpPr txBox="1">
                              <a:spLocks noChangeArrowheads="1"/>
                            </wps:cNvSpPr>
                            <wps:spPr bwMode="auto">
                              <a:xfrm>
                                <a:off x="0" y="0"/>
                                <a:ext cx="1724025" cy="297180"/>
                              </a:xfrm>
                              <a:prstGeom prst="rect">
                                <a:avLst/>
                              </a:prstGeom>
                              <a:solidFill>
                                <a:srgbClr val="FFFFFF"/>
                              </a:solidFill>
                              <a:ln w="12700">
                                <a:solidFill>
                                  <a:srgbClr val="000000"/>
                                </a:solidFill>
                                <a:miter lim="800000"/>
                              </a:ln>
                              <a:effectLst/>
                            </wps:spPr>
                            <wps:txbx>
                              <w:txbxContent>
                                <w:p>
                                  <w:pPr>
                                    <w:jc w:val="center"/>
                                  </w:pPr>
                                  <w:r>
                                    <w:rPr>
                                      <w:rFonts w:hint="eastAsia"/>
                                    </w:rPr>
                                    <w:t>关屏蔽门并开启安全联锁</w:t>
                                  </w:r>
                                </w:p>
                              </w:txbxContent>
                            </wps:txbx>
                            <wps:bodyPr rot="0" vert="horz" wrap="square" lIns="91440" tIns="45720" rIns="91440" bIns="45720" anchor="t" anchorCtr="0" upright="1">
                              <a:noAutofit/>
                            </wps:bodyPr>
                          </wps:wsp>
                        </a:graphicData>
                      </a:graphic>
                    </wp:anchor>
                  </w:drawing>
                </mc:Choice>
                <mc:Fallback>
                  <w:pict>
                    <v:shape id="Text Box 193" o:spid="_x0000_s1026" o:spt="202" type="#_x0000_t202" style="position:absolute;left:0pt;margin-left:228.2pt;margin-top:223.6pt;height:23.4pt;width:135.75pt;z-index:251702272;mso-width-relative:page;mso-height-relative:page;" fillcolor="#FFFFFF" filled="t" stroked="t" coordsize="21600,21600" o:gfxdata="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SjQ9wAAAALAQAADwAAAAAAAAABACAAAAAiAAAAZHJz&#10;L2Rvd25yZXYueG1sUEsBAhQAFAAAAAgAh07iQHtBruQ5AgAAmAQAAA4AAAAAAAAAAQAgAAAAKwEA&#10;AGRycy9lMm9Eb2MueG1sUEsFBgAAAAAGAAYAWQEAANYFAAAAAA==&#10;">
                      <v:fill on="t" focussize="0,0"/>
                      <v:stroke weight="1pt" color="#000000" miterlimit="8" joinstyle="miter"/>
                      <v:imagedata o:title=""/>
                      <o:lock v:ext="edit" aspectratio="f"/>
                      <v:textbox>
                        <w:txbxContent>
                          <w:p>
                            <w:pPr>
                              <w:jc w:val="center"/>
                            </w:pPr>
                            <w:r>
                              <w:rPr>
                                <w:rFonts w:hint="eastAsia"/>
                              </w:rPr>
                              <w:t>关屏蔽门并开启安全联锁</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3296" behindDoc="0" locked="0" layoutInCell="1" allowOverlap="1">
                      <wp:simplePos x="0" y="0"/>
                      <wp:positionH relativeFrom="column">
                        <wp:posOffset>3751580</wp:posOffset>
                      </wp:positionH>
                      <wp:positionV relativeFrom="paragraph">
                        <wp:posOffset>2622550</wp:posOffset>
                      </wp:positionV>
                      <wp:extent cx="635" cy="198120"/>
                      <wp:effectExtent l="24765" t="0" r="31750" b="11430"/>
                      <wp:wrapNone/>
                      <wp:docPr id="40" name="Line 194"/>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Line 194" o:spid="_x0000_s1026" o:spt="20" style="position:absolute;left:0pt;margin-left:295.4pt;margin-top:206.5pt;height:15.6pt;width:0.05pt;z-index:251703296;mso-width-relative:page;mso-height-relative:page;" filled="f" stroked="t" coordsize="21600,21600" o:gfxdata="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9CILN2gAAAAsBAAAPAAAAAAAAAAEAIAAAACIAAABkcnMvZG93bnJldi54bWxQSwECFAAUAAAA&#10;CACHTuJALAwJCuwBAADeAwAADgAAAAAAAAABACAAAAApAQAAZHJzL2Uyb0RvYy54bWxQSwUGAAAA&#10;AAYABgBZAQAAhwU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4320" behindDoc="0" locked="0" layoutInCell="1" allowOverlap="1">
                      <wp:simplePos x="0" y="0"/>
                      <wp:positionH relativeFrom="column">
                        <wp:posOffset>3751580</wp:posOffset>
                      </wp:positionH>
                      <wp:positionV relativeFrom="paragraph">
                        <wp:posOffset>3162300</wp:posOffset>
                      </wp:positionV>
                      <wp:extent cx="635" cy="198120"/>
                      <wp:effectExtent l="24765" t="0" r="31750" b="11430"/>
                      <wp:wrapNone/>
                      <wp:docPr id="39" name="Line 195"/>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Line 195" o:spid="_x0000_s1026" o:spt="20" style="position:absolute;left:0pt;margin-left:295.4pt;margin-top:249pt;height:15.6pt;width:0.05pt;z-index:251704320;mso-width-relative:page;mso-height-relative:page;" filled="f" stroked="t" coordsize="21600,21600" o:gfxdata="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MKUedsAAAALAQAADwAAAAAAAAABACAAAAAiAAAAZHJzL2Rvd25yZXYueG1sUEsBAhQAFAAA&#10;AAgAh07iQJEybSHsAQAA3gMAAA4AAAAAAAAAAQAgAAAAKgEAAGRycy9lMm9Eb2MueG1sUEsFBgAA&#10;AAAGAAYAWQEAAIgFA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5344" behindDoc="0" locked="0" layoutInCell="1" allowOverlap="1">
                      <wp:simplePos x="0" y="0"/>
                      <wp:positionH relativeFrom="column">
                        <wp:posOffset>2934970</wp:posOffset>
                      </wp:positionH>
                      <wp:positionV relativeFrom="paragraph">
                        <wp:posOffset>3373120</wp:posOffset>
                      </wp:positionV>
                      <wp:extent cx="1725295" cy="297180"/>
                      <wp:effectExtent l="6350" t="6350" r="20955" b="20320"/>
                      <wp:wrapNone/>
                      <wp:docPr id="38" name="Text Box 196"/>
                      <wp:cNvGraphicFramePr/>
                      <a:graphic xmlns:a="http://schemas.openxmlformats.org/drawingml/2006/main">
                        <a:graphicData uri="http://schemas.microsoft.com/office/word/2010/wordprocessingShape">
                          <wps:wsp>
                            <wps:cNvSpPr txBox="1">
                              <a:spLocks noChangeArrowheads="1"/>
                            </wps:cNvSpPr>
                            <wps:spPr bwMode="auto">
                              <a:xfrm>
                                <a:off x="0" y="0"/>
                                <a:ext cx="1725295" cy="297180"/>
                              </a:xfrm>
                              <a:prstGeom prst="rect">
                                <a:avLst/>
                              </a:prstGeom>
                              <a:solidFill>
                                <a:srgbClr val="FFFF00">
                                  <a:alpha val="43999"/>
                                </a:srgbClr>
                              </a:solidFill>
                              <a:ln w="12700">
                                <a:solidFill>
                                  <a:srgbClr val="000000"/>
                                </a:solidFill>
                                <a:miter lim="800000"/>
                              </a:ln>
                              <a:effectLst/>
                            </wps:spPr>
                            <wps:txbx>
                              <w:txbxContent>
                                <w:p>
                                  <w:pPr>
                                    <w:jc w:val="center"/>
                                  </w:pPr>
                                  <w:r>
                                    <w:rPr>
                                      <w:rFonts w:hint="eastAsia"/>
                                    </w:rPr>
                                    <w:t>加速器出束、实施治疗</w:t>
                                  </w:r>
                                </w:p>
                              </w:txbxContent>
                            </wps:txbx>
                            <wps:bodyPr rot="0" vert="horz" wrap="square" lIns="91440" tIns="45720" rIns="91440" bIns="45720" anchor="t" anchorCtr="0" upright="1">
                              <a:noAutofit/>
                            </wps:bodyPr>
                          </wps:wsp>
                        </a:graphicData>
                      </a:graphic>
                    </wp:anchor>
                  </w:drawing>
                </mc:Choice>
                <mc:Fallback>
                  <w:pict>
                    <v:shape id="Text Box 196" o:spid="_x0000_s1026" o:spt="202" type="#_x0000_t202" style="position:absolute;left:0pt;margin-left:231.1pt;margin-top:265.6pt;height:23.4pt;width:135.85pt;z-index:251705344;mso-width-relative:page;mso-height-relative:page;" fillcolor="#FFFF00" filled="t" stroked="t" coordsize="21600,21600" o:gfxdata="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niN+zXAAAACwEAAA8AAAAA&#10;AAAAAQAgAAAAIgAAAGRycy9kb3ducmV2LnhtbFBLAQIUABQAAAAIAIdO4kByngYlTgIAALkEAAAO&#10;AAAAAAAAAAEAIAAAACYBAABkcnMvZTJvRG9jLnhtbFBLBQYAAAAABgAGAFkBAADmBQAAAAA=&#10;">
                      <v:fill on="t" opacity="28835f" focussize="0,0"/>
                      <v:stroke weight="1pt" color="#000000" miterlimit="8" joinstyle="miter"/>
                      <v:imagedata o:title=""/>
                      <o:lock v:ext="edit" aspectratio="f"/>
                      <v:textbox>
                        <w:txbxContent>
                          <w:p>
                            <w:pPr>
                              <w:jc w:val="center"/>
                            </w:pPr>
                            <w:r>
                              <w:rPr>
                                <w:rFonts w:hint="eastAsia"/>
                              </w:rPr>
                              <w:t>加速器出束、实施治疗</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6368" behindDoc="0" locked="0" layoutInCell="1" allowOverlap="1">
                      <wp:simplePos x="0" y="0"/>
                      <wp:positionH relativeFrom="column">
                        <wp:posOffset>3762375</wp:posOffset>
                      </wp:positionH>
                      <wp:positionV relativeFrom="paragraph">
                        <wp:posOffset>3688080</wp:posOffset>
                      </wp:positionV>
                      <wp:extent cx="635" cy="198120"/>
                      <wp:effectExtent l="24765" t="0" r="31750" b="11430"/>
                      <wp:wrapNone/>
                      <wp:docPr id="37" name="Line 197"/>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Line 197" o:spid="_x0000_s1026" o:spt="20" style="position:absolute;left:0pt;margin-left:296.25pt;margin-top:290.4pt;height:15.6pt;width:0.05pt;z-index:251706368;mso-width-relative:page;mso-height-relative:page;" filled="f" stroked="t" coordsize="21600,21600" o:gfxdata="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JV+doAAAALAQAADwAAAAAAAAABACAAAAAiAAAAZHJzL2Rvd25yZXYueG1sUEsBAhQAFAAA&#10;AAgAh07iQCoJvUXtAQAA3gMAAA4AAAAAAAAAAQAgAAAAKQEAAGRycy9lMm9Eb2MueG1sUEsFBgAA&#10;AAAGAAYAWQEAAIgFA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7392" behindDoc="0" locked="0" layoutInCell="1" allowOverlap="1">
                      <wp:simplePos x="0" y="0"/>
                      <wp:positionH relativeFrom="column">
                        <wp:posOffset>2921000</wp:posOffset>
                      </wp:positionH>
                      <wp:positionV relativeFrom="paragraph">
                        <wp:posOffset>3895725</wp:posOffset>
                      </wp:positionV>
                      <wp:extent cx="1722755" cy="297180"/>
                      <wp:effectExtent l="6350" t="6350" r="23495" b="20320"/>
                      <wp:wrapNone/>
                      <wp:docPr id="36" name="Text Box 198"/>
                      <wp:cNvGraphicFramePr/>
                      <a:graphic xmlns:a="http://schemas.openxmlformats.org/drawingml/2006/main">
                        <a:graphicData uri="http://schemas.microsoft.com/office/word/2010/wordprocessingShape">
                          <wps:wsp>
                            <wps:cNvSpPr txBox="1">
                              <a:spLocks noChangeArrowheads="1"/>
                            </wps:cNvSpPr>
                            <wps:spPr bwMode="auto">
                              <a:xfrm>
                                <a:off x="0" y="0"/>
                                <a:ext cx="1722755" cy="297180"/>
                              </a:xfrm>
                              <a:prstGeom prst="rect">
                                <a:avLst/>
                              </a:prstGeom>
                              <a:solidFill>
                                <a:srgbClr val="FFFFFF"/>
                              </a:solidFill>
                              <a:ln w="12700">
                                <a:solidFill>
                                  <a:srgbClr val="000000"/>
                                </a:solidFill>
                                <a:miter lim="800000"/>
                              </a:ln>
                              <a:effectLst/>
                            </wps:spPr>
                            <wps:txbx>
                              <w:txbxContent>
                                <w:p>
                                  <w:pPr>
                                    <w:jc w:val="center"/>
                                  </w:pPr>
                                  <w:r>
                                    <w:rPr>
                                      <w:rFonts w:hint="eastAsia"/>
                                    </w:rPr>
                                    <w:t>治疗完毕</w:t>
                                  </w:r>
                                </w:p>
                              </w:txbxContent>
                            </wps:txbx>
                            <wps:bodyPr rot="0" vert="horz" wrap="square" lIns="91440" tIns="45720" rIns="91440" bIns="45720" anchor="t" anchorCtr="0" upright="1">
                              <a:noAutofit/>
                            </wps:bodyPr>
                          </wps:wsp>
                        </a:graphicData>
                      </a:graphic>
                    </wp:anchor>
                  </w:drawing>
                </mc:Choice>
                <mc:Fallback>
                  <w:pict>
                    <v:shape id="Text Box 198" o:spid="_x0000_s1026" o:spt="202" type="#_x0000_t202" style="position:absolute;left:0pt;margin-left:230pt;margin-top:306.75pt;height:23.4pt;width:135.65pt;z-index:251707392;mso-width-relative:page;mso-height-relative:page;" fillcolor="#FFFFFF" filled="t" stroked="t" coordsize="21600,21600" o:gfxdata="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8b3OTcAAAACwEAAA8AAAAAAAAAAQAgAAAAIgAAAGRy&#10;cy9kb3ducmV2LnhtbFBLAQIUABQAAAAIAIdO4kDEdqpROgIAAJgEAAAOAAAAAAAAAAEAIAAAACsB&#10;AABkcnMvZTJvRG9jLnhtbFBLBQYAAAAABgAGAFkBAADXBQAAAAA=&#10;">
                      <v:fill on="t" focussize="0,0"/>
                      <v:stroke weight="1pt" color="#000000" miterlimit="8" joinstyle="miter"/>
                      <v:imagedata o:title=""/>
                      <o:lock v:ext="edit" aspectratio="f"/>
                      <v:textbox>
                        <w:txbxContent>
                          <w:p>
                            <w:pPr>
                              <w:jc w:val="center"/>
                            </w:pPr>
                            <w:r>
                              <w:rPr>
                                <w:rFonts w:hint="eastAsia"/>
                              </w:rPr>
                              <w:t>治疗完毕</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9440" behindDoc="0" locked="0" layoutInCell="1" allowOverlap="1">
                      <wp:simplePos x="0" y="0"/>
                      <wp:positionH relativeFrom="column">
                        <wp:posOffset>570230</wp:posOffset>
                      </wp:positionH>
                      <wp:positionV relativeFrom="paragraph">
                        <wp:posOffset>3532505</wp:posOffset>
                      </wp:positionV>
                      <wp:extent cx="229870" cy="635"/>
                      <wp:effectExtent l="0" t="24765" r="17780" b="31750"/>
                      <wp:wrapNone/>
                      <wp:docPr id="34" name="Line 200"/>
                      <wp:cNvGraphicFramePr/>
                      <a:graphic xmlns:a="http://schemas.openxmlformats.org/drawingml/2006/main">
                        <a:graphicData uri="http://schemas.microsoft.com/office/word/2010/wordprocessingShape">
                          <wps:wsp>
                            <wps:cNvCnPr>
                              <a:cxnSpLocks noChangeShapeType="1"/>
                            </wps:cNvCnPr>
                            <wps:spPr bwMode="auto">
                              <a:xfrm rot="10800000" flipH="1">
                                <a:off x="0" y="0"/>
                                <a:ext cx="229870" cy="635"/>
                              </a:xfrm>
                              <a:prstGeom prst="line">
                                <a:avLst/>
                              </a:prstGeom>
                              <a:noFill/>
                              <a:ln w="9525">
                                <a:solidFill>
                                  <a:srgbClr val="000000"/>
                                </a:solidFill>
                                <a:prstDash val="sysDot"/>
                                <a:round/>
                                <a:headEnd type="triangle" w="sm" len="med"/>
                              </a:ln>
                              <a:effectLst/>
                            </wps:spPr>
                            <wps:bodyPr/>
                          </wps:wsp>
                        </a:graphicData>
                      </a:graphic>
                    </wp:anchor>
                  </w:drawing>
                </mc:Choice>
                <mc:Fallback>
                  <w:pict>
                    <v:line id="Line 200" o:spid="_x0000_s1026" o:spt="20" style="position:absolute;left:0pt;flip:x;margin-left:44.9pt;margin-top:278.15pt;height:0.05pt;width:18.1pt;rotation:11796480f;z-index:251709440;mso-width-relative:page;mso-height-relative:page;" filled="f" stroked="t" coordsize="21600,21600" o:gfxdata="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W4LjnbAAAACgEAAA8AAAAAAAAAAQAgAAAA&#10;IgAAAGRycy9kb3ducmV2LnhtbFBLAQIUABQAAAAIAIdO4kDnB0/zCAIAABEEAAAOAAAAAAAAAAEA&#10;IAAAACoBAABkcnMvZTJvRG9jLnhtbFBLBQYAAAAABgAGAFkBAACkBQAAAAA=&#10;">
                      <v:fill on="f" focussize="0,0"/>
                      <v:stroke color="#000000" joinstyle="round" dashstyle="1 1" startarrow="block" start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710464" behindDoc="0" locked="0" layoutInCell="1" allowOverlap="1">
                      <wp:simplePos x="0" y="0"/>
                      <wp:positionH relativeFrom="column">
                        <wp:posOffset>1640205</wp:posOffset>
                      </wp:positionH>
                      <wp:positionV relativeFrom="paragraph">
                        <wp:posOffset>3717290</wp:posOffset>
                      </wp:positionV>
                      <wp:extent cx="635" cy="198120"/>
                      <wp:effectExtent l="24765" t="0" r="31750" b="11430"/>
                      <wp:wrapNone/>
                      <wp:docPr id="33" name="Line 201"/>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Line 201" o:spid="_x0000_s1026" o:spt="20" style="position:absolute;left:0pt;margin-left:129.15pt;margin-top:292.7pt;height:15.6pt;width:0.05pt;z-index:251710464;mso-width-relative:page;mso-height-relative:page;" filled="f" stroked="t" coordsize="21600,21600" o:gfxdata="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4sBzq2gAAAAsBAAAPAAAAAAAAAAEAIAAAACIAAABkcnMvZG93bnJldi54bWxQSwECFAAUAAAA&#10;CACHTuJAguGD4uwBAADeAwAADgAAAAAAAAABACAAAAApAQAAZHJzL2Uyb0RvYy54bWxQSwUGAAAA&#10;AAYABgBZAQAAhwU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711488" behindDoc="0" locked="0" layoutInCell="1" allowOverlap="1">
                      <wp:simplePos x="0" y="0"/>
                      <wp:positionH relativeFrom="column">
                        <wp:posOffset>817245</wp:posOffset>
                      </wp:positionH>
                      <wp:positionV relativeFrom="paragraph">
                        <wp:posOffset>3936365</wp:posOffset>
                      </wp:positionV>
                      <wp:extent cx="1722755" cy="297180"/>
                      <wp:effectExtent l="6350" t="6350" r="23495" b="20320"/>
                      <wp:wrapNone/>
                      <wp:docPr id="35" name="Text Box 202"/>
                      <wp:cNvGraphicFramePr/>
                      <a:graphic xmlns:a="http://schemas.openxmlformats.org/drawingml/2006/main">
                        <a:graphicData uri="http://schemas.microsoft.com/office/word/2010/wordprocessingShape">
                          <wps:wsp>
                            <wps:cNvSpPr txBox="1">
                              <a:spLocks noChangeArrowheads="1"/>
                            </wps:cNvSpPr>
                            <wps:spPr bwMode="auto">
                              <a:xfrm>
                                <a:off x="0" y="0"/>
                                <a:ext cx="1722755" cy="297180"/>
                              </a:xfrm>
                              <a:prstGeom prst="rect">
                                <a:avLst/>
                              </a:prstGeom>
                              <a:solidFill>
                                <a:srgbClr val="FFFFFF"/>
                              </a:solidFill>
                              <a:ln w="12700">
                                <a:solidFill>
                                  <a:srgbClr val="000000"/>
                                </a:solidFill>
                                <a:miter lim="800000"/>
                              </a:ln>
                              <a:effectLst/>
                            </wps:spPr>
                            <wps:txbx>
                              <w:txbxContent>
                                <w:p>
                                  <w:pPr>
                                    <w:jc w:val="center"/>
                                  </w:pPr>
                                  <w:r>
                                    <w:rPr>
                                      <w:rFonts w:hint="eastAsia"/>
                                    </w:rPr>
                                    <w:t>治疗完毕</w:t>
                                  </w:r>
                                </w:p>
                              </w:txbxContent>
                            </wps:txbx>
                            <wps:bodyPr rot="0" vert="horz" wrap="square" lIns="91440" tIns="45720" rIns="91440" bIns="45720" anchor="t" anchorCtr="0" upright="1">
                              <a:noAutofit/>
                            </wps:bodyPr>
                          </wps:wsp>
                        </a:graphicData>
                      </a:graphic>
                    </wp:anchor>
                  </w:drawing>
                </mc:Choice>
                <mc:Fallback>
                  <w:pict>
                    <v:shape id="Text Box 202" o:spid="_x0000_s1026" o:spt="202" type="#_x0000_t202" style="position:absolute;left:0pt;margin-left:64.35pt;margin-top:309.95pt;height:23.4pt;width:135.65pt;z-index:251711488;mso-width-relative:page;mso-height-relative:page;" fillcolor="#FFFFFF" filled="t" stroked="t" coordsize="21600,21600" o:gfxdata="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Ax4CtwAAAALAQAADwAAAAAAAAABACAAAAAiAAAAZHJz&#10;L2Rvd25yZXYueG1sUEsBAhQAFAAAAAgAh07iQOBxTN85AgAAmAQAAA4AAAAAAAAAAQAgAAAAKwEA&#10;AGRycy9lMm9Eb2MueG1sUEsFBgAAAAAGAAYAWQEAANYFAAAAAA==&#10;">
                      <v:fill on="t" focussize="0,0"/>
                      <v:stroke weight="1pt" color="#000000" miterlimit="8" joinstyle="miter"/>
                      <v:imagedata o:title=""/>
                      <o:lock v:ext="edit" aspectratio="f"/>
                      <v:textbox>
                        <w:txbxContent>
                          <w:p>
                            <w:pPr>
                              <w:jc w:val="center"/>
                            </w:pPr>
                            <w:r>
                              <w:rPr>
                                <w:rFonts w:hint="eastAsia"/>
                              </w:rPr>
                              <w:t>治疗完毕</w:t>
                            </w:r>
                          </w:p>
                        </w:txbxContent>
                      </v:textbox>
                    </v:shape>
                  </w:pict>
                </mc:Fallback>
              </mc:AlternateContent>
            </w:r>
          </w:p>
          <w:p>
            <w:pPr>
              <w:keepNext w:val="0"/>
              <w:keepLines w:val="0"/>
              <w:suppressLineNumbers w:val="0"/>
              <w:spacing w:before="0" w:beforeAutospacing="0" w:after="0" w:afterAutospacing="0" w:line="520" w:lineRule="exact"/>
              <w:ind w:left="0" w:right="0" w:firstLine="420" w:firstLineChars="200"/>
              <w:rPr>
                <w:rFonts w:hint="default" w:ascii="Times New Roman" w:hAnsi="Times New Roman" w:cs="Times New Roman"/>
                <w:color w:val="auto"/>
                <w:sz w:val="28"/>
                <w:szCs w:val="28"/>
              </w:rPr>
            </w:pPr>
            <w:r>
              <w:rPr>
                <w:rFonts w:hint="default" w:ascii="Times New Roman" w:hAnsi="Times New Roman" w:cs="Times New Roman"/>
                <w:color w:val="auto"/>
              </w:rPr>
              <mc:AlternateContent>
                <mc:Choice Requires="wps">
                  <w:drawing>
                    <wp:anchor distT="0" distB="0" distL="114300" distR="114300" simplePos="0" relativeHeight="251712512" behindDoc="0" locked="0" layoutInCell="1" allowOverlap="1">
                      <wp:simplePos x="0" y="0"/>
                      <wp:positionH relativeFrom="column">
                        <wp:posOffset>2569210</wp:posOffset>
                      </wp:positionH>
                      <wp:positionV relativeFrom="paragraph">
                        <wp:posOffset>73660</wp:posOffset>
                      </wp:positionV>
                      <wp:extent cx="5080" cy="126365"/>
                      <wp:effectExtent l="23495" t="0" r="28575" b="6985"/>
                      <wp:wrapNone/>
                      <wp:docPr id="54" name="Line 182"/>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Line 182" o:spid="_x0000_s1026" o:spt="20" style="position:absolute;left:0pt;margin-left:202.3pt;margin-top:5.8pt;height:9.95pt;width:0.4pt;z-index:251712512;mso-width-relative:page;mso-height-relative:page;" filled="f" stroked="t" coordsize="21600,21600" o:gfxdata="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h6lNPZAAAACQEAAA8AAAAAAAAAAQAgAAAAIgAAAGRycy9kb3ducmV2LnhtbFBLAQIUABQAAAAI&#10;AIdO4kBoMs3s7AEAAN4DAAAOAAAAAAAAAAEAIAAAACgBAABkcnMvZTJvRG9jLnhtbFBLBQYAAAAA&#10;BgAGAFkBAACGBQ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2032" behindDoc="0" locked="0" layoutInCell="1" allowOverlap="1">
                      <wp:simplePos x="0" y="0"/>
                      <wp:positionH relativeFrom="column">
                        <wp:posOffset>1507490</wp:posOffset>
                      </wp:positionH>
                      <wp:positionV relativeFrom="paragraph">
                        <wp:posOffset>190500</wp:posOffset>
                      </wp:positionV>
                      <wp:extent cx="2099945" cy="487045"/>
                      <wp:effectExtent l="6350" t="6350" r="8255" b="20955"/>
                      <wp:wrapNone/>
                      <wp:docPr id="51" name="Text Box 183"/>
                      <wp:cNvGraphicFramePr/>
                      <a:graphic xmlns:a="http://schemas.openxmlformats.org/drawingml/2006/main">
                        <a:graphicData uri="http://schemas.microsoft.com/office/word/2010/wordprocessingShape">
                          <wps:wsp>
                            <wps:cNvSpPr txBox="1">
                              <a:spLocks noChangeArrowheads="1"/>
                            </wps:cNvSpPr>
                            <wps:spPr bwMode="auto">
                              <a:xfrm>
                                <a:off x="0" y="0"/>
                                <a:ext cx="2099945" cy="296545"/>
                              </a:xfrm>
                              <a:prstGeom prst="rect">
                                <a:avLst/>
                              </a:prstGeom>
                              <a:solidFill>
                                <a:srgbClr val="FFFFFF"/>
                              </a:solidFill>
                              <a:ln w="12700">
                                <a:solidFill>
                                  <a:srgbClr val="000000"/>
                                </a:solidFill>
                                <a:miter lim="800000"/>
                              </a:ln>
                              <a:effectLst/>
                            </wps:spPr>
                            <wps:txbx>
                              <w:txbxContent>
                                <w:p>
                                  <w:pPr>
                                    <w:jc w:val="center"/>
                                    <w:rPr>
                                      <w:rFonts w:hint="eastAsia"/>
                                    </w:rPr>
                                  </w:pPr>
                                  <w:r>
                                    <w:rPr>
                                      <w:rFonts w:hint="eastAsia"/>
                                    </w:rPr>
                                    <w:t>职业人员佩戴个人剂量计，携带个人计量报警仪</w:t>
                                  </w:r>
                                </w:p>
                              </w:txbxContent>
                            </wps:txbx>
                            <wps:bodyPr rot="0" vert="horz" wrap="square" lIns="91440" tIns="45720" rIns="91440" bIns="45720" anchor="t" anchorCtr="0" upright="1">
                              <a:noAutofit/>
                            </wps:bodyPr>
                          </wps:wsp>
                        </a:graphicData>
                      </a:graphic>
                    </wp:anchor>
                  </w:drawing>
                </mc:Choice>
                <mc:Fallback>
                  <w:pict>
                    <v:shape id="Text Box 183" o:spid="_x0000_s1026" o:spt="202" type="#_x0000_t202" style="position:absolute;left:0pt;margin-left:118.7pt;margin-top:15pt;height:38.35pt;width:165.35pt;z-index:251692032;mso-width-relative:page;mso-height-relative:page;" fillcolor="#FFFFFF" filled="t" stroked="t" coordsize="21600,21600" o:gfxdata="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28nwT2wAAAAoBAAAPAAAAAAAAAAEAIAAAACIAAABkcnMv&#10;ZG93bnJldi54bWxQSwECFAAUAAAACACHTuJAHvRP5jkCAACYBAAADgAAAAAAAAABACAAAAAqAQAA&#10;ZHJzL2Uyb0RvYy54bWxQSwUGAAAAAAYABgBZAQAA1QUAAAAA&#10;">
                      <v:fill on="t" focussize="0,0"/>
                      <v:stroke weight="1pt" color="#000000" miterlimit="8" joinstyle="miter"/>
                      <v:imagedata o:title=""/>
                      <o:lock v:ext="edit" aspectratio="f"/>
                      <v:textbox>
                        <w:txbxContent>
                          <w:p>
                            <w:pPr>
                              <w:jc w:val="center"/>
                              <w:rPr>
                                <w:rFonts w:hint="eastAsia"/>
                              </w:rPr>
                            </w:pPr>
                            <w:r>
                              <w:rPr>
                                <w:rFonts w:hint="eastAsia"/>
                              </w:rPr>
                              <w:t>职业人员佩戴个人剂量计，携带个人计量报警仪</w:t>
                            </w:r>
                          </w:p>
                        </w:txbxContent>
                      </v:textbox>
                    </v:shape>
                  </w:pict>
                </mc:Fallback>
              </mc:AlternateContent>
            </w:r>
          </w:p>
          <w:p>
            <w:pPr>
              <w:keepNext w:val="0"/>
              <w:keepLines w:val="0"/>
              <w:suppressLineNumbers w:val="0"/>
              <w:spacing w:before="0" w:beforeAutospacing="0" w:after="0" w:afterAutospacing="0" w:line="520" w:lineRule="exact"/>
              <w:ind w:left="0" w:right="0" w:firstLine="560" w:firstLineChars="200"/>
              <w:rPr>
                <w:rFonts w:hint="default" w:ascii="Times New Roman" w:hAnsi="Times New Roman" w:cs="Times New Roman"/>
                <w:color w:val="auto"/>
                <w:sz w:val="28"/>
                <w:szCs w:val="28"/>
              </w:rPr>
            </w:pPr>
          </w:p>
          <w:p>
            <w:pPr>
              <w:keepNext w:val="0"/>
              <w:keepLines w:val="0"/>
              <w:suppressLineNumbers w:val="0"/>
              <w:spacing w:before="0" w:beforeAutospacing="0" w:after="0" w:afterAutospacing="0" w:line="520" w:lineRule="exact"/>
              <w:ind w:left="0" w:right="0" w:firstLine="420" w:firstLineChars="200"/>
              <w:rPr>
                <w:rFonts w:hint="default" w:ascii="Times New Roman" w:hAnsi="Times New Roman" w:cs="Times New Roman"/>
                <w:color w:val="auto"/>
                <w:sz w:val="28"/>
                <w:szCs w:val="28"/>
              </w:rPr>
            </w:pPr>
            <w:r>
              <w:rPr>
                <w:rFonts w:hint="default" w:ascii="Times New Roman" w:hAnsi="Times New Roman" w:cs="Times New Roman"/>
                <w:color w:val="auto"/>
              </w:rPr>
              <mc:AlternateContent>
                <mc:Choice Requires="wps">
                  <w:drawing>
                    <wp:anchor distT="0" distB="0" distL="114300" distR="114300" simplePos="0" relativeHeight="251691008" behindDoc="0" locked="0" layoutInCell="1" allowOverlap="1">
                      <wp:simplePos x="0" y="0"/>
                      <wp:positionH relativeFrom="column">
                        <wp:posOffset>2569210</wp:posOffset>
                      </wp:positionH>
                      <wp:positionV relativeFrom="paragraph">
                        <wp:posOffset>18415</wp:posOffset>
                      </wp:positionV>
                      <wp:extent cx="635" cy="160020"/>
                      <wp:effectExtent l="24765" t="0" r="31750" b="11430"/>
                      <wp:wrapNone/>
                      <wp:docPr id="52" name="Line 182"/>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Line 182" o:spid="_x0000_s1026" o:spt="20" style="position:absolute;left:0pt;margin-left:202.3pt;margin-top:1.45pt;height:12.6pt;width:0.05pt;z-index:251691008;mso-width-relative:page;mso-height-relative:page;" filled="f" stroked="t" coordsize="21600,21600" o:gfxdata="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g/X4dgAAAAIAQAADwAAAAAAAAABACAAAAAiAAAAZHJzL2Rvd25yZXYueG1sUEsBAhQAFAAAAAgA&#10;h07iQNoa0B3sAQAA3gMAAA4AAAAAAAAAAQAgAAAAJwEAAGRycy9lMm9Eb2MueG1sUEsFBgAAAAAG&#10;AAYAWQEAAIUFAAAAAA==&#10;">
                      <v:fill on="f" focussize="0,0"/>
                      <v:stroke color="#000000" joinstyle="round" endarrow="block" end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8960" behindDoc="0" locked="0" layoutInCell="1" allowOverlap="1">
                      <wp:simplePos x="0" y="0"/>
                      <wp:positionH relativeFrom="column">
                        <wp:posOffset>3969385</wp:posOffset>
                      </wp:positionH>
                      <wp:positionV relativeFrom="paragraph">
                        <wp:posOffset>101600</wp:posOffset>
                      </wp:positionV>
                      <wp:extent cx="661035" cy="469900"/>
                      <wp:effectExtent l="0" t="0" r="0" b="0"/>
                      <wp:wrapNone/>
                      <wp:docPr id="31" name="Text Box 180"/>
                      <wp:cNvGraphicFramePr/>
                      <a:graphic xmlns:a="http://schemas.openxmlformats.org/drawingml/2006/main">
                        <a:graphicData uri="http://schemas.microsoft.com/office/word/2010/wordprocessingShape">
                          <wps:wsp>
                            <wps:cNvSpPr txBox="1"/>
                            <wps:spPr>
                              <a:xfrm>
                                <a:off x="0" y="0"/>
                                <a:ext cx="661035" cy="469900"/>
                              </a:xfrm>
                              <a:prstGeom prst="rect">
                                <a:avLst/>
                              </a:prstGeom>
                              <a:noFill/>
                              <a:ln>
                                <a:noFill/>
                              </a:ln>
                            </wps:spPr>
                            <wps:txbx>
                              <w:txbxContent>
                                <w:p>
                                  <w:pPr>
                                    <w:rPr>
                                      <w:rFonts w:hint="eastAsia"/>
                                      <w:bCs/>
                                    </w:rPr>
                                  </w:pPr>
                                  <w:r>
                                    <w:rPr>
                                      <w:bCs/>
                                    </w:rPr>
                                    <w:t>X</w:t>
                                  </w:r>
                                  <w:r>
                                    <w:rPr>
                                      <w:rFonts w:hint="eastAsia"/>
                                      <w:bCs/>
                                    </w:rPr>
                                    <w:t>射线、</w:t>
                                  </w:r>
                                </w:p>
                                <w:p>
                                  <w:r>
                                    <w:rPr>
                                      <w:rFonts w:hint="eastAsia"/>
                                      <w:bCs/>
                                    </w:rPr>
                                    <w:t>臭氧</w:t>
                                  </w:r>
                                </w:p>
                              </w:txbxContent>
                            </wps:txbx>
                            <wps:bodyPr upright="1"/>
                          </wps:wsp>
                        </a:graphicData>
                      </a:graphic>
                    </wp:anchor>
                  </w:drawing>
                </mc:Choice>
                <mc:Fallback>
                  <w:pict>
                    <v:shape id="Text Box 180" o:spid="_x0000_s1026" o:spt="202" type="#_x0000_t202" style="position:absolute;left:0pt;margin-left:312.55pt;margin-top:8pt;height:37pt;width:52.05pt;z-index:251688960;mso-width-relative:page;mso-height-relative:page;" filled="f" stroked="f" coordsize="21600,21600" o:gfxdata="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Ed07jWAAAACQEAAA8AAAAAAAAAAQAg&#10;AAAAIgAAAGRycy9kb3ducmV2LnhtbFBLAQIUABQAAAAIAIdO4kAj+14YngEAAE8DAAAOAAAAAAAA&#10;AAEAIAAAACUBAABkcnMvZTJvRG9jLnhtbFBLBQYAAAAABgAGAFkBAAA1BQAAAAA=&#10;">
                      <v:fill on="f" focussize="0,0"/>
                      <v:stroke on="f"/>
                      <v:imagedata o:title=""/>
                      <o:lock v:ext="edit" aspectratio="f"/>
                      <v:textbox>
                        <w:txbxContent>
                          <w:p>
                            <w:pPr>
                              <w:rPr>
                                <w:rFonts w:hint="eastAsia"/>
                                <w:bCs/>
                              </w:rPr>
                            </w:pPr>
                            <w:r>
                              <w:rPr>
                                <w:bCs/>
                              </w:rPr>
                              <w:t>X</w:t>
                            </w:r>
                            <w:r>
                              <w:rPr>
                                <w:rFonts w:hint="eastAsia"/>
                                <w:bCs/>
                              </w:rPr>
                              <w:t>射线、</w:t>
                            </w:r>
                          </w:p>
                          <w:p>
                            <w:r>
                              <w:rPr>
                                <w:rFonts w:hint="eastAsia"/>
                                <w:bCs/>
                              </w:rPr>
                              <w:t>臭氧</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9984" behindDoc="0" locked="0" layoutInCell="1" allowOverlap="1">
                      <wp:simplePos x="0" y="0"/>
                      <wp:positionH relativeFrom="column">
                        <wp:posOffset>3614420</wp:posOffset>
                      </wp:positionH>
                      <wp:positionV relativeFrom="paragraph">
                        <wp:posOffset>328930</wp:posOffset>
                      </wp:positionV>
                      <wp:extent cx="344805" cy="635"/>
                      <wp:effectExtent l="0" t="25400" r="17145" b="31115"/>
                      <wp:wrapNone/>
                      <wp:docPr id="53" name="Line 181"/>
                      <wp:cNvGraphicFramePr/>
                      <a:graphic xmlns:a="http://schemas.openxmlformats.org/drawingml/2006/main">
                        <a:graphicData uri="http://schemas.microsoft.com/office/word/2010/wordprocessingShape">
                          <wps:wsp>
                            <wps:cNvCnPr>
                              <a:cxnSpLocks noChangeShapeType="1"/>
                            </wps:cNvCnPr>
                            <wps:spPr bwMode="auto">
                              <a:xfrm flipH="1">
                                <a:off x="0" y="0"/>
                                <a:ext cx="344805" cy="635"/>
                              </a:xfrm>
                              <a:prstGeom prst="line">
                                <a:avLst/>
                              </a:prstGeom>
                              <a:noFill/>
                              <a:ln w="9525">
                                <a:solidFill>
                                  <a:srgbClr val="000000"/>
                                </a:solidFill>
                                <a:prstDash val="sysDot"/>
                                <a:round/>
                                <a:headEnd type="triangle" w="sm" len="med"/>
                              </a:ln>
                              <a:effectLst/>
                            </wps:spPr>
                            <wps:bodyPr/>
                          </wps:wsp>
                        </a:graphicData>
                      </a:graphic>
                    </wp:anchor>
                  </w:drawing>
                </mc:Choice>
                <mc:Fallback>
                  <w:pict>
                    <v:line id="Line 181" o:spid="_x0000_s1026" o:spt="20" style="position:absolute;left:0pt;flip:x;margin-left:284.6pt;margin-top:25.9pt;height:0.05pt;width:27.15pt;z-index:251689984;mso-width-relative:page;mso-height-relative:page;" filled="f" stroked="t" coordsize="21600,21600" o:gfxdata="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qEzq2AAAAAkBAAAPAAAAAAAAAAEAIAAAACIAAABkcnMvZG93&#10;bnJldi54bWxQSwECFAAUAAAACACHTuJAbEhOxwACAAACBAAADgAAAAAAAAABACAAAAAnAQAAZHJz&#10;L2Uyb0RvYy54bWxQSwUGAAAAAAYABgBZAQAAmQUAAAAA&#10;">
                      <v:fill on="f" focussize="0,0"/>
                      <v:stroke color="#000000" joinstyle="round" dashstyle="1 1" startarrow="block" startarrowwidth="narrow"/>
                      <v:imagedata o:title=""/>
                      <o:lock v:ext="edit" aspectratio="f"/>
                    </v:lin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2816" behindDoc="0" locked="0" layoutInCell="1" allowOverlap="1">
                      <wp:simplePos x="0" y="0"/>
                      <wp:positionH relativeFrom="column">
                        <wp:posOffset>1516380</wp:posOffset>
                      </wp:positionH>
                      <wp:positionV relativeFrom="paragraph">
                        <wp:posOffset>146685</wp:posOffset>
                      </wp:positionV>
                      <wp:extent cx="2099945" cy="296545"/>
                      <wp:effectExtent l="6350" t="6350" r="8255" b="20955"/>
                      <wp:wrapNone/>
                      <wp:docPr id="61" name="Text Box 173"/>
                      <wp:cNvGraphicFramePr/>
                      <a:graphic xmlns:a="http://schemas.openxmlformats.org/drawingml/2006/main">
                        <a:graphicData uri="http://schemas.microsoft.com/office/word/2010/wordprocessingShape">
                          <wps:wsp>
                            <wps:cNvSpPr txBox="1">
                              <a:spLocks noChangeArrowheads="1"/>
                            </wps:cNvSpPr>
                            <wps:spPr bwMode="auto">
                              <a:xfrm>
                                <a:off x="0" y="0"/>
                                <a:ext cx="2099945" cy="296545"/>
                              </a:xfrm>
                              <a:prstGeom prst="rect">
                                <a:avLst/>
                              </a:prstGeom>
                              <a:solidFill>
                                <a:srgbClr val="FFFF00">
                                  <a:alpha val="43999"/>
                                </a:srgbClr>
                              </a:solidFill>
                              <a:ln w="12700">
                                <a:solidFill>
                                  <a:srgbClr val="000000"/>
                                </a:solidFill>
                                <a:miter lim="800000"/>
                              </a:ln>
                              <a:effectLst/>
                            </wps:spPr>
                            <wps:txbx>
                              <w:txbxContent>
                                <w:p>
                                  <w:pPr>
                                    <w:jc w:val="center"/>
                                  </w:pPr>
                                  <w:r>
                                    <w:rPr>
                                      <w:rFonts w:hint="eastAsia"/>
                                    </w:rPr>
                                    <w:t>模拟定位，进行体表标记</w:t>
                                  </w:r>
                                </w:p>
                              </w:txbxContent>
                            </wps:txbx>
                            <wps:bodyPr rot="0" vert="horz" wrap="square" lIns="91440" tIns="45720" rIns="91440" bIns="45720" anchor="t" anchorCtr="0" upright="1">
                              <a:noAutofit/>
                            </wps:bodyPr>
                          </wps:wsp>
                        </a:graphicData>
                      </a:graphic>
                    </wp:anchor>
                  </w:drawing>
                </mc:Choice>
                <mc:Fallback>
                  <w:pict>
                    <v:shape id="Text Box 173" o:spid="_x0000_s1026" o:spt="202" type="#_x0000_t202" style="position:absolute;left:0pt;margin-left:119.4pt;margin-top:11.55pt;height:23.35pt;width:165.35pt;z-index:251682816;mso-width-relative:page;mso-height-relative:page;" fillcolor="#FFFF00" filled="t" stroked="t" coordsize="21600,21600" o:gfxdata="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I/5PH1QAAAAkBAAAPAAAAAAAAAAEA&#10;IAAAACIAAABkcnMvZG93bnJldi54bWxQSwECFAAUAAAACACHTuJA4Ct20UsCAAC5BAAADgAAAAAA&#10;AAABACAAAAAkAQAAZHJzL2Uyb0RvYy54bWxQSwUGAAAAAAYABgBZAQAA4QUAAAAA&#10;">
                      <v:fill on="t" opacity="28835f" focussize="0,0"/>
                      <v:stroke weight="1pt" color="#000000" miterlimit="8" joinstyle="miter"/>
                      <v:imagedata o:title=""/>
                      <o:lock v:ext="edit" aspectratio="f"/>
                      <v:textbox>
                        <w:txbxContent>
                          <w:p>
                            <w:pPr>
                              <w:jc w:val="center"/>
                            </w:pPr>
                            <w:r>
                              <w:rPr>
                                <w:rFonts w:hint="eastAsia"/>
                              </w:rPr>
                              <w:t>模拟定位，进行体表标记</w:t>
                            </w:r>
                          </w:p>
                        </w:txbxContent>
                      </v:textbox>
                    </v:shape>
                  </w:pict>
                </mc:Fallback>
              </mc:AlternateContent>
            </w:r>
          </w:p>
          <w:p>
            <w:pPr>
              <w:keepNext w:val="0"/>
              <w:keepLines w:val="0"/>
              <w:suppressLineNumbers w:val="0"/>
              <w:spacing w:before="0" w:beforeAutospacing="0" w:after="0" w:afterAutospacing="0" w:line="520" w:lineRule="exact"/>
              <w:ind w:left="0" w:right="0" w:firstLine="420" w:firstLineChars="200"/>
              <w:rPr>
                <w:rFonts w:hint="default" w:ascii="Times New Roman" w:hAnsi="Times New Roman" w:cs="Times New Roman"/>
                <w:color w:val="auto"/>
                <w:sz w:val="28"/>
                <w:szCs w:val="28"/>
              </w:rPr>
            </w:pPr>
            <w:r>
              <w:rPr>
                <w:rFonts w:hint="default" w:ascii="Times New Roman" w:hAnsi="Times New Roman" w:cs="Times New Roman"/>
                <w:color w:val="auto"/>
              </w:rPr>
              <mc:AlternateContent>
                <mc:Choice Requires="wps">
                  <w:drawing>
                    <wp:anchor distT="0" distB="0" distL="114300" distR="114300" simplePos="0" relativeHeight="251686912" behindDoc="0" locked="0" layoutInCell="1" allowOverlap="1">
                      <wp:simplePos x="0" y="0"/>
                      <wp:positionH relativeFrom="column">
                        <wp:posOffset>2553335</wp:posOffset>
                      </wp:positionH>
                      <wp:positionV relativeFrom="paragraph">
                        <wp:posOffset>107950</wp:posOffset>
                      </wp:positionV>
                      <wp:extent cx="635" cy="156210"/>
                      <wp:effectExtent l="24765" t="0" r="31750" b="15240"/>
                      <wp:wrapNone/>
                      <wp:docPr id="56" name="Line 178"/>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Line 178" o:spid="_x0000_s1026" o:spt="20" style="position:absolute;left:0pt;margin-left:201.05pt;margin-top:8.5pt;height:12.3pt;width:0.05pt;z-index:251686912;mso-width-relative:page;mso-height-relative:page;" filled="f" stroked="t" coordsize="21600,21600" o:gfxdata="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UJOXXYAAAACQEAAA8AAAAAAAAAAQAgAAAAIgAAAGRycy9kb3ducmV2LnhtbFBLAQIUABQAAAAI&#10;AIdO4kCnHRHq7QEAAN4DAAAOAAAAAAAAAAEAIAAAACcBAABkcnMvZTJvRG9jLnhtbFBLBQYAAAAA&#10;BgAGAFkBAACGBQAAAAA=&#10;">
                      <v:fill on="f" focussize="0,0"/>
                      <v:stroke color="#000000" joinstyle="round" endarrow="block" endarrowwidth="narrow"/>
                      <v:imagedata o:title=""/>
                      <o:lock v:ext="edit" aspectratio="f"/>
                    </v:line>
                  </w:pict>
                </mc:Fallback>
              </mc:AlternateContent>
            </w:r>
          </w:p>
          <w:p>
            <w:pPr>
              <w:keepNext w:val="0"/>
              <w:keepLines w:val="0"/>
              <w:suppressLineNumbers w:val="0"/>
              <w:spacing w:before="0" w:beforeAutospacing="0" w:after="0" w:afterAutospacing="0" w:line="520" w:lineRule="exact"/>
              <w:ind w:left="0" w:right="0" w:firstLine="560" w:firstLineChars="200"/>
              <w:rPr>
                <w:rFonts w:hint="default" w:ascii="Times New Roman" w:hAnsi="Times New Roman" w:cs="Times New Roman"/>
                <w:color w:val="auto"/>
                <w:sz w:val="28"/>
                <w:szCs w:val="28"/>
              </w:rPr>
            </w:pPr>
          </w:p>
          <w:p>
            <w:pPr>
              <w:keepNext w:val="0"/>
              <w:keepLines w:val="0"/>
              <w:suppressLineNumbers w:val="0"/>
              <w:spacing w:before="0" w:beforeAutospacing="0" w:after="0" w:afterAutospacing="0" w:line="520" w:lineRule="exact"/>
              <w:ind w:left="0" w:right="0" w:firstLine="560" w:firstLineChars="200"/>
              <w:rPr>
                <w:rFonts w:hint="default" w:ascii="Times New Roman" w:hAnsi="Times New Roman" w:cs="Times New Roman"/>
                <w:color w:val="auto"/>
                <w:sz w:val="28"/>
                <w:szCs w:val="28"/>
              </w:rPr>
            </w:pPr>
          </w:p>
          <w:p>
            <w:pPr>
              <w:keepNext w:val="0"/>
              <w:keepLines w:val="0"/>
              <w:suppressLineNumbers w:val="0"/>
              <w:spacing w:before="0" w:beforeAutospacing="0" w:after="0" w:afterAutospacing="0" w:line="520" w:lineRule="exact"/>
              <w:ind w:left="0" w:right="0" w:firstLine="560" w:firstLineChars="200"/>
              <w:rPr>
                <w:rFonts w:hint="default" w:ascii="Times New Roman" w:hAnsi="Times New Roman" w:cs="Times New Roman"/>
                <w:color w:val="auto"/>
                <w:sz w:val="28"/>
                <w:szCs w:val="28"/>
              </w:rPr>
            </w:pPr>
          </w:p>
          <w:p>
            <w:pPr>
              <w:keepNext w:val="0"/>
              <w:keepLines w:val="0"/>
              <w:suppressLineNumbers w:val="0"/>
              <w:spacing w:before="0" w:beforeAutospacing="0" w:after="0" w:afterAutospacing="0" w:line="520" w:lineRule="exact"/>
              <w:ind w:left="0" w:right="0" w:firstLine="560" w:firstLineChars="200"/>
              <w:rPr>
                <w:rFonts w:hint="default" w:ascii="Times New Roman" w:hAnsi="Times New Roman" w:cs="Times New Roman"/>
                <w:color w:val="auto"/>
                <w:sz w:val="28"/>
                <w:szCs w:val="28"/>
              </w:rPr>
            </w:pPr>
          </w:p>
          <w:p>
            <w:pPr>
              <w:keepNext w:val="0"/>
              <w:keepLines w:val="0"/>
              <w:suppressLineNumbers w:val="0"/>
              <w:spacing w:before="0" w:beforeAutospacing="0" w:after="0" w:afterAutospacing="0" w:line="520" w:lineRule="exact"/>
              <w:ind w:left="0" w:right="0" w:firstLine="420" w:firstLineChars="200"/>
              <w:rPr>
                <w:rFonts w:hint="default" w:ascii="Times New Roman" w:hAnsi="Times New Roman" w:cs="Times New Roman"/>
                <w:color w:val="auto"/>
                <w:sz w:val="28"/>
                <w:szCs w:val="28"/>
              </w:rPr>
            </w:pPr>
            <w:r>
              <w:rPr>
                <w:rFonts w:hint="default" w:ascii="Times New Roman" w:hAnsi="Times New Roman" w:cs="Times New Roman"/>
                <w:color w:val="auto"/>
              </w:rPr>
              <mc:AlternateContent>
                <mc:Choice Requires="wps">
                  <w:drawing>
                    <wp:anchor distT="0" distB="0" distL="114300" distR="114300" simplePos="0" relativeHeight="251708416" behindDoc="0" locked="0" layoutInCell="1" allowOverlap="1">
                      <wp:simplePos x="0" y="0"/>
                      <wp:positionH relativeFrom="column">
                        <wp:posOffset>4878070</wp:posOffset>
                      </wp:positionH>
                      <wp:positionV relativeFrom="paragraph">
                        <wp:posOffset>196215</wp:posOffset>
                      </wp:positionV>
                      <wp:extent cx="711835" cy="708660"/>
                      <wp:effectExtent l="0" t="0" r="0" b="0"/>
                      <wp:wrapNone/>
                      <wp:docPr id="32" name="Text Box 199"/>
                      <wp:cNvGraphicFramePr/>
                      <a:graphic xmlns:a="http://schemas.openxmlformats.org/drawingml/2006/main">
                        <a:graphicData uri="http://schemas.microsoft.com/office/word/2010/wordprocessingShape">
                          <wps:wsp>
                            <wps:cNvSpPr txBox="1"/>
                            <wps:spPr>
                              <a:xfrm>
                                <a:off x="0" y="0"/>
                                <a:ext cx="711835" cy="708660"/>
                              </a:xfrm>
                              <a:prstGeom prst="rect">
                                <a:avLst/>
                              </a:prstGeom>
                              <a:noFill/>
                              <a:ln>
                                <a:noFill/>
                              </a:ln>
                            </wps:spPr>
                            <wps:txbx>
                              <w:txbxContent>
                                <w:p>
                                  <w:r>
                                    <w:t>X</w:t>
                                  </w:r>
                                  <w:r>
                                    <w:rPr>
                                      <w:rFonts w:hint="eastAsia"/>
                                    </w:rPr>
                                    <w:t>射线、臭氧、噪声</w:t>
                                  </w:r>
                                </w:p>
                              </w:txbxContent>
                            </wps:txbx>
                            <wps:bodyPr upright="1"/>
                          </wps:wsp>
                        </a:graphicData>
                      </a:graphic>
                    </wp:anchor>
                  </w:drawing>
                </mc:Choice>
                <mc:Fallback>
                  <w:pict>
                    <v:shape id="Text Box 199" o:spid="_x0000_s1026" o:spt="202" type="#_x0000_t202" style="position:absolute;left:0pt;margin-left:384.1pt;margin-top:15.45pt;height:55.8pt;width:56.05pt;z-index:251708416;mso-width-relative:page;mso-height-relative:page;" filled="f" stroked="f" coordsize="21600,21600" o:gfxdata="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gS2+92AAAAAoBAAAPAAAAAAAA&#10;AAEAIAAAACIAAABkcnMvZG93bnJldi54bWxQSwECFAAUAAAACACHTuJAmM/N8qABAABPAwAADgAA&#10;AAAAAAABACAAAAAnAQAAZHJzL2Uyb0RvYy54bWxQSwUGAAAAAAYABgBZAQAAOQUAAAAA&#10;">
                      <v:fill on="f" focussize="0,0"/>
                      <v:stroke on="f"/>
                      <v:imagedata o:title=""/>
                      <o:lock v:ext="edit" aspectratio="f"/>
                      <v:textbox>
                        <w:txbxContent>
                          <w:p>
                            <w:r>
                              <w:t>X</w:t>
                            </w:r>
                            <w:r>
                              <w:rPr>
                                <w:rFonts w:hint="eastAsia"/>
                              </w:rPr>
                              <w:t>射线、臭氧、噪声</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5888" behindDoc="0" locked="0" layoutInCell="1" allowOverlap="1">
                      <wp:simplePos x="0" y="0"/>
                      <wp:positionH relativeFrom="column">
                        <wp:posOffset>-106045</wp:posOffset>
                      </wp:positionH>
                      <wp:positionV relativeFrom="paragraph">
                        <wp:posOffset>255905</wp:posOffset>
                      </wp:positionV>
                      <wp:extent cx="761365" cy="631190"/>
                      <wp:effectExtent l="0" t="0" r="0" b="0"/>
                      <wp:wrapNone/>
                      <wp:docPr id="30" name="Text Box 176"/>
                      <wp:cNvGraphicFramePr/>
                      <a:graphic xmlns:a="http://schemas.openxmlformats.org/drawingml/2006/main">
                        <a:graphicData uri="http://schemas.microsoft.com/office/word/2010/wordprocessingShape">
                          <wps:wsp>
                            <wps:cNvSpPr txBox="1"/>
                            <wps:spPr>
                              <a:xfrm>
                                <a:off x="0" y="0"/>
                                <a:ext cx="761365" cy="631190"/>
                              </a:xfrm>
                              <a:prstGeom prst="rect">
                                <a:avLst/>
                              </a:prstGeom>
                              <a:noFill/>
                              <a:ln>
                                <a:noFill/>
                              </a:ln>
                            </wps:spPr>
                            <wps:txbx>
                              <w:txbxContent>
                                <w:p>
                                  <w:pPr>
                                    <w:rPr>
                                      <w:bCs/>
                                      <w:color w:val="000000"/>
                                      <w:spacing w:val="-3"/>
                                    </w:rPr>
                                  </w:pPr>
                                  <w:r>
                                    <w:rPr>
                                      <w:rFonts w:hint="eastAsia"/>
                                      <w:bCs/>
                                      <w:color w:val="000000"/>
                                    </w:rPr>
                                    <w:t>电子线、</w:t>
                                  </w:r>
                                  <w:r>
                                    <w:rPr>
                                      <w:rFonts w:hint="eastAsia"/>
                                    </w:rPr>
                                    <w:t>臭氧、噪声</w:t>
                                  </w:r>
                                </w:p>
                              </w:txbxContent>
                            </wps:txbx>
                            <wps:bodyPr upright="1"/>
                          </wps:wsp>
                        </a:graphicData>
                      </a:graphic>
                    </wp:anchor>
                  </w:drawing>
                </mc:Choice>
                <mc:Fallback>
                  <w:pict>
                    <v:shape id="Text Box 176" o:spid="_x0000_s1026" o:spt="202" type="#_x0000_t202" style="position:absolute;left:0pt;margin-left:-8.35pt;margin-top:20.15pt;height:49.7pt;width:59.95pt;z-index:251685888;mso-width-relative:page;mso-height-relative:page;" filled="f" stroked="f" coordsize="21600,21600" o:gfxdata="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iF7HXYAAAACgEAAA8AAAAAAAAA&#10;AQAgAAAAIgAAAGRycy9kb3ducmV2LnhtbFBLAQIUABQAAAAIAIdO4kDI8pcSnwEAAE8DAAAOAAAA&#10;AAAAAAEAIAAAACcBAABkcnMvZTJvRG9jLnhtbFBLBQYAAAAABgAGAFkBAAA4BQAAAAA=&#10;">
                      <v:fill on="f" focussize="0,0"/>
                      <v:stroke on="f"/>
                      <v:imagedata o:title=""/>
                      <o:lock v:ext="edit" aspectratio="f"/>
                      <v:textbox>
                        <w:txbxContent>
                          <w:p>
                            <w:pPr>
                              <w:rPr>
                                <w:bCs/>
                                <w:color w:val="000000"/>
                                <w:spacing w:val="-3"/>
                              </w:rPr>
                            </w:pPr>
                            <w:r>
                              <w:rPr>
                                <w:rFonts w:hint="eastAsia"/>
                                <w:bCs/>
                                <w:color w:val="000000"/>
                              </w:rPr>
                              <w:t>电子线、</w:t>
                            </w:r>
                            <w:r>
                              <w:rPr>
                                <w:rFonts w:hint="eastAsia"/>
                              </w:rPr>
                              <w:t>臭氧、噪声</w:t>
                            </w:r>
                          </w:p>
                        </w:txbxContent>
                      </v:textbox>
                    </v:shape>
                  </w:pict>
                </mc:Fallback>
              </mc:AlternateContent>
            </w:r>
          </w:p>
          <w:p>
            <w:pPr>
              <w:keepNext w:val="0"/>
              <w:keepLines w:val="0"/>
              <w:suppressLineNumbers w:val="0"/>
              <w:spacing w:before="0" w:beforeAutospacing="0" w:after="0" w:afterAutospacing="0" w:line="520" w:lineRule="exact"/>
              <w:ind w:left="0" w:right="0"/>
              <w:rPr>
                <w:rFonts w:hint="default" w:ascii="Times New Roman" w:hAnsi="Times New Roman" w:cs="Times New Roman"/>
                <w:color w:val="auto"/>
                <w:sz w:val="28"/>
                <w:szCs w:val="28"/>
              </w:rPr>
            </w:pPr>
          </w:p>
          <w:p>
            <w:pPr>
              <w:keepNext w:val="0"/>
              <w:keepLines w:val="0"/>
              <w:suppressLineNumbers w:val="0"/>
              <w:spacing w:before="0" w:beforeAutospacing="0" w:after="0" w:afterAutospacing="0" w:line="520" w:lineRule="exact"/>
              <w:ind w:left="0" w:right="0" w:firstLine="560" w:firstLineChars="200"/>
              <w:rPr>
                <w:rFonts w:hint="default" w:ascii="Times New Roman" w:hAnsi="Times New Roman" w:cs="Times New Roman"/>
                <w:color w:val="auto"/>
                <w:sz w:val="28"/>
                <w:szCs w:val="28"/>
              </w:rPr>
            </w:pPr>
          </w:p>
          <w:p>
            <w:pPr>
              <w:keepNext w:val="0"/>
              <w:keepLines w:val="0"/>
              <w:suppressLineNumbers w:val="0"/>
              <w:spacing w:before="0" w:beforeAutospacing="0" w:after="0" w:afterAutospacing="0" w:line="520" w:lineRule="exact"/>
              <w:ind w:left="0" w:right="0"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图9-</w:t>
            </w:r>
            <w:r>
              <w:rPr>
                <w:rFonts w:hint="default"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rPr>
              <w:t xml:space="preserve">  本项目加速器治疗流程及产污环节示意图</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医护人员和病人路径分析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医护人员路径：从控制室通过</w:t>
            </w:r>
            <w:r>
              <w:rPr>
                <w:rFonts w:hint="eastAsia" w:ascii="Times New Roman" w:hAnsi="Times New Roman" w:cs="Times New Roman"/>
                <w:color w:val="auto"/>
                <w:sz w:val="24"/>
                <w:lang w:val="en-US" w:eastAsia="zh-CN"/>
              </w:rPr>
              <w:t>加速器治疗室</w:t>
            </w:r>
            <w:r>
              <w:rPr>
                <w:rFonts w:hint="default" w:ascii="Times New Roman" w:hAnsi="Times New Roman" w:cs="Times New Roman"/>
                <w:color w:val="auto"/>
                <w:sz w:val="24"/>
                <w:lang w:val="en-US" w:eastAsia="zh-CN"/>
              </w:rPr>
              <w:t>防护门经迷路进入</w:t>
            </w:r>
            <w:r>
              <w:rPr>
                <w:rFonts w:hint="eastAsia" w:ascii="Times New Roman" w:hAnsi="Times New Roman" w:cs="Times New Roman"/>
                <w:color w:val="auto"/>
                <w:sz w:val="24"/>
                <w:lang w:val="en-US" w:eastAsia="zh-CN"/>
              </w:rPr>
              <w:t>加速器治疗室</w:t>
            </w:r>
            <w:r>
              <w:rPr>
                <w:rFonts w:hint="default" w:ascii="Times New Roman" w:hAnsi="Times New Roman" w:cs="Times New Roman"/>
                <w:color w:val="auto"/>
                <w:sz w:val="24"/>
                <w:lang w:val="en-US" w:eastAsia="zh-CN"/>
              </w:rPr>
              <w:t>，指导病人摆位后沿原路返回控制室。</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病人路径：从候诊区通过</w:t>
            </w:r>
            <w:r>
              <w:rPr>
                <w:rFonts w:hint="eastAsia" w:ascii="Times New Roman" w:hAnsi="Times New Roman" w:cs="Times New Roman"/>
                <w:color w:val="auto"/>
                <w:sz w:val="24"/>
                <w:lang w:val="en-US" w:eastAsia="zh-CN"/>
              </w:rPr>
              <w:t>加速器治疗室</w:t>
            </w:r>
            <w:r>
              <w:rPr>
                <w:rFonts w:hint="default" w:ascii="Times New Roman" w:hAnsi="Times New Roman" w:cs="Times New Roman"/>
                <w:color w:val="auto"/>
                <w:sz w:val="24"/>
                <w:lang w:val="en-US" w:eastAsia="zh-CN"/>
              </w:rPr>
              <w:t>防护门经迷路进入</w:t>
            </w:r>
            <w:r>
              <w:rPr>
                <w:rFonts w:hint="eastAsia" w:ascii="Times New Roman" w:hAnsi="Times New Roman" w:cs="Times New Roman"/>
                <w:color w:val="auto"/>
                <w:sz w:val="24"/>
                <w:lang w:val="en-US" w:eastAsia="zh-CN"/>
              </w:rPr>
              <w:t>加速器治疗室</w:t>
            </w:r>
            <w:r>
              <w:rPr>
                <w:rFonts w:hint="default" w:ascii="Times New Roman" w:hAnsi="Times New Roman" w:cs="Times New Roman"/>
                <w:color w:val="auto"/>
                <w:sz w:val="24"/>
                <w:lang w:val="en-US" w:eastAsia="zh-CN"/>
              </w:rPr>
              <w:t>接受治疗，治疗完成后离开</w:t>
            </w:r>
            <w:r>
              <w:rPr>
                <w:rFonts w:hint="eastAsia" w:ascii="Times New Roman" w:hAnsi="Times New Roman" w:cs="Times New Roman"/>
                <w:color w:val="auto"/>
                <w:sz w:val="24"/>
                <w:lang w:val="en-US" w:eastAsia="zh-CN"/>
              </w:rPr>
              <w:t>加速器治疗室，具体分流图可见下图9-4。</w:t>
            </w:r>
          </w:p>
          <w:p>
            <w:pPr>
              <w:keepNext w:val="0"/>
              <w:keepLines w:val="0"/>
              <w:widowControl/>
              <w:suppressLineNumbers w:val="0"/>
              <w:spacing w:before="0" w:beforeAutospacing="0" w:after="0" w:afterAutospacing="0"/>
              <w:ind w:left="0" w:right="0"/>
              <w:jc w:val="left"/>
              <w:rPr>
                <w:rFonts w:hint="default" w:ascii="Times New Roman" w:hAnsi="Times New Roman" w:cs="Times New Roman"/>
                <w:b/>
                <w:bCs w:val="0"/>
                <w:color w:val="auto"/>
                <w:sz w:val="24"/>
                <w:highlight w:val="none"/>
                <w:lang w:val="en-US" w:eastAsia="zh-CN"/>
              </w:rPr>
            </w:pPr>
            <w:r>
              <w:rPr>
                <w:color w:val="auto"/>
              </w:rPr>
              <w:drawing>
                <wp:inline distT="0" distB="0" distL="114300" distR="114300">
                  <wp:extent cx="5603240" cy="3579495"/>
                  <wp:effectExtent l="0" t="0" r="16510" b="1905"/>
                  <wp:docPr id="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6"/>
                          <pic:cNvPicPr>
                            <a:picLocks noChangeAspect="1"/>
                          </pic:cNvPicPr>
                        </pic:nvPicPr>
                        <pic:blipFill>
                          <a:blip r:embed="rId10"/>
                          <a:stretch>
                            <a:fillRect/>
                          </a:stretch>
                        </pic:blipFill>
                        <pic:spPr>
                          <a:xfrm>
                            <a:off x="0" y="0"/>
                            <a:ext cx="5603240" cy="357949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 w:val="0"/>
                <w:bCs w:val="0"/>
                <w:color w:val="auto"/>
                <w:sz w:val="24"/>
                <w:szCs w:val="24"/>
              </w:rPr>
            </w:pPr>
            <w:r>
              <w:rPr>
                <w:rFonts w:hint="default" w:ascii="Times New Roman" w:hAnsi="Times New Roman" w:cs="Times New Roman"/>
                <w:b/>
                <w:bCs/>
                <w:color w:val="auto"/>
                <w:szCs w:val="21"/>
                <w:highlight w:val="none"/>
              </w:rPr>
              <w:t>图</w:t>
            </w:r>
            <w:r>
              <w:rPr>
                <w:rFonts w:hint="default" w:ascii="Times New Roman" w:hAnsi="Times New Roman" w:cs="Times New Roman"/>
                <w:b/>
                <w:bCs/>
                <w:color w:val="auto"/>
                <w:szCs w:val="21"/>
                <w:highlight w:val="none"/>
                <w:lang w:val="en-US" w:eastAsia="zh-CN"/>
              </w:rPr>
              <w:t>9-</w:t>
            </w:r>
            <w:r>
              <w:rPr>
                <w:rFonts w:hint="eastAsia" w:ascii="Times New Roman" w:hAnsi="Times New Roman" w:cs="Times New Roman"/>
                <w:b/>
                <w:bCs/>
                <w:color w:val="auto"/>
                <w:szCs w:val="21"/>
                <w:highlight w:val="none"/>
                <w:lang w:val="en-US" w:eastAsia="zh-CN"/>
              </w:rPr>
              <w:t>4</w:t>
            </w:r>
            <w:r>
              <w:rPr>
                <w:rFonts w:hint="default" w:ascii="Times New Roman" w:hAnsi="Times New Roman" w:cs="Times New Roman"/>
                <w:b/>
                <w:bCs/>
                <w:color w:val="auto"/>
                <w:szCs w:val="21"/>
                <w:highlight w:val="none"/>
                <w:lang w:val="en-US" w:eastAsia="zh-CN"/>
              </w:rPr>
              <w:t xml:space="preserve">  医用直线加速器</w:t>
            </w:r>
            <w:r>
              <w:rPr>
                <w:rFonts w:hint="eastAsia" w:ascii="Times New Roman" w:hAnsi="Times New Roman" w:cs="Times New Roman"/>
                <w:b/>
                <w:bCs/>
                <w:color w:val="auto"/>
                <w:szCs w:val="21"/>
                <w:highlight w:val="none"/>
                <w:lang w:val="en-US" w:eastAsia="zh-CN"/>
              </w:rPr>
              <w:t>医护分流图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rPr>
              <w:t>）工作负荷</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根据医院提供的资料，每台设备每天治疗工作量为60人，每周5</w:t>
            </w:r>
            <w:r>
              <w:rPr>
                <w:rFonts w:hint="eastAsia" w:ascii="Times New Roman" w:hAnsi="Times New Roman" w:cs="Times New Roman"/>
                <w:b w:val="0"/>
                <w:bCs w:val="0"/>
                <w:color w:val="auto"/>
                <w:sz w:val="24"/>
                <w:szCs w:val="24"/>
                <w:highlight w:val="none"/>
                <w:lang w:val="en-US" w:eastAsia="zh-CN"/>
              </w:rPr>
              <w:t>天</w:t>
            </w:r>
            <w:r>
              <w:rPr>
                <w:rFonts w:hint="default" w:ascii="Times New Roman" w:hAnsi="Times New Roman" w:cs="Times New Roman"/>
                <w:b w:val="0"/>
                <w:bCs w:val="0"/>
                <w:color w:val="auto"/>
                <w:sz w:val="24"/>
                <w:szCs w:val="24"/>
                <w:highlight w:val="none"/>
                <w:lang w:val="en-US" w:eastAsia="zh-CN"/>
              </w:rPr>
              <w:t>，每年工作50周，患者治疗照射出束时间为2~3min，年治疗出束时间为</w:t>
            </w:r>
            <w:r>
              <w:rPr>
                <w:rFonts w:hint="eastAsia" w:ascii="Times New Roman" w:hAnsi="Times New Roman" w:cs="Times New Roman"/>
                <w:b w:val="0"/>
                <w:bCs w:val="0"/>
                <w:color w:val="auto"/>
                <w:sz w:val="24"/>
                <w:szCs w:val="24"/>
                <w:highlight w:val="none"/>
                <w:lang w:val="en-US" w:eastAsia="zh-CN"/>
              </w:rPr>
              <w:t>750</w:t>
            </w:r>
            <w:r>
              <w:rPr>
                <w:rFonts w:hint="default" w:ascii="Times New Roman" w:hAnsi="Times New Roman" w:cs="Times New Roman"/>
                <w:b w:val="0"/>
                <w:bCs w:val="0"/>
                <w:color w:val="auto"/>
                <w:sz w:val="24"/>
                <w:szCs w:val="24"/>
                <w:highlight w:val="none"/>
                <w:lang w:val="en-US" w:eastAsia="zh-CN"/>
              </w:rPr>
              <w:t>h。医生对患者进行摆位的时间为2min/人。</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lang w:val="en-US" w:eastAsia="zh-CN" w:bidi="ar-SA"/>
              </w:rPr>
              <w:t>2、15MV</w:t>
            </w:r>
            <w:r>
              <w:rPr>
                <w:rFonts w:hint="default" w:ascii="Times New Roman" w:hAnsi="Times New Roman" w:eastAsia="宋体" w:cs="Times New Roman"/>
                <w:b/>
                <w:bCs/>
                <w:color w:val="auto"/>
                <w:kern w:val="2"/>
                <w:sz w:val="24"/>
                <w:szCs w:val="24"/>
                <w:highlight w:val="none"/>
              </w:rPr>
              <w:t>直线加速器工艺流程及产污环节分析</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（1）设备组成及工作原理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w:t>
            </w:r>
            <w:r>
              <w:rPr>
                <w:rFonts w:hint="default" w:ascii="Times New Roman" w:hAnsi="Times New Roman" w:cs="Times New Roman"/>
                <w:bCs/>
                <w:color w:val="auto"/>
                <w:sz w:val="24"/>
                <w:highlight w:val="none"/>
                <w:lang w:val="en-US" w:eastAsia="zh-CN"/>
              </w:rPr>
              <w:t>15</w:t>
            </w:r>
            <w:r>
              <w:rPr>
                <w:rFonts w:hint="default" w:ascii="Times New Roman" w:hAnsi="Times New Roman" w:cs="Times New Roman"/>
                <w:bCs/>
                <w:color w:val="auto"/>
                <w:sz w:val="24"/>
                <w:highlight w:val="none"/>
              </w:rPr>
              <w:t>MV医用直线加速器</w:t>
            </w:r>
            <w:r>
              <w:rPr>
                <w:rFonts w:hint="default" w:ascii="Times New Roman" w:hAnsi="Times New Roman" w:cs="Times New Roman"/>
                <w:bCs/>
                <w:color w:val="auto"/>
                <w:sz w:val="24"/>
                <w:highlight w:val="none"/>
                <w:lang w:val="en-US" w:eastAsia="zh-CN"/>
              </w:rPr>
              <w:t>属于</w:t>
            </w:r>
            <w:r>
              <w:rPr>
                <w:rFonts w:hint="default" w:ascii="Times New Roman" w:hAnsi="Times New Roman" w:cs="Times New Roman"/>
                <w:bCs/>
                <w:color w:val="auto"/>
                <w:sz w:val="24"/>
                <w:highlight w:val="none"/>
              </w:rPr>
              <w:t>治疗类射线装置，主要用于肿瘤病人的放射性治疗，其治疗机理是根据肿瘤的不同情况通过模拟定位，采用X射线束（深部治疗）进行照射，</w:t>
            </w:r>
            <w:r>
              <w:rPr>
                <w:rFonts w:hint="default" w:ascii="Times New Roman" w:hAnsi="Times New Roman" w:cs="Times New Roman"/>
                <w:color w:val="auto"/>
                <w:sz w:val="24"/>
                <w:highlight w:val="none"/>
              </w:rPr>
              <w:t>使细胞分裂和代谢遭到破坏，杀死或者抑制细胞的繁殖生长，从而达到治疗的目的。</w:t>
            </w:r>
            <w:r>
              <w:rPr>
                <w:rFonts w:hint="default" w:ascii="Times New Roman" w:hAnsi="Times New Roman" w:cs="Times New Roman"/>
                <w:bCs/>
                <w:color w:val="auto"/>
                <w:sz w:val="24"/>
                <w:highlight w:val="none"/>
              </w:rPr>
              <w:t>物理师对肿瘤病人治疗计划设计时，严格按照相关标准，为病人的正常组织和医务人员的受照剂量进行计算-复核-模拟检测-实施中监测和健康监护等，并做好照射记录。根据病灶位置</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性质</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目的不同，给予的照射总剂量有所不同；治疗方法不同，给予的每日剂量亦不同。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医用直线加速器的核心部位由电子枪、加速管和束流控制三个主要部分组成，由于</w:t>
            </w:r>
            <w:r>
              <w:rPr>
                <w:rFonts w:hint="default" w:ascii="Times New Roman" w:hAnsi="Times New Roman" w:cs="Times New Roman"/>
                <w:color w:val="auto"/>
                <w:sz w:val="24"/>
                <w:highlight w:val="none"/>
                <w:lang w:val="en-US" w:eastAsia="zh-CN"/>
              </w:rPr>
              <w:t>医用直线加速器</w:t>
            </w:r>
            <w:r>
              <w:rPr>
                <w:rFonts w:hint="default" w:ascii="Times New Roman" w:hAnsi="Times New Roman" w:cs="Times New Roman"/>
                <w:color w:val="auto"/>
                <w:sz w:val="24"/>
                <w:highlight w:val="none"/>
              </w:rPr>
              <w:t>结构简单、造价低、不使用放射源，目前已成为医院放射治疗的主要手段。本项目医院拟购买</w:t>
            </w:r>
            <w:r>
              <w:rPr>
                <w:rFonts w:hint="default"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MV直线加速器</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台，属Ⅱ类射线装置，</w:t>
            </w:r>
            <w:r>
              <w:rPr>
                <w:rFonts w:hint="default" w:ascii="Times New Roman" w:hAnsi="Times New Roman" w:cs="Times New Roman"/>
                <w:color w:val="auto"/>
                <w:sz w:val="24"/>
                <w:highlight w:val="none"/>
                <w:lang w:val="en-US" w:eastAsia="zh-CN"/>
              </w:rPr>
              <w:t>医用电子直线加速器运行原理见图9-</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，医用电子直线加速器结构示意图见图9-</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，医用电子直线加速器参数见表9-2。</w:t>
            </w:r>
          </w:p>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INCLUDEPICTURE \d "C:\\Users\\50675\\AppData\\Roaming\\Tencent\\Users\\506759885\\QQ\\WinTemp\\RichOle\\{~`G)`G0C8N7$J)CR9VP%3X.png" \* MERGEFORMATINET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drawing>
                <wp:inline distT="0" distB="0" distL="114300" distR="114300">
                  <wp:extent cx="5610860" cy="2521585"/>
                  <wp:effectExtent l="0" t="0" r="8890" b="12065"/>
                  <wp:docPr id="13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9" descr="IMG_256"/>
                          <pic:cNvPicPr>
                            <a:picLocks noChangeAspect="1"/>
                          </pic:cNvPicPr>
                        </pic:nvPicPr>
                        <pic:blipFill>
                          <a:blip r:embed="rId11"/>
                          <a:stretch>
                            <a:fillRect/>
                          </a:stretch>
                        </pic:blipFill>
                        <pic:spPr>
                          <a:xfrm>
                            <a:off x="0" y="0"/>
                            <a:ext cx="5610860" cy="252158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lang w:val="en-US" w:eastAsia="zh-CN" w:bidi="ar"/>
              </w:rPr>
              <w:fldChar w:fldCharType="end"/>
            </w:r>
          </w:p>
          <w:p>
            <w:pPr>
              <w:keepNext w:val="0"/>
              <w:keepLines w:val="0"/>
              <w:suppressLineNumbers w:val="0"/>
              <w:spacing w:before="0" w:beforeAutospacing="0" w:after="0" w:afterAutospacing="0" w:line="360" w:lineRule="auto"/>
              <w:ind w:left="0" w:right="0" w:firstLine="2530" w:firstLineChars="1200"/>
              <w:jc w:val="both"/>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图9-</w:t>
            </w:r>
            <w:r>
              <w:rPr>
                <w:rFonts w:hint="eastAsia" w:ascii="Times New Roman" w:hAnsi="Times New Roman" w:cs="Times New Roman"/>
                <w:b/>
                <w:bCs w:val="0"/>
                <w:color w:val="auto"/>
                <w:sz w:val="21"/>
                <w:szCs w:val="21"/>
                <w:highlight w:val="none"/>
                <w:lang w:val="en-US" w:eastAsia="zh-CN"/>
              </w:rPr>
              <w:t>5</w:t>
            </w:r>
            <w:r>
              <w:rPr>
                <w:rFonts w:hint="default" w:ascii="Times New Roman" w:hAnsi="Times New Roman"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highlight w:val="none"/>
                <w:lang w:val="en-US" w:eastAsia="zh-CN"/>
              </w:rPr>
              <w:t>医用电子直线加速器运行原理图</w:t>
            </w:r>
          </w:p>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INCLUDEPICTURE \d "C:\\Users\\50675\\AppData\\Roaming\\Tencent\\Users\\506759885\\QQ\\WinTemp\\RichOle\\EGJZ1]IGZ$]D]$IB2@F8QQ3.png" \* MERGEFORMATINET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drawing>
                <wp:inline distT="0" distB="0" distL="114300" distR="114300">
                  <wp:extent cx="5648960" cy="2991485"/>
                  <wp:effectExtent l="0" t="0" r="8890" b="18415"/>
                  <wp:docPr id="138"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0" descr="IMG_256"/>
                          <pic:cNvPicPr>
                            <a:picLocks noChangeAspect="1"/>
                          </pic:cNvPicPr>
                        </pic:nvPicPr>
                        <pic:blipFill>
                          <a:blip r:embed="rId12"/>
                          <a:stretch>
                            <a:fillRect/>
                          </a:stretch>
                        </pic:blipFill>
                        <pic:spPr>
                          <a:xfrm>
                            <a:off x="0" y="0"/>
                            <a:ext cx="5648960" cy="299148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lang w:val="en-US" w:eastAsia="zh-CN" w:bidi="ar"/>
              </w:rPr>
              <w:fldChar w:fldCharType="end"/>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highlight w:val="none"/>
              </w:rPr>
            </w:pPr>
            <w:r>
              <w:rPr>
                <w:rFonts w:hint="default" w:ascii="Times New Roman" w:hAnsi="Times New Roman" w:eastAsia="宋体" w:cs="Times New Roman"/>
                <w:b/>
                <w:bCs w:val="0"/>
                <w:color w:val="auto"/>
                <w:sz w:val="21"/>
                <w:szCs w:val="21"/>
                <w:highlight w:val="none"/>
              </w:rPr>
              <w:t>图9-</w:t>
            </w:r>
            <w:r>
              <w:rPr>
                <w:rFonts w:hint="eastAsia" w:ascii="Times New Roman" w:hAnsi="Times New Roman" w:cs="Times New Roman"/>
                <w:b/>
                <w:bCs w:val="0"/>
                <w:color w:val="auto"/>
                <w:sz w:val="21"/>
                <w:szCs w:val="21"/>
                <w:highlight w:val="none"/>
                <w:lang w:val="en-US" w:eastAsia="zh-CN"/>
              </w:rPr>
              <w:t>6</w:t>
            </w:r>
            <w:r>
              <w:rPr>
                <w:rFonts w:hint="default" w:ascii="Times New Roman" w:hAnsi="Times New Roman"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highlight w:val="none"/>
                <w:lang w:val="en-US" w:eastAsia="zh-CN"/>
              </w:rPr>
              <w:t>医用电子直线加速器</w:t>
            </w:r>
            <w:r>
              <w:rPr>
                <w:rFonts w:hint="default" w:ascii="Times New Roman" w:hAnsi="Times New Roman" w:cs="Times New Roman"/>
                <w:b/>
                <w:bCs w:val="0"/>
                <w:color w:val="auto"/>
                <w:sz w:val="21"/>
                <w:szCs w:val="21"/>
                <w:highlight w:val="none"/>
                <w:lang w:val="en-US" w:eastAsia="zh-CN"/>
              </w:rPr>
              <w:t>结构示意图</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1"/>
                <w:szCs w:val="21"/>
                <w:highlight w:val="none"/>
              </w:rPr>
              <w:t>表9-</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　1</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MV医用直线加速器参数</w:t>
            </w:r>
            <w:r>
              <w:rPr>
                <w:rFonts w:hint="default" w:ascii="Times New Roman" w:hAnsi="Times New Roman" w:cs="Times New Roman"/>
                <w:b/>
                <w:color w:val="auto"/>
                <w:sz w:val="21"/>
                <w:szCs w:val="21"/>
                <w:highlight w:val="none"/>
                <w:lang w:val="en-US" w:eastAsia="zh-CN"/>
              </w:rPr>
              <w:t>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7"/>
              <w:gridCol w:w="4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厂家、型号</w:t>
                  </w:r>
                </w:p>
              </w:tc>
              <w:tc>
                <w:tcPr>
                  <w:tcW w:w="48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highlight w:val="none"/>
                    </w:rPr>
                  </w:pPr>
                  <w:r>
                    <w:rPr>
                      <w:rFonts w:hint="default" w:ascii="Times New Roman" w:hAnsi="Times New Roman" w:cs="Times New Roman"/>
                      <w:b w:val="0"/>
                      <w:bCs w:val="0"/>
                      <w:color w:val="auto"/>
                      <w:szCs w:val="21"/>
                      <w:highlight w:val="none"/>
                    </w:rPr>
                    <w:t>待定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最大X射线能量</w:t>
                  </w:r>
                </w:p>
              </w:tc>
              <w:tc>
                <w:tcPr>
                  <w:tcW w:w="48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MV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最大电子线能量</w:t>
                  </w:r>
                </w:p>
              </w:tc>
              <w:tc>
                <w:tcPr>
                  <w:tcW w:w="48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22MeV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X射线泄漏率</w:t>
                  </w:r>
                </w:p>
              </w:tc>
              <w:tc>
                <w:tcPr>
                  <w:tcW w:w="48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≤0.0</w:t>
                  </w:r>
                  <w:r>
                    <w:rPr>
                      <w:rFonts w:hint="default" w:ascii="Times New Roman" w:hAnsi="Times New Roman" w:cs="Times New Roman"/>
                      <w:color w:val="auto"/>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X射线1m处最大剂量率</w:t>
                  </w:r>
                </w:p>
              </w:tc>
              <w:tc>
                <w:tcPr>
                  <w:tcW w:w="4888" w:type="dxa"/>
                  <w:noWrap w:val="0"/>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Gy/min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电子束1m处最大剂量率</w:t>
                  </w:r>
                </w:p>
              </w:tc>
              <w:tc>
                <w:tcPr>
                  <w:tcW w:w="4888" w:type="dxa"/>
                  <w:noWrap w:val="0"/>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10Gy/min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治疗角</w:t>
                  </w:r>
                </w:p>
              </w:tc>
              <w:tc>
                <w:tcPr>
                  <w:tcW w:w="4888" w:type="dxa"/>
                  <w:noWrap w:val="0"/>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正常治疗距离</w:t>
                  </w:r>
                </w:p>
              </w:tc>
              <w:tc>
                <w:tcPr>
                  <w:tcW w:w="4888" w:type="dxa"/>
                  <w:noWrap w:val="0"/>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100cm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主射线最大出束角度</w:t>
                  </w:r>
                </w:p>
              </w:tc>
              <w:tc>
                <w:tcPr>
                  <w:tcW w:w="4888" w:type="dxa"/>
                  <w:noWrap w:val="0"/>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28</w:t>
                  </w:r>
                  <w:r>
                    <w:rPr>
                      <w:rFonts w:hint="default"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等中心高度</w:t>
                  </w:r>
                </w:p>
              </w:tc>
              <w:tc>
                <w:tcPr>
                  <w:tcW w:w="4888" w:type="dxa"/>
                  <w:noWrap w:val="0"/>
                  <w:vAlign w:val="center"/>
                </w:tcPr>
                <w:p>
                  <w:pPr>
                    <w:keepNext w:val="0"/>
                    <w:keepLines w:val="0"/>
                    <w:suppressLineNumbers w:val="0"/>
                    <w:spacing w:before="0" w:beforeAutospacing="0" w:after="0" w:afterAutospacing="0"/>
                    <w:ind w:left="0" w:right="-105" w:rightChars="-50"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1.</w:t>
                  </w: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最大照射野（SSD=1米）</w:t>
                  </w:r>
                </w:p>
              </w:tc>
              <w:tc>
                <w:tcPr>
                  <w:tcW w:w="48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40 cm×40cm，多叶准直器最小厚度不大于5mm</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项目流程及产污染环节</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b w:val="0"/>
                <w:bCs/>
                <w:color w:val="auto"/>
                <w:sz w:val="24"/>
                <w:szCs w:val="24"/>
                <w:highlight w:val="none"/>
              </w:rPr>
              <w:t>1</w:t>
            </w:r>
            <w:r>
              <w:rPr>
                <w:rFonts w:hint="default" w:ascii="Times New Roman" w:hAnsi="Times New Roman"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rPr>
              <w:t>MV</w:t>
            </w:r>
            <w:r>
              <w:rPr>
                <w:rFonts w:hint="default" w:ascii="Times New Roman" w:hAnsi="Times New Roman" w:eastAsia="宋体" w:cs="Times New Roman"/>
                <w:b w:val="0"/>
                <w:bCs/>
                <w:color w:val="auto"/>
                <w:sz w:val="24"/>
                <w:szCs w:val="24"/>
                <w:highlight w:val="none"/>
                <w:lang w:val="en-US" w:eastAsia="zh-CN"/>
              </w:rPr>
              <w:t>医用电子直线加速器</w:t>
            </w:r>
            <w:r>
              <w:rPr>
                <w:rFonts w:hint="default" w:ascii="Times New Roman" w:hAnsi="Times New Roman" w:cs="Times New Roman"/>
                <w:b w:val="0"/>
                <w:bCs/>
                <w:color w:val="auto"/>
                <w:sz w:val="24"/>
                <w:szCs w:val="24"/>
                <w:highlight w:val="none"/>
              </w:rPr>
              <w:t>治</w:t>
            </w:r>
            <w:r>
              <w:rPr>
                <w:rFonts w:hint="default" w:ascii="Times New Roman" w:hAnsi="Times New Roman" w:cs="Times New Roman"/>
                <w:color w:val="auto"/>
                <w:sz w:val="24"/>
                <w:highlight w:val="none"/>
              </w:rPr>
              <w:t>疗流程为：病人进行放射治疗的确诊并向患者告知可能受到辐射危害→职业人员佩戴个人剂量计，携带个人计量报警仪→模拟定位、进行体表标记→制定治疗计划、确定照射位置和剂量→病人进入加速器</w:t>
            </w:r>
            <w:r>
              <w:rPr>
                <w:rFonts w:hint="default" w:ascii="Times New Roman" w:hAnsi="Times New Roman" w:cs="Times New Roman"/>
                <w:color w:val="auto"/>
                <w:sz w:val="24"/>
                <w:highlight w:val="none"/>
                <w:lang w:val="en-US" w:eastAsia="zh-CN"/>
              </w:rPr>
              <w:t>治疗室</w:t>
            </w:r>
            <w:r>
              <w:rPr>
                <w:rFonts w:hint="default" w:ascii="Times New Roman" w:hAnsi="Times New Roman" w:cs="Times New Roman"/>
                <w:color w:val="auto"/>
                <w:sz w:val="24"/>
                <w:highlight w:val="none"/>
              </w:rPr>
              <w:t>→关闭屏蔽门并开启安全联锁→加速器出束治疗、实施治疗→治疗完毕。本项目所使用的直线加速器治疗流程及产污位置见图9-</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color w:val="auto"/>
                <w:sz w:val="21"/>
                <w:highlight w:val="none"/>
              </w:rPr>
              <mc:AlternateContent>
                <mc:Choice Requires="wpg">
                  <w:drawing>
                    <wp:anchor distT="0" distB="0" distL="114300" distR="114300" simplePos="0" relativeHeight="251828224" behindDoc="0" locked="0" layoutInCell="1" allowOverlap="1">
                      <wp:simplePos x="0" y="0"/>
                      <wp:positionH relativeFrom="column">
                        <wp:posOffset>1301750</wp:posOffset>
                      </wp:positionH>
                      <wp:positionV relativeFrom="paragraph">
                        <wp:posOffset>568960</wp:posOffset>
                      </wp:positionV>
                      <wp:extent cx="3006725" cy="3515360"/>
                      <wp:effectExtent l="5080" t="6350" r="17145" b="21590"/>
                      <wp:wrapNone/>
                      <wp:docPr id="137" name="组合 137"/>
                      <wp:cNvGraphicFramePr/>
                      <a:graphic xmlns:a="http://schemas.openxmlformats.org/drawingml/2006/main">
                        <a:graphicData uri="http://schemas.microsoft.com/office/word/2010/wordprocessingGroup">
                          <wpg:wgp>
                            <wpg:cNvGrpSpPr/>
                            <wpg:grpSpPr>
                              <a:xfrm>
                                <a:off x="0" y="0"/>
                                <a:ext cx="3006725" cy="3515075"/>
                                <a:chOff x="3412" y="689711"/>
                                <a:chExt cx="4747" cy="6316"/>
                              </a:xfrm>
                            </wpg:grpSpPr>
                            <wps:wsp>
                              <wps:cNvPr id="120" name="文本框 120"/>
                              <wps:cNvSpPr txBox="1"/>
                              <wps:spPr>
                                <a:xfrm>
                                  <a:off x="4825" y="689711"/>
                                  <a:ext cx="3307" cy="836"/>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病人进行放射治疗的确诊，向病人告知可能受到的辐射危害</w:t>
                                    </w:r>
                                  </w:p>
                                  <w:p>
                                    <w:pPr>
                                      <w:jc w:val="center"/>
                                    </w:pPr>
                                  </w:p>
                                </w:txbxContent>
                              </wps:txbx>
                              <wps:bodyPr upright="1"/>
                            </wps:wsp>
                            <wps:wsp>
                              <wps:cNvPr id="121" name="文本框 121"/>
                              <wps:cNvSpPr txBox="1"/>
                              <wps:spPr>
                                <a:xfrm>
                                  <a:off x="4852" y="691714"/>
                                  <a:ext cx="3307" cy="467"/>
                                </a:xfrm>
                                <a:prstGeom prst="rect">
                                  <a:avLst/>
                                </a:prstGeom>
                                <a:solidFill>
                                  <a:srgbClr val="FFFF00">
                                    <a:alpha val="43921"/>
                                  </a:srgbClr>
                                </a:solidFill>
                                <a:ln w="12700" cap="flat" cmpd="sng">
                                  <a:solidFill>
                                    <a:srgbClr val="000000"/>
                                  </a:solidFill>
                                  <a:prstDash val="solid"/>
                                  <a:miter/>
                                  <a:headEnd type="none" w="med" len="med"/>
                                  <a:tailEnd type="none" w="med" len="med"/>
                                </a:ln>
                              </wps:spPr>
                              <wps:txbx>
                                <w:txbxContent>
                                  <w:p>
                                    <w:pPr>
                                      <w:jc w:val="center"/>
                                    </w:pPr>
                                    <w:r>
                                      <w:rPr>
                                        <w:rFonts w:hint="eastAsia"/>
                                      </w:rPr>
                                      <w:t>模拟定位，进行体表标记</w:t>
                                    </w:r>
                                  </w:p>
                                </w:txbxContent>
                              </wps:txbx>
                              <wps:bodyPr upright="1"/>
                            </wps:wsp>
                            <wps:wsp>
                              <wps:cNvPr id="122" name="文本框 122"/>
                              <wps:cNvSpPr txBox="1"/>
                              <wps:spPr>
                                <a:xfrm>
                                  <a:off x="4840" y="692419"/>
                                  <a:ext cx="3307" cy="46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spacing w:val="-10"/>
                                      </w:rPr>
                                    </w:pPr>
                                    <w:r>
                                      <w:rPr>
                                        <w:rFonts w:hint="eastAsia"/>
                                        <w:spacing w:val="-10"/>
                                      </w:rPr>
                                      <w:t>制定治疗计划，确定照射位置和剂量</w:t>
                                    </w:r>
                                  </w:p>
                                </w:txbxContent>
                              </wps:txbx>
                              <wps:bodyPr upright="1"/>
                            </wps:wsp>
                            <wps:wsp>
                              <wps:cNvPr id="123" name="文本框 123"/>
                              <wps:cNvSpPr txBox="1"/>
                              <wps:spPr>
                                <a:xfrm>
                                  <a:off x="5315" y="693199"/>
                                  <a:ext cx="2371" cy="46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病人进入</w:t>
                                    </w:r>
                                    <w:r>
                                      <w:rPr>
                                        <w:rFonts w:hint="eastAsia"/>
                                        <w:lang w:eastAsia="zh-CN"/>
                                      </w:rPr>
                                      <w:t>加速器治疗室</w:t>
                                    </w:r>
                                  </w:p>
                                </w:txbxContent>
                              </wps:txbx>
                              <wps:bodyPr upright="1"/>
                            </wps:wsp>
                            <wps:wsp>
                              <wps:cNvPr id="124" name="直接连接符 124"/>
                              <wps:cNvCnPr/>
                              <wps:spPr>
                                <a:xfrm>
                                  <a:off x="6485" y="692173"/>
                                  <a:ext cx="1" cy="246"/>
                                </a:xfrm>
                                <a:prstGeom prst="line">
                                  <a:avLst/>
                                </a:prstGeom>
                                <a:ln w="9525" cap="flat" cmpd="sng">
                                  <a:solidFill>
                                    <a:srgbClr val="000000"/>
                                  </a:solidFill>
                                  <a:prstDash val="solid"/>
                                  <a:headEnd type="none" w="med" len="med"/>
                                  <a:tailEnd type="triangle" w="sm" len="med"/>
                                </a:ln>
                              </wps:spPr>
                              <wps:bodyPr upright="1"/>
                            </wps:wsp>
                            <wps:wsp>
                              <wps:cNvPr id="125" name="直接连接符 125"/>
                              <wps:cNvCnPr/>
                              <wps:spPr>
                                <a:xfrm>
                                  <a:off x="6510" y="691512"/>
                                  <a:ext cx="1" cy="252"/>
                                </a:xfrm>
                                <a:prstGeom prst="line">
                                  <a:avLst/>
                                </a:prstGeom>
                                <a:ln w="9525" cap="flat" cmpd="sng">
                                  <a:solidFill>
                                    <a:srgbClr val="000000"/>
                                  </a:solidFill>
                                  <a:prstDash val="solid"/>
                                  <a:headEnd type="none" w="med" len="med"/>
                                  <a:tailEnd type="triangle" w="sm" len="med"/>
                                </a:ln>
                              </wps:spPr>
                              <wps:bodyPr upright="1"/>
                            </wps:wsp>
                            <wps:wsp>
                              <wps:cNvPr id="126" name="文本框 126"/>
                              <wps:cNvSpPr txBox="1"/>
                              <wps:spPr>
                                <a:xfrm>
                                  <a:off x="4838" y="690718"/>
                                  <a:ext cx="3307" cy="83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auto"/>
                                      <w:jc w:val="center"/>
                                      <w:rPr>
                                        <w:rFonts w:eastAsia="宋体"/>
                                        <w:sz w:val="20"/>
                                        <w:szCs w:val="22"/>
                                      </w:rPr>
                                    </w:pPr>
                                    <w:r>
                                      <w:rPr>
                                        <w:rFonts w:hint="eastAsia"/>
                                        <w:sz w:val="20"/>
                                        <w:szCs w:val="22"/>
                                      </w:rPr>
                                      <w:t>职业人员佩戴个人剂量计，携带个人计量报警仪</w:t>
                                    </w:r>
                                  </w:p>
                                </w:txbxContent>
                              </wps:txbx>
                              <wps:bodyPr upright="1"/>
                            </wps:wsp>
                            <wps:wsp>
                              <wps:cNvPr id="127" name="文本框 127"/>
                              <wps:cNvSpPr txBox="1"/>
                              <wps:spPr>
                                <a:xfrm>
                                  <a:off x="5149" y="693940"/>
                                  <a:ext cx="2715" cy="47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关屏蔽门并开启安全联锁</w:t>
                                    </w:r>
                                  </w:p>
                                </w:txbxContent>
                              </wps:txbx>
                              <wps:bodyPr upright="1"/>
                            </wps:wsp>
                            <wps:wsp>
                              <wps:cNvPr id="128" name="直接连接符 128"/>
                              <wps:cNvCnPr/>
                              <wps:spPr>
                                <a:xfrm>
                                  <a:off x="6434" y="693668"/>
                                  <a:ext cx="1" cy="312"/>
                                </a:xfrm>
                                <a:prstGeom prst="line">
                                  <a:avLst/>
                                </a:prstGeom>
                                <a:ln w="9525" cap="flat" cmpd="sng">
                                  <a:solidFill>
                                    <a:srgbClr val="000000"/>
                                  </a:solidFill>
                                  <a:prstDash val="solid"/>
                                  <a:headEnd type="none" w="med" len="med"/>
                                  <a:tailEnd type="triangle" w="sm" len="med"/>
                                </a:ln>
                              </wps:spPr>
                              <wps:bodyPr upright="1"/>
                            </wps:wsp>
                            <wps:wsp>
                              <wps:cNvPr id="129" name="文本框 129"/>
                              <wps:cNvSpPr txBox="1"/>
                              <wps:spPr>
                                <a:xfrm>
                                  <a:off x="5089" y="694732"/>
                                  <a:ext cx="2717" cy="491"/>
                                </a:xfrm>
                                <a:prstGeom prst="rect">
                                  <a:avLst/>
                                </a:prstGeom>
                                <a:solidFill>
                                  <a:srgbClr val="FFFF00">
                                    <a:alpha val="43137"/>
                                  </a:srgbClr>
                                </a:solidFill>
                                <a:ln w="12700" cap="flat" cmpd="sng">
                                  <a:solidFill>
                                    <a:srgbClr val="000000"/>
                                  </a:solidFill>
                                  <a:prstDash val="solid"/>
                                  <a:miter/>
                                  <a:headEnd type="none" w="med" len="med"/>
                                  <a:tailEnd type="none" w="med" len="med"/>
                                </a:ln>
                              </wps:spPr>
                              <wps:txbx>
                                <w:txbxContent>
                                  <w:p>
                                    <w:pPr>
                                      <w:jc w:val="center"/>
                                    </w:pPr>
                                    <w:r>
                                      <w:rPr>
                                        <w:rFonts w:hint="eastAsia"/>
                                      </w:rPr>
                                      <w:t>加速器出束、实施治疗</w:t>
                                    </w:r>
                                  </w:p>
                                </w:txbxContent>
                              </wps:txbx>
                              <wps:bodyPr upright="1"/>
                            </wps:wsp>
                            <wps:wsp>
                              <wps:cNvPr id="130" name="直接连接符 130"/>
                              <wps:cNvCnPr/>
                              <wps:spPr>
                                <a:xfrm rot="-10800000" flipH="1">
                                  <a:off x="4757" y="694992"/>
                                  <a:ext cx="362" cy="1"/>
                                </a:xfrm>
                                <a:prstGeom prst="line">
                                  <a:avLst/>
                                </a:prstGeom>
                                <a:ln w="9525" cap="flat" cmpd="sng">
                                  <a:solidFill>
                                    <a:srgbClr val="000000"/>
                                  </a:solidFill>
                                  <a:prstDash val="sysDot"/>
                                  <a:headEnd type="triangle" w="sm" len="med"/>
                                  <a:tailEnd type="none" w="med" len="med"/>
                                </a:ln>
                              </wps:spPr>
                              <wps:bodyPr upright="1"/>
                            </wps:wsp>
                            <wps:wsp>
                              <wps:cNvPr id="131" name="直接连接符 131"/>
                              <wps:cNvCnPr/>
                              <wps:spPr>
                                <a:xfrm>
                                  <a:off x="6412" y="694413"/>
                                  <a:ext cx="1" cy="312"/>
                                </a:xfrm>
                                <a:prstGeom prst="line">
                                  <a:avLst/>
                                </a:prstGeom>
                                <a:ln w="9525" cap="flat" cmpd="sng">
                                  <a:solidFill>
                                    <a:srgbClr val="000000"/>
                                  </a:solidFill>
                                  <a:prstDash val="solid"/>
                                  <a:headEnd type="none" w="med" len="med"/>
                                  <a:tailEnd type="triangle" w="sm" len="med"/>
                                </a:ln>
                              </wps:spPr>
                              <wps:bodyPr upright="1"/>
                            </wps:wsp>
                            <wps:wsp>
                              <wps:cNvPr id="132" name="文本框 132"/>
                              <wps:cNvSpPr txBox="1"/>
                              <wps:spPr>
                                <a:xfrm>
                                  <a:off x="5022" y="695523"/>
                                  <a:ext cx="2987" cy="50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治疗完毕，将病人送出治疗室</w:t>
                                    </w:r>
                                  </w:p>
                                </w:txbxContent>
                              </wps:txbx>
                              <wps:bodyPr upright="1"/>
                            </wps:wsp>
                            <wps:wsp>
                              <wps:cNvPr id="133" name="直接连接符 133"/>
                              <wps:cNvCnPr/>
                              <wps:spPr>
                                <a:xfrm>
                                  <a:off x="6510" y="690559"/>
                                  <a:ext cx="8" cy="199"/>
                                </a:xfrm>
                                <a:prstGeom prst="line">
                                  <a:avLst/>
                                </a:prstGeom>
                                <a:ln w="9525" cap="flat" cmpd="sng">
                                  <a:solidFill>
                                    <a:srgbClr val="000000"/>
                                  </a:solidFill>
                                  <a:prstDash val="solid"/>
                                  <a:headEnd type="none" w="med" len="med"/>
                                  <a:tailEnd type="triangle" w="sm" len="med"/>
                                </a:ln>
                              </wps:spPr>
                              <wps:bodyPr upright="1"/>
                            </wps:wsp>
                            <wps:wsp>
                              <wps:cNvPr id="134" name="直接连接符 134"/>
                              <wps:cNvCnPr/>
                              <wps:spPr>
                                <a:xfrm>
                                  <a:off x="6464" y="692903"/>
                                  <a:ext cx="1" cy="312"/>
                                </a:xfrm>
                                <a:prstGeom prst="line">
                                  <a:avLst/>
                                </a:prstGeom>
                                <a:ln w="9525" cap="flat" cmpd="sng">
                                  <a:solidFill>
                                    <a:srgbClr val="000000"/>
                                  </a:solidFill>
                                  <a:prstDash val="solid"/>
                                  <a:headEnd type="none" w="med" len="med"/>
                                  <a:tailEnd type="triangle" w="sm" len="med"/>
                                </a:ln>
                              </wps:spPr>
                              <wps:bodyPr upright="1"/>
                            </wps:wsp>
                            <wps:wsp>
                              <wps:cNvPr id="135" name="直接连接符 135"/>
                              <wps:cNvCnPr/>
                              <wps:spPr>
                                <a:xfrm>
                                  <a:off x="6382" y="695208"/>
                                  <a:ext cx="1" cy="312"/>
                                </a:xfrm>
                                <a:prstGeom prst="line">
                                  <a:avLst/>
                                </a:prstGeom>
                                <a:ln w="9525" cap="flat" cmpd="sng">
                                  <a:solidFill>
                                    <a:srgbClr val="000000"/>
                                  </a:solidFill>
                                  <a:prstDash val="solid"/>
                                  <a:headEnd type="none" w="med" len="med"/>
                                  <a:tailEnd type="triangle" w="sm" len="med"/>
                                </a:ln>
                              </wps:spPr>
                              <wps:bodyPr upright="1"/>
                            </wps:wsp>
                            <wps:wsp>
                              <wps:cNvPr id="136" name="文本框 136"/>
                              <wps:cNvSpPr txBox="1"/>
                              <wps:spPr>
                                <a:xfrm>
                                  <a:off x="3412" y="693584"/>
                                  <a:ext cx="1365" cy="1619"/>
                                </a:xfrm>
                                <a:prstGeom prst="rect">
                                  <a:avLst/>
                                </a:prstGeom>
                                <a:noFill/>
                                <a:ln w="9525" cap="sq" cmpd="sng">
                                  <a:solidFill>
                                    <a:srgbClr val="000000"/>
                                  </a:solidFill>
                                  <a:prstDash val="sysDot"/>
                                  <a:miter/>
                                  <a:headEnd type="none" w="med" len="med"/>
                                  <a:tailEnd type="none" w="med" len="med"/>
                                </a:ln>
                              </wps:spPr>
                              <wps:txbx>
                                <w:txbxContent>
                                  <w:p>
                                    <w:pPr>
                                      <w:rPr>
                                        <w:rFonts w:hint="default" w:ascii="Times New Roman" w:hAnsi="Times New Roman" w:eastAsia="宋体" w:cs="Times New Roman"/>
                                        <w:color w:val="000000"/>
                                        <w:spacing w:val="-3"/>
                                        <w:sz w:val="21"/>
                                        <w:szCs w:val="21"/>
                                      </w:rPr>
                                    </w:pPr>
                                    <w:r>
                                      <w:rPr>
                                        <w:rFonts w:hint="default" w:ascii="Times New Roman" w:hAnsi="Times New Roman" w:eastAsia="宋体" w:cs="Times New Roman"/>
                                        <w:sz w:val="21"/>
                                        <w:szCs w:val="21"/>
                                      </w:rPr>
                                      <w:t>X射线、</w:t>
                                    </w:r>
                                    <w:r>
                                      <w:rPr>
                                        <w:rFonts w:hint="default" w:ascii="Times New Roman" w:hAnsi="Times New Roman" w:eastAsia="宋体" w:cs="Times New Roman"/>
                                        <w:color w:val="000000"/>
                                        <w:spacing w:val="-3"/>
                                        <w:sz w:val="21"/>
                                        <w:szCs w:val="21"/>
                                      </w:rPr>
                                      <w:t>中子</w:t>
                                    </w:r>
                                    <w:r>
                                      <w:rPr>
                                        <w:rFonts w:hint="default" w:ascii="Times New Roman" w:hAnsi="Times New Roman" w:eastAsia="宋体" w:cs="Times New Roman"/>
                                        <w:sz w:val="21"/>
                                        <w:szCs w:val="21"/>
                                      </w:rPr>
                                      <w:t>、电子线、臭氧、噪声、感生放射性</w:t>
                                    </w:r>
                                  </w:p>
                                </w:txbxContent>
                              </wps:txbx>
                              <wps:bodyPr lIns="91439" tIns="45719" rIns="91439" bIns="45719" upright="1"/>
                            </wps:wsp>
                          </wpg:wgp>
                        </a:graphicData>
                      </a:graphic>
                    </wp:anchor>
                  </w:drawing>
                </mc:Choice>
                <mc:Fallback>
                  <w:pict>
                    <v:group id="_x0000_s1026" o:spid="_x0000_s1026" o:spt="203" style="position:absolute;left:0pt;margin-left:102.5pt;margin-top:44.8pt;height:276.8pt;width:236.75pt;z-index:251828224;mso-width-relative:page;mso-height-relative:page;" coordorigin="3412,689711" coordsize="4747,6316" o:gfxdata="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EsbpxjbAAAACgEAAA8AAAAAAAAA&#10;AQAgAAAAIgAAAGRycy9kb3ducmV2LnhtbFBLAQIUABQAAAAIAIdO4kD1IujSngUAADIpAAAOAAAA&#10;AAAAAAEAIAAAACoBAABkcnMvZTJvRG9jLnhtbFBLBQYAAAAABgAGAFkBAAA6CQAAAAA=&#10;">
                      <o:lock v:ext="edit" aspectratio="f"/>
                      <v:shape id="_x0000_s1026" o:spid="_x0000_s1026" o:spt="202" type="#_x0000_t202" style="position:absolute;left:4825;top:689711;height:836;width:3307;" fillcolor="#FFFFFF" filled="t" stroked="t" coordsize="21600,21600" o:gfxdata="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PIJh&#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pPr>
                                <w:jc w:val="center"/>
                              </w:pPr>
                              <w:r>
                                <w:rPr>
                                  <w:rFonts w:hint="eastAsia"/>
                                </w:rPr>
                                <w:t>病人进行放射治疗的确诊，向病人告知可能受到的辐射危害</w:t>
                              </w:r>
                            </w:p>
                            <w:p>
                              <w:pPr>
                                <w:jc w:val="center"/>
                              </w:pPr>
                            </w:p>
                          </w:txbxContent>
                        </v:textbox>
                      </v:shape>
                      <v:shape id="_x0000_s1026" o:spid="_x0000_s1026" o:spt="202" type="#_x0000_t202" style="position:absolute;left:4852;top:691714;height:467;width:3307;" fillcolor="#FFFF00" filled="t" stroked="t" coordsize="21600,21600" o:gfxdata="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aMcC8AAAA&#10;3AAAAA8AAAAAAAAAAQAgAAAAIgAAAGRycy9kb3ducmV2LnhtbFBLAQIUABQAAAAIAIdO4kAzLwWe&#10;OwAAADkAAAAQAAAAAAAAAAEAIAAAAAsBAABkcnMvc2hhcGV4bWwueG1sUEsFBgAAAAAGAAYAWwEA&#10;ALUDAAAAAA==&#10;">
                        <v:fill on="t" opacity="28784f" focussize="0,0"/>
                        <v:stroke weight="1pt" color="#000000" joinstyle="miter"/>
                        <v:imagedata o:title=""/>
                        <o:lock v:ext="edit" aspectratio="f"/>
                        <v:textbox>
                          <w:txbxContent>
                            <w:p>
                              <w:pPr>
                                <w:jc w:val="center"/>
                              </w:pPr>
                              <w:r>
                                <w:rPr>
                                  <w:rFonts w:hint="eastAsia"/>
                                </w:rPr>
                                <w:t>模拟定位，进行体表标记</w:t>
                              </w:r>
                            </w:p>
                          </w:txbxContent>
                        </v:textbox>
                      </v:shape>
                      <v:shape id="_x0000_s1026" o:spid="_x0000_s1026" o:spt="202" type="#_x0000_t202" style="position:absolute;left:4840;top:692419;height:465;width:3307;" fillcolor="#FFFFFF" filled="t" stroked="t" coordsize="21600,21600" o:gfxdata="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K5j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rPr>
                                  <w:spacing w:val="-10"/>
                                </w:rPr>
                              </w:pPr>
                              <w:r>
                                <w:rPr>
                                  <w:rFonts w:hint="eastAsia"/>
                                  <w:spacing w:val="-10"/>
                                </w:rPr>
                                <w:t>制定治疗计划，确定照射位置和剂量</w:t>
                              </w:r>
                            </w:p>
                          </w:txbxContent>
                        </v:textbox>
                      </v:shape>
                      <v:shape id="_x0000_s1026" o:spid="_x0000_s1026" o:spt="202" type="#_x0000_t202" style="position:absolute;left:5315;top:693199;height:465;width:2371;" filled="f" stroked="t" coordsize="21600,21600" o:gfxdata="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IDr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rPr>
                                  <w:rFonts w:hint="eastAsia" w:eastAsia="宋体"/>
                                  <w:lang w:eastAsia="zh-CN"/>
                                </w:rPr>
                              </w:pPr>
                              <w:r>
                                <w:rPr>
                                  <w:rFonts w:hint="eastAsia"/>
                                </w:rPr>
                                <w:t>病人进入</w:t>
                              </w:r>
                              <w:r>
                                <w:rPr>
                                  <w:rFonts w:hint="eastAsia"/>
                                  <w:lang w:eastAsia="zh-CN"/>
                                </w:rPr>
                                <w:t>加速器治疗室</w:t>
                              </w:r>
                            </w:p>
                          </w:txbxContent>
                        </v:textbox>
                      </v:shape>
                      <v:line id="_x0000_s1026" o:spid="_x0000_s1026" o:spt="20" style="position:absolute;left:6485;top:692173;height:246;width:1;" filled="f" stroked="t" coordsize="21600,21600" o:gfxdata="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936L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_x0000_s1026" o:spid="_x0000_s1026" o:spt="20" style="position:absolute;left:6510;top:691512;height:252;width:1;" filled="f" stroked="t" coordsize="21600,21600" o:gfxdata="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9Jz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shape id="_x0000_s1026" o:spid="_x0000_s1026" o:spt="202" type="#_x0000_t202" style="position:absolute;left:4838;top:690718;height:839;width:3307;" fillcolor="#FFFFFF" filled="t" stroked="t" coordsize="21600,21600" o:gfxdata="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b+O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spacing w:line="240" w:lineRule="auto"/>
                                <w:jc w:val="center"/>
                                <w:rPr>
                                  <w:rFonts w:eastAsia="宋体"/>
                                  <w:sz w:val="20"/>
                                  <w:szCs w:val="22"/>
                                </w:rPr>
                              </w:pPr>
                              <w:r>
                                <w:rPr>
                                  <w:rFonts w:hint="eastAsia"/>
                                  <w:sz w:val="20"/>
                                  <w:szCs w:val="22"/>
                                </w:rPr>
                                <w:t>职业人员佩戴个人剂量计，携带个人计量报警仪</w:t>
                              </w:r>
                            </w:p>
                          </w:txbxContent>
                        </v:textbox>
                      </v:shape>
                      <v:shape id="_x0000_s1026" o:spid="_x0000_s1026" o:spt="202" type="#_x0000_t202" style="position:absolute;left:5149;top:693940;height:479;width:2715;" fillcolor="#FFFFFF" filled="t" stroked="t" coordsize="21600,21600" o:gfxdata="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1RoV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pPr>
                              <w:r>
                                <w:rPr>
                                  <w:rFonts w:hint="eastAsia"/>
                                </w:rPr>
                                <w:t>关屏蔽门并开启安全联锁</w:t>
                              </w:r>
                            </w:p>
                          </w:txbxContent>
                        </v:textbox>
                      </v:shape>
                      <v:line id="_x0000_s1026" o:spid="_x0000_s1026" o:spt="20" style="position:absolute;left:6434;top:693668;height:312;width:1;" filled="f" stroked="t" coordsize="21600,21600" o:gfxdata="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n3t&#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_x0000_s1026" o:spid="_x0000_s1026" o:spt="202" type="#_x0000_t202" style="position:absolute;left:5089;top:694732;height:491;width:2717;" fillcolor="#FFFF00" filled="t" stroked="t" coordsize="21600,21600" o:gfxdata="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q4TAugAAANwA&#10;AAAPAAAAAAAAAAEAIAAAACIAAABkcnMvZG93bnJldi54bWxQSwECFAAUAAAACACHTuJAMy8FnjsA&#10;AAA5AAAAEAAAAAAAAAABACAAAAAJAQAAZHJzL3NoYXBleG1sLnhtbFBLBQYAAAAABgAGAFsBAACz&#10;AwAAAAA=&#10;">
                        <v:fill on="t" opacity="28270f" focussize="0,0"/>
                        <v:stroke weight="1pt" color="#000000" joinstyle="miter"/>
                        <v:imagedata o:title=""/>
                        <o:lock v:ext="edit" aspectratio="f"/>
                        <v:textbox>
                          <w:txbxContent>
                            <w:p>
                              <w:pPr>
                                <w:jc w:val="center"/>
                              </w:pPr>
                              <w:r>
                                <w:rPr>
                                  <w:rFonts w:hint="eastAsia"/>
                                </w:rPr>
                                <w:t>加速器出束、实施治疗</w:t>
                              </w:r>
                            </w:p>
                          </w:txbxContent>
                        </v:textbox>
                      </v:shape>
                      <v:line id="_x0000_s1026" o:spid="_x0000_s1026" o:spt="20" style="position:absolute;left:4757;top:694992;flip:x;height:1;width:362;rotation:11796480f;" filled="f" stroked="t" coordsize="21600,21600" o:gfxdata="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0V3&#10;wAAAANwAAAAPAAAAAAAAAAEAIAAAACIAAABkcnMvZG93bnJldi54bWxQSwECFAAUAAAACACHTuJA&#10;My8FnjsAAAA5AAAAEAAAAAAAAAABACAAAAAPAQAAZHJzL3NoYXBleG1sLnhtbFBLBQYAAAAABgAG&#10;AFsBAAC5AwAAAAA=&#10;">
                        <v:fill on="f" focussize="0,0"/>
                        <v:stroke color="#000000" joinstyle="round" dashstyle="1 1" startarrow="block" startarrowwidth="narrow"/>
                        <v:imagedata o:title=""/>
                        <o:lock v:ext="edit" aspectratio="f"/>
                      </v:line>
                      <v:line id="_x0000_s1026" o:spid="_x0000_s1026" o:spt="20" style="position:absolute;left:6412;top:694413;height:312;width:1;" filled="f" stroked="t" coordsize="21600,21600" o:gfxdata="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UKt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shape id="_x0000_s1026" o:spid="_x0000_s1026" o:spt="202" type="#_x0000_t202" style="position:absolute;left:5022;top:695523;height:504;width:2987;" fillcolor="#FFFFFF" filled="t" stroked="t" coordsize="21600,21600" o:gfxdata="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7L1C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pPr>
                              <w:r>
                                <w:rPr>
                                  <w:rFonts w:hint="eastAsia"/>
                                </w:rPr>
                                <w:t>治疗完毕，将病人送出治疗室</w:t>
                              </w:r>
                            </w:p>
                          </w:txbxContent>
                        </v:textbox>
                      </v:shape>
                      <v:line id="_x0000_s1026" o:spid="_x0000_s1026" o:spt="20" style="position:absolute;left:6510;top:690559;height:199;width:8;" filled="f" stroked="t" coordsize="21600,21600" o:gfxdata="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95Qb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_x0000_s1026" o:spid="_x0000_s1026" o:spt="20" style="position:absolute;left:6464;top:692903;height:312;width:1;" filled="f" stroked="t" coordsize="21600,21600" o:gfxdata="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bhNb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_x0000_s1026" o:spid="_x0000_s1026" o:spt="20" style="position:absolute;left:6382;top:695208;height:312;width:1;" filled="f" stroked="t" coordsize="21600,21600" o:gfxdata="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Err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shape id="_x0000_s1026" o:spid="_x0000_s1026" o:spt="202" type="#_x0000_t202" style="position:absolute;left:3412;top:693584;height:1619;width:1365;" filled="f" stroked="t" coordsize="21600,21600" o:gfxdata="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0w/+8AAAA&#10;3AAAAA8AAAAAAAAAAQAgAAAAIgAAAGRycy9kb3ducmV2LnhtbFBLAQIUABQAAAAIAIdO4kAzLwWe&#10;OwAAADkAAAAQAAAAAAAAAAEAIAAAAAsBAABkcnMvc2hhcGV4bWwueG1sUEsFBgAAAAAGAAYAWwEA&#10;ALUDAAAAAA==&#10;">
                        <v:fill on="f" focussize="0,0"/>
                        <v:stroke color="#000000" joinstyle="miter" dashstyle="1 1" endcap="square"/>
                        <v:imagedata o:title=""/>
                        <o:lock v:ext="edit" aspectratio="f"/>
                        <v:textbox inset="7.19992125984252pt,3.59992125984252pt,7.19992125984252pt,3.59992125984252pt">
                          <w:txbxContent>
                            <w:p>
                              <w:pPr>
                                <w:rPr>
                                  <w:rFonts w:hint="default" w:ascii="Times New Roman" w:hAnsi="Times New Roman" w:eastAsia="宋体" w:cs="Times New Roman"/>
                                  <w:color w:val="000000"/>
                                  <w:spacing w:val="-3"/>
                                  <w:sz w:val="21"/>
                                  <w:szCs w:val="21"/>
                                </w:rPr>
                              </w:pPr>
                              <w:r>
                                <w:rPr>
                                  <w:rFonts w:hint="default" w:ascii="Times New Roman" w:hAnsi="Times New Roman" w:eastAsia="宋体" w:cs="Times New Roman"/>
                                  <w:sz w:val="21"/>
                                  <w:szCs w:val="21"/>
                                </w:rPr>
                                <w:t>X射线、</w:t>
                              </w:r>
                              <w:r>
                                <w:rPr>
                                  <w:rFonts w:hint="default" w:ascii="Times New Roman" w:hAnsi="Times New Roman" w:eastAsia="宋体" w:cs="Times New Roman"/>
                                  <w:color w:val="000000"/>
                                  <w:spacing w:val="-3"/>
                                  <w:sz w:val="21"/>
                                  <w:szCs w:val="21"/>
                                </w:rPr>
                                <w:t>中子</w:t>
                              </w:r>
                              <w:r>
                                <w:rPr>
                                  <w:rFonts w:hint="default" w:ascii="Times New Roman" w:hAnsi="Times New Roman" w:eastAsia="宋体" w:cs="Times New Roman"/>
                                  <w:sz w:val="21"/>
                                  <w:szCs w:val="21"/>
                                </w:rPr>
                                <w:t>、电子线、臭氧、噪声、感生放射性</w:t>
                              </w:r>
                            </w:p>
                          </w:txbxContent>
                        </v:textbox>
                      </v:shape>
                    </v:group>
                  </w:pict>
                </mc:Fallback>
              </mc:AlternateContent>
            </w:r>
            <w:r>
              <w:rPr>
                <w:rFonts w:hint="default" w:ascii="Times New Roman" w:hAnsi="Times New Roman" w:cs="Times New Roman"/>
                <w:color w:val="auto"/>
                <w:sz w:val="24"/>
                <w:highlight w:val="none"/>
              </w:rPr>
              <w:t>通过分析可知，产污环节为：</w:t>
            </w:r>
            <w:r>
              <w:rPr>
                <w:rFonts w:hint="default" w:ascii="Times New Roman" w:hAnsi="Times New Roman" w:cs="Times New Roman"/>
                <w:bCs/>
                <w:color w:val="auto"/>
                <w:sz w:val="24"/>
                <w:highlight w:val="none"/>
              </w:rPr>
              <w:t>模拟定位时产生的X射线，加速器治疗过程中产生的X射线、电子线、</w:t>
            </w:r>
            <w:r>
              <w:rPr>
                <w:rFonts w:hint="default" w:ascii="Times New Roman" w:hAnsi="Times New Roman" w:cs="Times New Roman"/>
                <w:bCs/>
                <w:color w:val="auto"/>
                <w:sz w:val="24"/>
                <w:highlight w:val="none"/>
                <w:lang w:val="en-US" w:eastAsia="zh-CN"/>
              </w:rPr>
              <w:t>中子、感生放射性、臭氧及风机、水冷机房产生的噪声。</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highlight w:val="none"/>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highlight w:val="none"/>
              </w:rPr>
            </w:pPr>
          </w:p>
          <w:p>
            <w:pPr>
              <w:keepNext w:val="0"/>
              <w:keepLines w:val="0"/>
              <w:suppressLineNumbers w:val="0"/>
              <w:spacing w:before="0" w:beforeAutospacing="0" w:after="0" w:afterAutospacing="0" w:line="520" w:lineRule="exact"/>
              <w:ind w:left="0" w:right="0"/>
              <w:rPr>
                <w:rFonts w:hint="default" w:ascii="Times New Roman" w:hAnsi="Times New Roman" w:cs="Times New Roman"/>
                <w:b/>
                <w:color w:val="auto"/>
                <w:sz w:val="24"/>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图9-</w:t>
            </w:r>
            <w:r>
              <w:rPr>
                <w:rFonts w:hint="eastAsia" w:ascii="Times New Roman" w:hAnsi="Times New Roman" w:cs="Times New Roman"/>
                <w:b/>
                <w:color w:val="auto"/>
                <w:sz w:val="21"/>
                <w:szCs w:val="21"/>
                <w:highlight w:val="none"/>
                <w:lang w:val="en-US" w:eastAsia="zh-CN"/>
              </w:rPr>
              <w:t>7</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bCs w:val="0"/>
                <w:color w:val="auto"/>
                <w:sz w:val="21"/>
                <w:szCs w:val="21"/>
                <w:highlight w:val="none"/>
              </w:rPr>
              <w:t>1</w:t>
            </w:r>
            <w:r>
              <w:rPr>
                <w:rFonts w:hint="default" w:ascii="Times New Roman" w:hAnsi="Times New Roman" w:cs="Times New Roman"/>
                <w:b/>
                <w:bCs w:val="0"/>
                <w:color w:val="auto"/>
                <w:sz w:val="21"/>
                <w:szCs w:val="21"/>
                <w:highlight w:val="none"/>
                <w:lang w:val="en-US" w:eastAsia="zh-CN"/>
              </w:rPr>
              <w:t>5</w:t>
            </w:r>
            <w:r>
              <w:rPr>
                <w:rFonts w:hint="default" w:ascii="Times New Roman" w:hAnsi="Times New Roman" w:cs="Times New Roman"/>
                <w:b/>
                <w:bCs w:val="0"/>
                <w:color w:val="auto"/>
                <w:sz w:val="21"/>
                <w:szCs w:val="21"/>
                <w:highlight w:val="none"/>
              </w:rPr>
              <w:t>MV</w:t>
            </w:r>
            <w:r>
              <w:rPr>
                <w:rFonts w:hint="default" w:ascii="Times New Roman" w:hAnsi="Times New Roman" w:cs="Times New Roman"/>
                <w:b/>
                <w:color w:val="auto"/>
                <w:sz w:val="21"/>
                <w:szCs w:val="21"/>
                <w:highlight w:val="none"/>
                <w:lang w:val="en-US" w:eastAsia="zh-CN"/>
              </w:rPr>
              <w:t>医用电子直线加速器</w:t>
            </w:r>
            <w:r>
              <w:rPr>
                <w:rFonts w:hint="default" w:ascii="Times New Roman" w:hAnsi="Times New Roman" w:cs="Times New Roman"/>
                <w:b/>
                <w:color w:val="auto"/>
                <w:sz w:val="21"/>
                <w:szCs w:val="21"/>
                <w:highlight w:val="none"/>
              </w:rPr>
              <w:t>治疗流程及产污环节示意图</w:t>
            </w:r>
          </w:p>
          <w:p>
            <w:pPr>
              <w:pStyle w:val="2"/>
              <w:keepNext w:val="0"/>
              <w:keepLines w:val="0"/>
              <w:suppressLineNumbers w:val="0"/>
              <w:spacing w:before="0" w:beforeAutospacing="0" w:after="0" w:afterAutospacing="0"/>
              <w:ind w:left="0" w:right="0"/>
              <w:rPr>
                <w:rFonts w:hint="default"/>
                <w:color w:val="auto"/>
                <w:kern w:val="2"/>
              </w:rPr>
            </w:pP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工作负荷</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rPr>
            </w:pPr>
            <w:r>
              <w:rPr>
                <w:rFonts w:hint="default" w:ascii="Times New Roman" w:hAnsi="Times New Roman" w:cs="Times New Roman"/>
                <w:b w:val="0"/>
                <w:bCs w:val="0"/>
                <w:color w:val="auto"/>
                <w:sz w:val="24"/>
                <w:szCs w:val="24"/>
                <w:highlight w:val="none"/>
                <w:lang w:val="en-US" w:eastAsia="zh-CN"/>
              </w:rPr>
              <w:t>根据医院提供的资料，每台设备每天治疗工作量为60人，每周5d，每年工作50周，患者治疗照射出束时间为2~3min，年治疗出束时间为</w:t>
            </w:r>
            <w:r>
              <w:rPr>
                <w:rFonts w:hint="eastAsia" w:ascii="Times New Roman" w:hAnsi="Times New Roman" w:cs="Times New Roman"/>
                <w:b w:val="0"/>
                <w:bCs w:val="0"/>
                <w:color w:val="auto"/>
                <w:sz w:val="24"/>
                <w:szCs w:val="24"/>
                <w:highlight w:val="none"/>
                <w:lang w:val="en-US" w:eastAsia="zh-CN"/>
              </w:rPr>
              <w:t>750</w:t>
            </w:r>
            <w:r>
              <w:rPr>
                <w:rFonts w:hint="default" w:ascii="Times New Roman" w:hAnsi="Times New Roman" w:cs="Times New Roman"/>
                <w:b w:val="0"/>
                <w:bCs w:val="0"/>
                <w:color w:val="auto"/>
                <w:sz w:val="24"/>
                <w:szCs w:val="24"/>
                <w:highlight w:val="none"/>
                <w:lang w:val="en-US" w:eastAsia="zh-CN"/>
              </w:rPr>
              <w:t>h。医生对患者进行摆位的时间为2min/人。</w:t>
            </w:r>
          </w:p>
          <w:p>
            <w:pPr>
              <w:keepNext w:val="0"/>
              <w:keepLines w:val="0"/>
              <w:suppressLineNumbers w:val="0"/>
              <w:spacing w:before="0" w:beforeAutospacing="0" w:after="0" w:afterAutospacing="0" w:line="360" w:lineRule="auto"/>
              <w:ind w:right="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、后装机工艺流程及产污环节分析</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（1）设备组成及工作原理</w:t>
            </w:r>
          </w:p>
          <w:p>
            <w:pPr>
              <w:keepNext w:val="0"/>
              <w:keepLines w:val="0"/>
              <w:suppressLineNumbers w:val="0"/>
              <w:spacing w:before="0" w:beforeAutospacing="0" w:after="0" w:afterAutospacing="0" w:line="360" w:lineRule="auto"/>
              <w:ind w:left="0" w:right="0" w:firstLine="5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后装机主要由驱动装置、计算机、打印机、贮源室、治疗床、γ射线报警仪、施源器及其定位支架组成。后装机工作原理主要是预先在病人体内的自然腔、管道或组织的病灶需要治疗的部位正确地放置施源器，然后采用自动或手动控制将贮源器内的放射源输入到施源器内，使放射源发出的射线对人体自然腔、管道或组织的病灶进行治疗。</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（2）治疗流程</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本项目后装机使用1枚</w:t>
            </w:r>
            <w:r>
              <w:rPr>
                <w:rFonts w:hint="default" w:ascii="Times New Roman" w:hAnsi="Times New Roman" w:cs="Times New Roman"/>
                <w:color w:val="auto"/>
                <w:sz w:val="24"/>
                <w:highlight w:val="none"/>
                <w:vertAlign w:val="superscript"/>
              </w:rPr>
              <w:t>192</w:t>
            </w:r>
            <w:r>
              <w:rPr>
                <w:rFonts w:hint="default" w:ascii="Times New Roman" w:hAnsi="Times New Roman" w:cs="Times New Roman"/>
                <w:color w:val="auto"/>
                <w:sz w:val="24"/>
                <w:highlight w:val="none"/>
              </w:rPr>
              <w:t>Ir放射源，设计装源活度为3.7×10</w:t>
            </w:r>
            <w:r>
              <w:rPr>
                <w:rFonts w:hint="default" w:ascii="Times New Roman" w:hAnsi="Times New Roman" w:cs="Times New Roman"/>
                <w:color w:val="auto"/>
                <w:sz w:val="24"/>
                <w:highlight w:val="none"/>
                <w:vertAlign w:val="superscript"/>
              </w:rPr>
              <w:t>11</w:t>
            </w:r>
            <w:r>
              <w:rPr>
                <w:rFonts w:hint="default" w:ascii="Times New Roman" w:hAnsi="Times New Roman" w:cs="Times New Roman"/>
                <w:color w:val="auto"/>
                <w:sz w:val="24"/>
                <w:highlight w:val="none"/>
              </w:rPr>
              <w:t xml:space="preserve"> Bq，属Ⅲ类放射源。</w:t>
            </w:r>
            <w:r>
              <w:rPr>
                <w:rFonts w:hint="default" w:ascii="Times New Roman" w:hAnsi="Times New Roman" w:cs="Times New Roman"/>
                <w:color w:val="auto"/>
                <w:sz w:val="24"/>
                <w:highlight w:val="none"/>
                <w:vertAlign w:val="superscript"/>
              </w:rPr>
              <w:t>192</w:t>
            </w:r>
            <w:r>
              <w:rPr>
                <w:rFonts w:hint="default" w:ascii="Times New Roman" w:hAnsi="Times New Roman" w:cs="Times New Roman"/>
                <w:color w:val="auto"/>
                <w:sz w:val="24"/>
                <w:highlight w:val="none"/>
              </w:rPr>
              <w:t>Ir半衰期为74.2</w:t>
            </w:r>
            <w:r>
              <w:rPr>
                <w:rFonts w:hint="eastAsia" w:ascii="Times New Roman" w:hAnsi="Times New Roman" w:cs="Times New Roman"/>
                <w:color w:val="auto"/>
                <w:sz w:val="24"/>
                <w:highlight w:val="none"/>
                <w:lang w:val="en-US" w:eastAsia="zh-CN"/>
              </w:rPr>
              <w:t>d</w:t>
            </w:r>
            <w:r>
              <w:rPr>
                <w:rFonts w:hint="default" w:ascii="Times New Roman" w:hAnsi="Times New Roman" w:cs="Times New Roman"/>
                <w:color w:val="auto"/>
                <w:sz w:val="24"/>
                <w:highlight w:val="none"/>
              </w:rPr>
              <w:t>，衰变过程会发出的</w:t>
            </w:r>
            <w:r>
              <w:rPr>
                <w:rFonts w:hint="default" w:ascii="Times New Roman" w:hAnsi="Times New Roman" w:cs="Times New Roman"/>
                <w:bCs/>
                <w:color w:val="auto"/>
                <w:sz w:val="24"/>
                <w:highlight w:val="none"/>
              </w:rPr>
              <w:t>β、</w:t>
            </w:r>
            <w:r>
              <w:rPr>
                <w:rFonts w:hint="default" w:ascii="Times New Roman" w:hAnsi="Times New Roman" w:cs="Times New Roman"/>
                <w:color w:val="auto"/>
                <w:sz w:val="24"/>
                <w:highlight w:val="none"/>
              </w:rPr>
              <w:t>γ射线；当放射源衰变至其活度不能满足放射治疗需要时，将更换放射源，从而产生退役后的废放射源。</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本项目后装机治疗项目主要用于全身肿瘤的治疗，其主要治疗流程为接诊患者、告知辐射危害、安装输源管和</w:t>
            </w:r>
            <w:r>
              <w:rPr>
                <w:rFonts w:hint="default" w:ascii="Times New Roman" w:hAnsi="Times New Roman" w:cs="Times New Roman"/>
                <w:bCs/>
                <w:color w:val="auto"/>
                <w:sz w:val="24"/>
                <w:highlight w:val="none"/>
              </w:rPr>
              <w:t>施源器</w:t>
            </w:r>
            <w:r>
              <w:rPr>
                <w:rFonts w:hint="default" w:ascii="Times New Roman" w:hAnsi="Times New Roman" w:cs="Times New Roman"/>
                <w:color w:val="auto"/>
                <w:sz w:val="24"/>
                <w:highlight w:val="none"/>
              </w:rPr>
              <w:t>、模拟定位、制定治疗方案、仿真源模拟运行、真源照射治疗、治疗完毕收回放射源等，其主要流程与产污环节见图9-</w:t>
            </w:r>
            <w:r>
              <w:rPr>
                <w:rFonts w:hint="eastAsia"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eastAsia="黑体" w:cs="Times New Roman"/>
                <w:b/>
                <w:color w:val="auto"/>
                <w:sz w:val="30"/>
                <w:szCs w:val="30"/>
                <w:highlight w:val="none"/>
              </w:rPr>
              <mc:AlternateContent>
                <mc:Choice Requires="wps">
                  <w:drawing>
                    <wp:anchor distT="0" distB="0" distL="114300" distR="114300" simplePos="0" relativeHeight="251820032" behindDoc="0" locked="0" layoutInCell="1" allowOverlap="1">
                      <wp:simplePos x="0" y="0"/>
                      <wp:positionH relativeFrom="column">
                        <wp:posOffset>4904105</wp:posOffset>
                      </wp:positionH>
                      <wp:positionV relativeFrom="paragraph">
                        <wp:posOffset>259715</wp:posOffset>
                      </wp:positionV>
                      <wp:extent cx="565785" cy="296545"/>
                      <wp:effectExtent l="4445" t="4445" r="20320" b="22860"/>
                      <wp:wrapNone/>
                      <wp:docPr id="145" name="矩形 145"/>
                      <wp:cNvGraphicFramePr/>
                      <a:graphic xmlns:a="http://schemas.openxmlformats.org/drawingml/2006/main">
                        <a:graphicData uri="http://schemas.microsoft.com/office/word/2010/wordprocessingShape">
                          <wps:wsp>
                            <wps:cNvSpPr/>
                            <wps:spPr>
                              <a:xfrm>
                                <a:off x="0" y="0"/>
                                <a:ext cx="565785" cy="296545"/>
                              </a:xfrm>
                              <a:prstGeom prst="rect">
                                <a:avLst/>
                              </a:prstGeom>
                              <a:noFill/>
                              <a:ln w="9525">
                                <a:solidFill>
                                  <a:srgbClr val="000000"/>
                                </a:solidFill>
                              </a:ln>
                              <a:effectLst/>
                            </wps:spPr>
                            <wps:txbx>
                              <w:txbxContent>
                                <w:p>
                                  <w:pPr>
                                    <w:jc w:val="center"/>
                                    <w:rPr>
                                      <w:szCs w:val="21"/>
                                    </w:rPr>
                                  </w:pPr>
                                  <w:r>
                                    <w:rPr>
                                      <w:szCs w:val="21"/>
                                    </w:rPr>
                                    <w:t>X</w:t>
                                  </w:r>
                                  <w:r>
                                    <w:rPr>
                                      <w:rFonts w:hAnsi="宋体"/>
                                      <w:szCs w:val="21"/>
                                    </w:rPr>
                                    <w:t>射线</w:t>
                                  </w:r>
                                </w:p>
                              </w:txbxContent>
                            </wps:txbx>
                            <wps:bodyPr lIns="18000" tIns="10800" rIns="18000" bIns="10800" upright="1"/>
                          </wps:wsp>
                        </a:graphicData>
                      </a:graphic>
                    </wp:anchor>
                  </w:drawing>
                </mc:Choice>
                <mc:Fallback>
                  <w:pict>
                    <v:rect id="_x0000_s1026" o:spid="_x0000_s1026" o:spt="1" style="position:absolute;left:0pt;margin-left:386.15pt;margin-top:20.45pt;height:23.35pt;width:44.55pt;z-index:251820032;mso-width-relative:page;mso-height-relative:page;" filled="f" stroked="t" coordsize="21600,21600" o:gfxdata="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9sY+U2wAAAAkBAAAPAAAA&#10;AAAAAAEAIAAAACIAAABkcnMvZG93bnJldi54bWxQSwECFAAUAAAACACHTuJA5TImS9kBAAC4AwAA&#10;DgAAAAAAAAABACAAAAAqAQAAZHJzL2Uyb0RvYy54bWxQSwUGAAAAAAYABgBZAQAAdQUAAAAA&#10;">
                      <v:fill on="f" focussize="0,0"/>
                      <v:stroke color="#000000" joinstyle="round"/>
                      <v:imagedata o:title=""/>
                      <o:lock v:ext="edit" aspectratio="f"/>
                      <v:textbox inset="0.5mm,0.3mm,0.5mm,0.3mm">
                        <w:txbxContent>
                          <w:p>
                            <w:pPr>
                              <w:jc w:val="center"/>
                              <w:rPr>
                                <w:szCs w:val="21"/>
                              </w:rPr>
                            </w:pPr>
                            <w:r>
                              <w:rPr>
                                <w:szCs w:val="21"/>
                              </w:rPr>
                              <w:t>X</w:t>
                            </w:r>
                            <w:r>
                              <w:rPr>
                                <w:rFonts w:hAnsi="宋体"/>
                                <w:szCs w:val="21"/>
                              </w:rPr>
                              <w:t>射线</w:t>
                            </w:r>
                          </w:p>
                        </w:txbxContent>
                      </v:textbox>
                    </v:rect>
                  </w:pict>
                </mc:Fallback>
              </mc:AlternateContent>
            </w:r>
            <w:r>
              <w:rPr>
                <w:rFonts w:hint="default" w:ascii="Times New Roman" w:hAnsi="Times New Roman" w:eastAsia="黑体" w:cs="Times New Roman"/>
                <w:b/>
                <w:color w:val="auto"/>
                <w:sz w:val="30"/>
                <w:szCs w:val="30"/>
                <w:highlight w:val="none"/>
              </w:rPr>
              <mc:AlternateContent>
                <mc:Choice Requires="wpg">
                  <w:drawing>
                    <wp:anchor distT="0" distB="0" distL="114300" distR="114300" simplePos="0" relativeHeight="251823104" behindDoc="0" locked="0" layoutInCell="1" allowOverlap="1">
                      <wp:simplePos x="0" y="0"/>
                      <wp:positionH relativeFrom="column">
                        <wp:posOffset>707390</wp:posOffset>
                      </wp:positionH>
                      <wp:positionV relativeFrom="paragraph">
                        <wp:posOffset>131445</wp:posOffset>
                      </wp:positionV>
                      <wp:extent cx="4525010" cy="2023110"/>
                      <wp:effectExtent l="4445" t="5080" r="23495" b="10160"/>
                      <wp:wrapNone/>
                      <wp:docPr id="359" name="组合 359"/>
                      <wp:cNvGraphicFramePr/>
                      <a:graphic xmlns:a="http://schemas.openxmlformats.org/drawingml/2006/main">
                        <a:graphicData uri="http://schemas.microsoft.com/office/word/2010/wordprocessingGroup">
                          <wpg:wgp>
                            <wpg:cNvGrpSpPr/>
                            <wpg:grpSpPr>
                              <a:xfrm>
                                <a:off x="1699260" y="1052195"/>
                                <a:ext cx="4525010" cy="2023110"/>
                                <a:chOff x="2592" y="9982"/>
                                <a:chExt cx="7126" cy="3007"/>
                              </a:xfrm>
                              <a:effectLst/>
                            </wpg:grpSpPr>
                            <wps:wsp>
                              <wps:cNvPr id="339" name="矩形 154"/>
                              <wps:cNvSpPr/>
                              <wps:spPr>
                                <a:xfrm>
                                  <a:off x="8179" y="11193"/>
                                  <a:ext cx="1539" cy="4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ascii="宋体" w:hAnsi="宋体"/>
                                        <w:szCs w:val="21"/>
                                      </w:rPr>
                                      <w:t>制定治疗方案</w:t>
                                    </w:r>
                                  </w:p>
                                </w:txbxContent>
                              </wps:txbx>
                              <wps:bodyPr lIns="18000" tIns="10800" rIns="18000" bIns="10800" upright="1"/>
                            </wps:wsp>
                            <wps:wsp>
                              <wps:cNvPr id="340" name="矩形 155"/>
                              <wps:cNvSpPr/>
                              <wps:spPr>
                                <a:xfrm>
                                  <a:off x="6581" y="12407"/>
                                  <a:ext cx="1642"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患者离开治疗室</w:t>
                                    </w:r>
                                  </w:p>
                                </w:txbxContent>
                              </wps:txbx>
                              <wps:bodyPr lIns="18000" tIns="10800" rIns="18000" bIns="10800" upright="1"/>
                            </wps:wsp>
                            <wps:wsp>
                              <wps:cNvPr id="341" name="矩形 156"/>
                              <wps:cNvSpPr/>
                              <wps:spPr>
                                <a:xfrm>
                                  <a:off x="4127" y="11193"/>
                                  <a:ext cx="1371"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int="eastAsia" w:ascii="宋体" w:hAnsi="宋体"/>
                                        <w:szCs w:val="21"/>
                                      </w:rPr>
                                      <w:t>真源照射治疗</w:t>
                                    </w:r>
                                  </w:p>
                                </w:txbxContent>
                              </wps:txbx>
                              <wps:bodyPr lIns="18000" tIns="10800" rIns="18000" bIns="10800" upright="1"/>
                            </wps:wsp>
                            <wps:wsp>
                              <wps:cNvPr id="342" name="矩形 157"/>
                              <wps:cNvSpPr/>
                              <wps:spPr>
                                <a:xfrm>
                                  <a:off x="6011" y="11194"/>
                                  <a:ext cx="1644" cy="43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Cs w:val="21"/>
                                      </w:rPr>
                                    </w:pPr>
                                    <w:r>
                                      <w:rPr>
                                        <w:rFonts w:hint="eastAsia" w:ascii="宋体" w:hAnsi="宋体"/>
                                        <w:szCs w:val="21"/>
                                      </w:rPr>
                                      <w:t>仿真源模拟运行</w:t>
                                    </w:r>
                                  </w:p>
                                </w:txbxContent>
                              </wps:txbx>
                              <wps:bodyPr lIns="18000" tIns="10800" rIns="18000" bIns="10800" upright="1"/>
                            </wps:wsp>
                            <wps:wsp>
                              <wps:cNvPr id="343" name="直线 158"/>
                              <wps:cNvCnPr/>
                              <wps:spPr>
                                <a:xfrm>
                                  <a:off x="4392" y="10352"/>
                                  <a:ext cx="513" cy="1"/>
                                </a:xfrm>
                                <a:prstGeom prst="line">
                                  <a:avLst/>
                                </a:prstGeom>
                                <a:ln w="9525" cap="flat" cmpd="sng">
                                  <a:solidFill>
                                    <a:srgbClr val="000000"/>
                                  </a:solidFill>
                                  <a:prstDash val="solid"/>
                                  <a:headEnd type="none" w="med" len="med"/>
                                  <a:tailEnd type="triangle" w="med" len="med"/>
                                </a:ln>
                                <a:effectLst/>
                              </wps:spPr>
                              <wps:bodyPr upright="1"/>
                            </wps:wsp>
                            <wps:wsp>
                              <wps:cNvPr id="344" name="直线 159"/>
                              <wps:cNvCnPr/>
                              <wps:spPr>
                                <a:xfrm>
                                  <a:off x="6807" y="10324"/>
                                  <a:ext cx="514" cy="1"/>
                                </a:xfrm>
                                <a:prstGeom prst="line">
                                  <a:avLst/>
                                </a:prstGeom>
                                <a:ln w="9525" cap="flat" cmpd="sng">
                                  <a:solidFill>
                                    <a:srgbClr val="000000"/>
                                  </a:solidFill>
                                  <a:prstDash val="solid"/>
                                  <a:headEnd type="none" w="med" len="med"/>
                                  <a:tailEnd type="triangle" w="med" len="med"/>
                                </a:ln>
                                <a:effectLst/>
                              </wps:spPr>
                              <wps:bodyPr upright="1"/>
                            </wps:wsp>
                            <wps:wsp>
                              <wps:cNvPr id="345" name="直线 160"/>
                              <wps:cNvCnPr/>
                              <wps:spPr>
                                <a:xfrm>
                                  <a:off x="8451" y="10570"/>
                                  <a:ext cx="0" cy="624"/>
                                </a:xfrm>
                                <a:prstGeom prst="line">
                                  <a:avLst/>
                                </a:prstGeom>
                                <a:ln w="9525" cap="flat" cmpd="sng">
                                  <a:solidFill>
                                    <a:srgbClr val="000000"/>
                                  </a:solidFill>
                                  <a:prstDash val="solid"/>
                                  <a:headEnd type="none" w="med" len="med"/>
                                  <a:tailEnd type="triangle" w="med" len="med"/>
                                </a:ln>
                                <a:effectLst/>
                              </wps:spPr>
                              <wps:bodyPr upright="1"/>
                            </wps:wsp>
                            <wps:wsp>
                              <wps:cNvPr id="346" name="直线 161"/>
                              <wps:cNvCnPr/>
                              <wps:spPr>
                                <a:xfrm flipH="1">
                                  <a:off x="7655" y="11424"/>
                                  <a:ext cx="513" cy="1"/>
                                </a:xfrm>
                                <a:prstGeom prst="line">
                                  <a:avLst/>
                                </a:prstGeom>
                                <a:ln w="9525" cap="flat" cmpd="sng">
                                  <a:solidFill>
                                    <a:srgbClr val="000000"/>
                                  </a:solidFill>
                                  <a:prstDash val="solid"/>
                                  <a:headEnd type="none" w="med" len="med"/>
                                  <a:tailEnd type="triangle" w="med" len="med"/>
                                </a:ln>
                                <a:effectLst/>
                              </wps:spPr>
                              <wps:bodyPr upright="1"/>
                            </wps:wsp>
                            <wps:wsp>
                              <wps:cNvPr id="347" name="直线 162"/>
                              <wps:cNvCnPr/>
                              <wps:spPr>
                                <a:xfrm flipH="1">
                                  <a:off x="5498" y="11417"/>
                                  <a:ext cx="513" cy="1"/>
                                </a:xfrm>
                                <a:prstGeom prst="line">
                                  <a:avLst/>
                                </a:prstGeom>
                                <a:ln w="9525" cap="flat" cmpd="sng">
                                  <a:solidFill>
                                    <a:srgbClr val="000000"/>
                                  </a:solidFill>
                                  <a:prstDash val="solid"/>
                                  <a:headEnd type="none" w="med" len="med"/>
                                  <a:tailEnd type="triangle" w="med" len="med"/>
                                </a:ln>
                                <a:effectLst/>
                              </wps:spPr>
                              <wps:bodyPr upright="1"/>
                            </wps:wsp>
                            <wps:wsp>
                              <wps:cNvPr id="348" name="直线 163"/>
                              <wps:cNvCnPr/>
                              <wps:spPr>
                                <a:xfrm flipH="1">
                                  <a:off x="3602" y="11437"/>
                                  <a:ext cx="514" cy="2"/>
                                </a:xfrm>
                                <a:prstGeom prst="line">
                                  <a:avLst/>
                                </a:prstGeom>
                                <a:ln w="19050" cap="flat" cmpd="sng">
                                  <a:solidFill>
                                    <a:srgbClr val="000000"/>
                                  </a:solidFill>
                                  <a:prstDash val="dash"/>
                                  <a:headEnd type="none" w="med" len="med"/>
                                  <a:tailEnd type="triangle" w="med" len="med"/>
                                </a:ln>
                                <a:effectLst/>
                              </wps:spPr>
                              <wps:bodyPr upright="1"/>
                            </wps:wsp>
                            <wps:wsp>
                              <wps:cNvPr id="349" name="直线 164"/>
                              <wps:cNvCnPr/>
                              <wps:spPr>
                                <a:xfrm>
                                  <a:off x="8691" y="10413"/>
                                  <a:ext cx="514" cy="1"/>
                                </a:xfrm>
                                <a:prstGeom prst="line">
                                  <a:avLst/>
                                </a:prstGeom>
                                <a:ln w="19050" cap="flat" cmpd="sng">
                                  <a:solidFill>
                                    <a:srgbClr val="000000"/>
                                  </a:solidFill>
                                  <a:prstDash val="dash"/>
                                  <a:headEnd type="none" w="med" len="med"/>
                                  <a:tailEnd type="triangle" w="med" len="med"/>
                                </a:ln>
                                <a:effectLst/>
                              </wps:spPr>
                              <wps:bodyPr upright="1"/>
                            </wps:wsp>
                            <wps:wsp>
                              <wps:cNvPr id="350" name="矩形 165"/>
                              <wps:cNvSpPr/>
                              <wps:spPr>
                                <a:xfrm>
                                  <a:off x="3779" y="12326"/>
                                  <a:ext cx="1936" cy="6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ascii="宋体" w:hAnsi="宋体"/>
                                        <w:szCs w:val="21"/>
                                      </w:rPr>
                                      <w:t>治疗完毕、</w:t>
                                    </w:r>
                                    <w:r>
                                      <w:rPr>
                                        <w:rFonts w:hint="eastAsia" w:ascii="宋体" w:hAnsi="宋体"/>
                                        <w:szCs w:val="21"/>
                                      </w:rPr>
                                      <w:t>源返回铅罐、</w:t>
                                    </w:r>
                                    <w:r>
                                      <w:rPr>
                                        <w:rFonts w:ascii="宋体" w:hAnsi="宋体"/>
                                        <w:szCs w:val="21"/>
                                      </w:rPr>
                                      <w:t>关机</w:t>
                                    </w:r>
                                  </w:p>
                                </w:txbxContent>
                              </wps:txbx>
                              <wps:bodyPr lIns="18000" tIns="10800" rIns="18000" bIns="10800" upright="1"/>
                            </wps:wsp>
                            <wps:wsp>
                              <wps:cNvPr id="351" name="直线 166"/>
                              <wps:cNvCnPr/>
                              <wps:spPr>
                                <a:xfrm>
                                  <a:off x="4745" y="11661"/>
                                  <a:ext cx="1" cy="624"/>
                                </a:xfrm>
                                <a:prstGeom prst="line">
                                  <a:avLst/>
                                </a:prstGeom>
                                <a:ln w="9525" cap="flat" cmpd="sng">
                                  <a:solidFill>
                                    <a:srgbClr val="000000"/>
                                  </a:solidFill>
                                  <a:prstDash val="solid"/>
                                  <a:headEnd type="none" w="med" len="med"/>
                                  <a:tailEnd type="triangle" w="med" len="med"/>
                                </a:ln>
                                <a:effectLst/>
                              </wps:spPr>
                              <wps:bodyPr upright="1"/>
                            </wps:wsp>
                            <wps:wsp>
                              <wps:cNvPr id="352" name="直线 167"/>
                              <wps:cNvCnPr/>
                              <wps:spPr>
                                <a:xfrm>
                                  <a:off x="5724" y="12670"/>
                                  <a:ext cx="857" cy="2"/>
                                </a:xfrm>
                                <a:prstGeom prst="line">
                                  <a:avLst/>
                                </a:prstGeom>
                                <a:ln w="9525" cap="flat" cmpd="sng">
                                  <a:solidFill>
                                    <a:srgbClr val="000000"/>
                                  </a:solidFill>
                                  <a:prstDash val="solid"/>
                                  <a:headEnd type="none" w="med" len="med"/>
                                  <a:tailEnd type="triangle" w="med" len="med"/>
                                </a:ln>
                                <a:effectLst/>
                              </wps:spPr>
                              <wps:bodyPr upright="1"/>
                            </wps:wsp>
                            <wps:wsp>
                              <wps:cNvPr id="353" name="矩形 168"/>
                              <wps:cNvSpPr/>
                              <wps:spPr>
                                <a:xfrm>
                                  <a:off x="2592" y="10035"/>
                                  <a:ext cx="1744"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ascii="宋体" w:hAnsi="宋体"/>
                                        <w:szCs w:val="21"/>
                                      </w:rPr>
                                      <w:t>接诊患者、告知辐射危害</w:t>
                                    </w:r>
                                  </w:p>
                                </w:txbxContent>
                              </wps:txbx>
                              <wps:bodyPr lIns="18000" tIns="10800" rIns="18000" bIns="10800" upright="1"/>
                            </wps:wsp>
                            <wps:wsp>
                              <wps:cNvPr id="354" name="矩形 169"/>
                              <wps:cNvSpPr/>
                              <wps:spPr>
                                <a:xfrm>
                                  <a:off x="4941" y="9982"/>
                                  <a:ext cx="1927" cy="8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Cs w:val="21"/>
                                      </w:rPr>
                                    </w:pPr>
                                    <w:r>
                                      <w:rPr>
                                        <w:rFonts w:hint="eastAsia" w:ascii="宋体" w:hAnsi="宋体"/>
                                        <w:szCs w:val="21"/>
                                      </w:rPr>
                                      <w:t>患者进入后装治疗室、安装输源管和</w:t>
                                    </w:r>
                                    <w:r>
                                      <w:rPr>
                                        <w:rFonts w:hint="eastAsia" w:ascii="宋体" w:hAnsi="宋体"/>
                                        <w:bCs/>
                                        <w:szCs w:val="21"/>
                                      </w:rPr>
                                      <w:t>施源器</w:t>
                                    </w:r>
                                  </w:p>
                                  <w:p>
                                    <w:pPr>
                                      <w:rPr>
                                        <w:szCs w:val="21"/>
                                      </w:rPr>
                                    </w:pPr>
                                  </w:p>
                                </w:txbxContent>
                              </wps:txbx>
                              <wps:bodyPr lIns="18000" tIns="10800" rIns="18000" bIns="10800" upright="1"/>
                            </wps:wsp>
                            <wps:wsp>
                              <wps:cNvPr id="355" name="矩形 170"/>
                              <wps:cNvSpPr/>
                              <wps:spPr>
                                <a:xfrm>
                                  <a:off x="7373" y="10140"/>
                                  <a:ext cx="1370" cy="4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Ansi="宋体"/>
                                        <w:szCs w:val="21"/>
                                      </w:rPr>
                                      <w:t>模</w:t>
                                    </w:r>
                                    <w:r>
                                      <w:rPr>
                                        <w:rFonts w:ascii="宋体" w:hAnsi="宋体"/>
                                        <w:szCs w:val="21"/>
                                      </w:rPr>
                                      <w:t>拟定位</w:t>
                                    </w:r>
                                  </w:p>
                                </w:txbxContent>
                              </wps:txbx>
                              <wps:bodyPr lIns="18000" tIns="10800" rIns="18000" bIns="10800" upright="1"/>
                            </wps:wsp>
                          </wpg:wgp>
                        </a:graphicData>
                      </a:graphic>
                    </wp:anchor>
                  </w:drawing>
                </mc:Choice>
                <mc:Fallback>
                  <w:pict>
                    <v:group id="_x0000_s1026" o:spid="_x0000_s1026" o:spt="203" style="position:absolute;left:0pt;margin-left:55.7pt;margin-top:10.35pt;height:159.3pt;width:356.3pt;z-index:251823104;mso-width-relative:page;mso-height-relative:page;" coordorigin="2592,9982" coordsize="7126,3007" o:gfxdata="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KQShQ7aAAAACgEAAA8AAAAAAAAAAQAgAAAAIgAAAGRy&#10;cy9kb3ducmV2LnhtbFBLAQIUABQAAAAIAIdO4kA7mENXWgUAAKAqAAAOAAAAAAAAAAEAIAAAACkB&#10;AABkcnMvZTJvRG9jLnhtbFBLBQYAAAAABgAGAFkBAAD1CAAAAAA=&#10;">
                      <o:lock v:ext="edit" aspectratio="f"/>
                      <v:rect id="矩形 154" o:spid="_x0000_s1026" o:spt="1" style="position:absolute;left:8179;top:11193;height:469;width:1539;" fillcolor="#FFFFFF" filled="t" stroked="t" coordsize="21600,21600" o:gfxdata="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9k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jc w:val="center"/>
                                <w:rPr>
                                  <w:rFonts w:ascii="宋体" w:hAnsi="宋体"/>
                                  <w:szCs w:val="21"/>
                                </w:rPr>
                              </w:pPr>
                              <w:r>
                                <w:rPr>
                                  <w:rFonts w:ascii="宋体" w:hAnsi="宋体"/>
                                  <w:szCs w:val="21"/>
                                </w:rPr>
                                <w:t>制定治疗方案</w:t>
                              </w:r>
                            </w:p>
                          </w:txbxContent>
                        </v:textbox>
                      </v:rect>
                      <v:rect id="矩形 155" o:spid="_x0000_s1026" o:spt="1" style="position:absolute;left:6581;top:12407;height:468;width:1642;" fillcolor="#FFFFFF" filled="t" stroked="t" coordsize="21600,21600" o:gfxdata="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O+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0.3mm,0.5mm,0.3mm">
                          <w:txbxContent>
                            <w:p>
                              <w:pPr>
                                <w:rPr>
                                  <w:szCs w:val="21"/>
                                </w:rPr>
                              </w:pPr>
                              <w:r>
                                <w:rPr>
                                  <w:rFonts w:hint="eastAsia"/>
                                  <w:szCs w:val="21"/>
                                </w:rPr>
                                <w:t>患者离开治疗室</w:t>
                              </w:r>
                            </w:p>
                          </w:txbxContent>
                        </v:textbox>
                      </v:rect>
                      <v:rect id="矩形 156" o:spid="_x0000_s1026" o:spt="1" style="position:absolute;left:4127;top:11193;height:468;width:1371;" fillcolor="#FFFFFF" filled="t" stroked="t" coordsize="21600,21600" o:gfxdata="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8b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jc w:val="center"/>
                                <w:rPr>
                                  <w:rFonts w:ascii="宋体" w:hAnsi="宋体"/>
                                  <w:szCs w:val="21"/>
                                </w:rPr>
                              </w:pPr>
                              <w:r>
                                <w:rPr>
                                  <w:rFonts w:hint="eastAsia" w:ascii="宋体" w:hAnsi="宋体"/>
                                  <w:szCs w:val="21"/>
                                </w:rPr>
                                <w:t>真源照射治疗</w:t>
                              </w:r>
                            </w:p>
                          </w:txbxContent>
                        </v:textbox>
                      </v:rect>
                      <v:rect id="矩形 157" o:spid="_x0000_s1026" o:spt="1" style="position:absolute;left:6011;top:11194;height:431;width:1644;" fillcolor="#FFFFFF" filled="t" stroked="t" coordsize="21600,21600" o:gfxdata="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2F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rPr>
                                  <w:rFonts w:ascii="宋体" w:hAnsi="宋体"/>
                                  <w:szCs w:val="21"/>
                                </w:rPr>
                              </w:pPr>
                              <w:r>
                                <w:rPr>
                                  <w:rFonts w:hint="eastAsia" w:ascii="宋体" w:hAnsi="宋体"/>
                                  <w:szCs w:val="21"/>
                                </w:rPr>
                                <w:t>仿真源模拟运行</w:t>
                              </w:r>
                            </w:p>
                          </w:txbxContent>
                        </v:textbox>
                      </v:rect>
                      <v:line id="直线 158" o:spid="_x0000_s1026" o:spt="20" style="position:absolute;left:4392;top:10352;height:1;width:513;" filled="f" stroked="t" coordsize="21600,21600" o:gfxdata="UEsDBAoAAAAAAIdO4kAAAAAAAAAAAAAAAAAEAAAAZHJzL1BLAwQUAAAACACHTuJALcG34L8AAADc&#10;AAAADwAAAGRycy9kb3ducmV2LnhtbEWPQWvCQBSE74L/YXmCN92kl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B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9" o:spid="_x0000_s1026" o:spt="20" style="position:absolute;left:6807;top:10324;height:1;width:514;" filled="f" stroked="t" coordsize="21600,21600" o:gfxdata="UEsDBAoAAAAAAIdO4kAAAAAAAAAAAAAAAAAEAAAAZHJzL1BLAwQUAAAACACHTuJAoigvlL8AAADc&#10;AAAADwAAAGRycy9kb3ducmV2LnhtbEWPQWvCQBSE7wX/w/KE3uomVUq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L5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60" o:spid="_x0000_s1026" o:spt="20" style="position:absolute;left:8451;top:10570;height:624;width:0;" filled="f" stroked="t" coordsize="21600,21600" o:gfxdata="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ZIo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61" o:spid="_x0000_s1026" o:spt="20" style="position:absolute;left:7655;top:11424;flip:x;height:1;width:513;" filled="f" stroked="t" coordsize="21600,21600" o:gfxdata="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Bj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62" o:spid="_x0000_s1026" o:spt="20" style="position:absolute;left:5498;top:11417;flip:x;height:1;width:513;" filled="f" stroked="t" coordsize="21600,21600" o:gfxdata="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L1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63" o:spid="_x0000_s1026" o:spt="20" style="position:absolute;left:3602;top:11437;flip:x;height:2;width:514;" filled="f" stroked="t" coordsize="21600,21600" o:gfxdata="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DEbwugAAANw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line id="直线 164" o:spid="_x0000_s1026" o:spt="20" style="position:absolute;left:8691;top:10413;height:1;width:514;" filled="f" stroked="t" coordsize="21600,21600" o:gfxdata="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iDxE&#10;wAAAANwAAAAPAAAAAAAAAAEAIAAAACIAAABkcnMvZG93bnJldi54bWxQSwECFAAUAAAACACHTuJA&#10;My8FnjsAAAA5AAAAEAAAAAAAAAABACAAAAAPAQAAZHJzL3NoYXBleG1sLnhtbFBLBQYAAAAABgAG&#10;AFsBAAC5AwAAAAA=&#10;">
                        <v:fill on="f" focussize="0,0"/>
                        <v:stroke weight="1.5pt" color="#000000" joinstyle="round" dashstyle="dash" endarrow="block"/>
                        <v:imagedata o:title=""/>
                        <o:lock v:ext="edit" aspectratio="f"/>
                      </v:line>
                      <v:rect id="矩形 165" o:spid="_x0000_s1026" o:spt="1" style="position:absolute;left:3779;top:12326;height:663;width:1936;" fillcolor="#FFFFFF" filled="t" stroked="t" coordsize="21600,21600" o:gfxdata="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oo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5mm,0.3mm,0.5mm,0.3mm">
                          <w:txbxContent>
                            <w:p>
                              <w:pPr>
                                <w:jc w:val="center"/>
                                <w:rPr>
                                  <w:rFonts w:ascii="宋体" w:hAnsi="宋体"/>
                                  <w:szCs w:val="21"/>
                                </w:rPr>
                              </w:pPr>
                              <w:r>
                                <w:rPr>
                                  <w:rFonts w:ascii="宋体" w:hAnsi="宋体"/>
                                  <w:szCs w:val="21"/>
                                </w:rPr>
                                <w:t>治疗完毕、</w:t>
                              </w:r>
                              <w:r>
                                <w:rPr>
                                  <w:rFonts w:hint="eastAsia" w:ascii="宋体" w:hAnsi="宋体"/>
                                  <w:szCs w:val="21"/>
                                </w:rPr>
                                <w:t>源返回铅罐、</w:t>
                              </w:r>
                              <w:r>
                                <w:rPr>
                                  <w:rFonts w:ascii="宋体" w:hAnsi="宋体"/>
                                  <w:szCs w:val="21"/>
                                </w:rPr>
                                <w:t>关机</w:t>
                              </w:r>
                            </w:p>
                          </w:txbxContent>
                        </v:textbox>
                      </v:rect>
                      <v:line id="直线 166" o:spid="_x0000_s1026" o:spt="20" style="position:absolute;left:4745;top:11661;height:624;width:1;" filled="f" stroked="t" coordsize="21600,21600" o:gfxdata="UEsDBAoAAAAAAIdO4kAAAAAAAAAAAAAAAAAEAAAAZHJzL1BLAwQUAAAACACHTuJAN4Ya0cAAAADc&#10;AAAADwAAAGRycy9kb3ducmV2LnhtbEWPT2vCQBTE74LfYXmCN91EaQ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hhr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67" o:spid="_x0000_s1026" o:spt="20" style="position:absolute;left:5724;top:12670;height:2;width:857;" filled="f" stroked="t" coordsize="21600,21600" o:gfxdata="UEsDBAoAAAAAAIdO4kAAAAAAAAAAAAAAAAAEAAAAZHJzL1BLAwQUAAAACACHTuJAx1SEp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VIS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68" o:spid="_x0000_s1026" o:spt="1" style="position:absolute;left:2592;top:10035;height:624;width:1744;" fillcolor="#FFFFFF" filled="t" stroked="t" coordsize="21600,21600" o:gfxdata="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i2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jc w:val="center"/>
                                <w:rPr>
                                  <w:rFonts w:ascii="宋体" w:hAnsi="宋体"/>
                                  <w:szCs w:val="21"/>
                                </w:rPr>
                              </w:pPr>
                              <w:r>
                                <w:rPr>
                                  <w:rFonts w:ascii="宋体" w:hAnsi="宋体"/>
                                  <w:szCs w:val="21"/>
                                </w:rPr>
                                <w:t>接诊患者、告知辐射危害</w:t>
                              </w:r>
                            </w:p>
                          </w:txbxContent>
                        </v:textbox>
                      </v:rect>
                      <v:rect id="矩形 169" o:spid="_x0000_s1026" o:spt="1" style="position:absolute;left:4941;top:9982;height:857;width:1927;" fillcolor="#FFFFFF" filled="t" stroked="t" coordsize="21600,21600" o:gfxdata="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Eu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rPr>
                                  <w:rFonts w:ascii="宋体" w:hAnsi="宋体"/>
                                  <w:szCs w:val="21"/>
                                </w:rPr>
                              </w:pPr>
                              <w:r>
                                <w:rPr>
                                  <w:rFonts w:hint="eastAsia" w:ascii="宋体" w:hAnsi="宋体"/>
                                  <w:szCs w:val="21"/>
                                </w:rPr>
                                <w:t>患者进入后装治疗室、安装输源管和</w:t>
                              </w:r>
                              <w:r>
                                <w:rPr>
                                  <w:rFonts w:hint="eastAsia" w:ascii="宋体" w:hAnsi="宋体"/>
                                  <w:bCs/>
                                  <w:szCs w:val="21"/>
                                </w:rPr>
                                <w:t>施源器</w:t>
                              </w:r>
                            </w:p>
                            <w:p>
                              <w:pPr>
                                <w:rPr>
                                  <w:szCs w:val="21"/>
                                </w:rPr>
                              </w:pPr>
                            </w:p>
                          </w:txbxContent>
                        </v:textbox>
                      </v:rect>
                      <v:rect id="矩形 170" o:spid="_x0000_s1026" o:spt="1" style="position:absolute;left:7373;top:10140;height:467;width:1370;" fillcolor="#FFFFFF" filled="t" stroked="t" coordsize="21600,21600" o:gfxdata="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2L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5mm,0.3mm,0.5mm,0.3mm">
                          <w:txbxContent>
                            <w:p>
                              <w:pPr>
                                <w:jc w:val="center"/>
                                <w:rPr>
                                  <w:rFonts w:ascii="宋体" w:hAnsi="宋体"/>
                                  <w:szCs w:val="21"/>
                                </w:rPr>
                              </w:pPr>
                              <w:r>
                                <w:rPr>
                                  <w:rFonts w:hAnsi="宋体"/>
                                  <w:szCs w:val="21"/>
                                </w:rPr>
                                <w:t>模</w:t>
                              </w:r>
                              <w:r>
                                <w:rPr>
                                  <w:rFonts w:ascii="宋体" w:hAnsi="宋体"/>
                                  <w:szCs w:val="21"/>
                                </w:rPr>
                                <w:t>拟定位</w:t>
                              </w:r>
                            </w:p>
                          </w:txbxContent>
                        </v:textbox>
                      </v:rect>
                    </v:group>
                  </w:pict>
                </mc:Fallback>
              </mc:AlternateConten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eastAsia="黑体" w:cs="Times New Roman"/>
                <w:b/>
                <w:color w:val="auto"/>
                <w:sz w:val="30"/>
                <w:szCs w:val="30"/>
                <w:highlight w:val="none"/>
              </w:rPr>
              <mc:AlternateContent>
                <mc:Choice Requires="wps">
                  <w:drawing>
                    <wp:anchor distT="0" distB="0" distL="114300" distR="114300" simplePos="0" relativeHeight="251822080" behindDoc="0" locked="0" layoutInCell="1" allowOverlap="1">
                      <wp:simplePos x="0" y="0"/>
                      <wp:positionH relativeFrom="column">
                        <wp:posOffset>362585</wp:posOffset>
                      </wp:positionH>
                      <wp:positionV relativeFrom="paragraph">
                        <wp:posOffset>21590</wp:posOffset>
                      </wp:positionV>
                      <wp:extent cx="998855" cy="619760"/>
                      <wp:effectExtent l="4445" t="4445" r="6350" b="23495"/>
                      <wp:wrapNone/>
                      <wp:docPr id="144" name="矩形 144"/>
                      <wp:cNvGraphicFramePr/>
                      <a:graphic xmlns:a="http://schemas.openxmlformats.org/drawingml/2006/main">
                        <a:graphicData uri="http://schemas.microsoft.com/office/word/2010/wordprocessingShape">
                          <wps:wsp>
                            <wps:cNvSpPr/>
                            <wps:spPr>
                              <a:xfrm>
                                <a:off x="0" y="0"/>
                                <a:ext cx="998855" cy="792480"/>
                              </a:xfrm>
                              <a:prstGeom prst="rect">
                                <a:avLst/>
                              </a:prstGeom>
                              <a:noFill/>
                              <a:ln w="9525">
                                <a:solidFill>
                                  <a:srgbClr val="000000"/>
                                </a:solidFill>
                              </a:ln>
                              <a:effectLst/>
                            </wps:spPr>
                            <wps:txbx>
                              <w:txbxContent>
                                <w:p>
                                  <w:pPr>
                                    <w:rPr>
                                      <w:rFonts w:hint="default" w:ascii="Times New Roman" w:hAnsi="Times New Roman" w:cs="Times New Roman"/>
                                      <w:szCs w:val="21"/>
                                    </w:rPr>
                                  </w:pPr>
                                  <w:r>
                                    <w:rPr>
                                      <w:rFonts w:hint="default" w:ascii="Times New Roman" w:hAnsi="Times New Roman" w:cs="Times New Roman"/>
                                      <w:bCs/>
                                      <w:szCs w:val="21"/>
                                    </w:rPr>
                                    <w:t>β、</w:t>
                                  </w:r>
                                  <w:r>
                                    <w:rPr>
                                      <w:rFonts w:hint="default" w:ascii="Times New Roman" w:hAnsi="Times New Roman" w:cs="Times New Roman"/>
                                      <w:szCs w:val="21"/>
                                    </w:rPr>
                                    <w:t>γ射线</w:t>
                                  </w:r>
                                </w:p>
                                <w:p>
                                  <w:pPr>
                                    <w:rPr>
                                      <w:rFonts w:hint="default" w:ascii="Times New Roman" w:hAnsi="Times New Roman" w:cs="Times New Roman"/>
                                      <w:szCs w:val="21"/>
                                    </w:rPr>
                                  </w:pPr>
                                  <w:r>
                                    <w:rPr>
                                      <w:rFonts w:hint="default" w:ascii="Times New Roman" w:hAnsi="Times New Roman" w:cs="Times New Roman"/>
                                      <w:szCs w:val="21"/>
                                    </w:rPr>
                                    <w:t>少量臭氧</w:t>
                                  </w:r>
                                </w:p>
                                <w:p>
                                  <w:pPr>
                                    <w:rPr>
                                      <w:rFonts w:hint="default" w:ascii="Times New Roman" w:hAnsi="Times New Roman" w:cs="Times New Roman"/>
                                      <w:szCs w:val="21"/>
                                    </w:rPr>
                                  </w:pPr>
                                  <w:r>
                                    <w:rPr>
                                      <w:rFonts w:hint="default" w:ascii="Times New Roman" w:hAnsi="Times New Roman" w:cs="Times New Roman"/>
                                      <w:szCs w:val="21"/>
                                    </w:rPr>
                                    <w:t>退役后废放射源</w:t>
                                  </w:r>
                                </w:p>
                              </w:txbxContent>
                            </wps:txbx>
                            <wps:bodyPr lIns="18000" tIns="10800" rIns="18000" bIns="10800" upright="1"/>
                          </wps:wsp>
                        </a:graphicData>
                      </a:graphic>
                    </wp:anchor>
                  </w:drawing>
                </mc:Choice>
                <mc:Fallback>
                  <w:pict>
                    <v:rect id="_x0000_s1026" o:spid="_x0000_s1026" o:spt="1" style="position:absolute;left:0pt;margin-left:28.55pt;margin-top:1.7pt;height:48.8pt;width:78.65pt;z-index:251822080;mso-width-relative:page;mso-height-relative:page;" filled="f" stroked="t" coordsize="21600,21600" o:gfxdata="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2j5LLZAAAACAEAAA8AAAAA&#10;AAAAAQAgAAAAIgAAAGRycy9kb3ducmV2LnhtbFBLAQIUABQAAAAIAIdO4kDnv2Ij2gEAALgDAAAO&#10;AAAAAAAAAAEAIAAAACgBAABkcnMvZTJvRG9jLnhtbFBLBQYAAAAABgAGAFkBAAB0BQAAAAA=&#10;">
                      <v:fill on="f" focussize="0,0"/>
                      <v:stroke color="#000000" joinstyle="round"/>
                      <v:imagedata o:title=""/>
                      <o:lock v:ext="edit" aspectratio="f"/>
                      <v:textbox inset="0.5mm,0.3mm,0.5mm,0.3mm">
                        <w:txbxContent>
                          <w:p>
                            <w:pPr>
                              <w:rPr>
                                <w:rFonts w:hint="default" w:ascii="Times New Roman" w:hAnsi="Times New Roman" w:cs="Times New Roman"/>
                                <w:szCs w:val="21"/>
                              </w:rPr>
                            </w:pPr>
                            <w:r>
                              <w:rPr>
                                <w:rFonts w:hint="default" w:ascii="Times New Roman" w:hAnsi="Times New Roman" w:cs="Times New Roman"/>
                                <w:bCs/>
                                <w:szCs w:val="21"/>
                              </w:rPr>
                              <w:t>β、</w:t>
                            </w:r>
                            <w:r>
                              <w:rPr>
                                <w:rFonts w:hint="default" w:ascii="Times New Roman" w:hAnsi="Times New Roman" w:cs="Times New Roman"/>
                                <w:szCs w:val="21"/>
                              </w:rPr>
                              <w:t>γ射线</w:t>
                            </w:r>
                          </w:p>
                          <w:p>
                            <w:pPr>
                              <w:rPr>
                                <w:rFonts w:hint="default" w:ascii="Times New Roman" w:hAnsi="Times New Roman" w:cs="Times New Roman"/>
                                <w:szCs w:val="21"/>
                              </w:rPr>
                            </w:pPr>
                            <w:r>
                              <w:rPr>
                                <w:rFonts w:hint="default" w:ascii="Times New Roman" w:hAnsi="Times New Roman" w:cs="Times New Roman"/>
                                <w:szCs w:val="21"/>
                              </w:rPr>
                              <w:t>少量臭氧</w:t>
                            </w:r>
                          </w:p>
                          <w:p>
                            <w:pPr>
                              <w:rPr>
                                <w:rFonts w:hint="default" w:ascii="Times New Roman" w:hAnsi="Times New Roman" w:cs="Times New Roman"/>
                                <w:szCs w:val="21"/>
                              </w:rPr>
                            </w:pPr>
                            <w:r>
                              <w:rPr>
                                <w:rFonts w:hint="default" w:ascii="Times New Roman" w:hAnsi="Times New Roman" w:cs="Times New Roman"/>
                                <w:szCs w:val="21"/>
                              </w:rPr>
                              <w:t>退役后废放射源</w:t>
                            </w:r>
                          </w:p>
                        </w:txbxContent>
                      </v:textbox>
                    </v:rect>
                  </w:pict>
                </mc:Fallback>
              </mc:AlternateConten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229235</wp:posOffset>
                      </wp:positionH>
                      <wp:positionV relativeFrom="paragraph">
                        <wp:posOffset>216535</wp:posOffset>
                      </wp:positionV>
                      <wp:extent cx="1168400" cy="447675"/>
                      <wp:effectExtent l="4445" t="4445" r="8255" b="5080"/>
                      <wp:wrapNone/>
                      <wp:docPr id="140" name="文本框 140"/>
                      <wp:cNvGraphicFramePr/>
                      <a:graphic xmlns:a="http://schemas.openxmlformats.org/drawingml/2006/main">
                        <a:graphicData uri="http://schemas.microsoft.com/office/word/2010/wordprocessingShape">
                          <wps:wsp>
                            <wps:cNvSpPr txBox="1"/>
                            <wps:spPr>
                              <a:xfrm>
                                <a:off x="0" y="0"/>
                                <a:ext cx="11684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废弃放射源由厂家回收</w:t>
                                  </w:r>
                                </w:p>
                              </w:txbxContent>
                            </wps:txbx>
                            <wps:bodyPr upright="1"/>
                          </wps:wsp>
                        </a:graphicData>
                      </a:graphic>
                    </wp:anchor>
                  </w:drawing>
                </mc:Choice>
                <mc:Fallback>
                  <w:pict>
                    <v:shape id="_x0000_s1026" o:spid="_x0000_s1026" o:spt="202" type="#_x0000_t202" style="position:absolute;left:0pt;margin-left:18.05pt;margin-top:17.05pt;height:35.25pt;width:92pt;z-index:251826176;mso-width-relative:page;mso-height-relative:page;" fillcolor="#FFFFFF" filled="t" stroked="t" coordsize="21600,21600" o:gfxdata="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jSnNcAAAAJAQAADwAAAAAAAAABACAAAAAi&#10;AAAAZHJzL2Rvd25yZXYueG1sUEsBAhQAFAAAAAgAh07iQN1/F00LAgAAOgQAAA4AAAAAAAAAAQAg&#10;AAAAJgEAAGRycy9lMm9Eb2MueG1sUEsFBgAAAAAGAAYAWQEAAKMFAAAAAA==&#10;">
                      <v:fill on="t" focussize="0,0"/>
                      <v:stroke color="#000000" joinstyle="miter"/>
                      <v:imagedata o:title=""/>
                      <o:lock v:ext="edit" aspectratio="f"/>
                      <v:textbox>
                        <w:txbxContent>
                          <w:p>
                            <w:pPr>
                              <w:jc w:val="center"/>
                            </w:pPr>
                            <w:r>
                              <w:rPr>
                                <w:rFonts w:hint="eastAsia"/>
                              </w:rPr>
                              <w:t>废弃放射源由厂家回收</w:t>
                            </w:r>
                          </w:p>
                        </w:txbxContent>
                      </v:textbox>
                    </v:shape>
                  </w:pict>
                </mc:Fallback>
              </mc:AlternateContent>
            </w:r>
            <w:r>
              <w:rPr>
                <w:rFonts w:hint="default" w:ascii="Times New Roman" w:hAnsi="Times New Roman" w:eastAsia="黑体" w:cs="Times New Roman"/>
                <w:color w:val="auto"/>
                <w:sz w:val="30"/>
                <w:szCs w:val="30"/>
                <w:highlight w:val="none"/>
              </w:rPr>
              <mc:AlternateContent>
                <mc:Choice Requires="wps">
                  <w:drawing>
                    <wp:anchor distT="0" distB="0" distL="114300" distR="114300" simplePos="0" relativeHeight="251825152" behindDoc="0" locked="0" layoutInCell="1" allowOverlap="1">
                      <wp:simplePos x="0" y="0"/>
                      <wp:positionH relativeFrom="column">
                        <wp:posOffset>865505</wp:posOffset>
                      </wp:positionH>
                      <wp:positionV relativeFrom="paragraph">
                        <wp:posOffset>46990</wp:posOffset>
                      </wp:positionV>
                      <wp:extent cx="635" cy="198120"/>
                      <wp:effectExtent l="24765" t="0" r="31750" b="11430"/>
                      <wp:wrapNone/>
                      <wp:docPr id="141" name="直接连接符 141"/>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sm" len="med"/>
                              </a:ln>
                              <a:effectLst/>
                            </wps:spPr>
                            <wps:bodyPr/>
                          </wps:wsp>
                        </a:graphicData>
                      </a:graphic>
                    </wp:anchor>
                  </w:drawing>
                </mc:Choice>
                <mc:Fallback>
                  <w:pict>
                    <v:line id="_x0000_s1026" o:spid="_x0000_s1026" o:spt="20" style="position:absolute;left:0pt;margin-left:68.15pt;margin-top:3.7pt;height:15.6pt;width:0.05pt;z-index:251825152;mso-width-relative:page;mso-height-relative:page;" filled="f" stroked="t" coordsize="21600,21600" o:gfxdata="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34sb9gAAAAIAQAADwAAAAAAAAABACAAAAAiAAAA&#10;ZHJzL2Rvd25yZXYueG1sUEsBAhQAFAAAAAgAh07iQDebB6kHAgAA6gMAAA4AAAAAAAAAAQAgAAAA&#10;JwEAAGRycy9lMm9Eb2MueG1sUEsFBgAAAAAGAAYAWQEAAKAFAAAAAA==&#10;">
                      <v:fill on="f" focussize="0,0"/>
                      <v:stroke color="#000000" joinstyle="round" endarrow="block" endarrowwidth="narrow"/>
                      <v:imagedata o:title=""/>
                      <o:lock v:ext="edit" aspectratio="f"/>
                    </v:line>
                  </w:pict>
                </mc:Fallback>
              </mc:AlternateConten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pPr>
              <w:keepNext w:val="0"/>
              <w:keepLines w:val="0"/>
              <w:suppressLineNumbers w:val="0"/>
              <w:spacing w:before="156" w:beforeLines="50" w:beforeAutospacing="0" w:after="0" w:afterAutospacing="0" w:line="360" w:lineRule="auto"/>
              <w:ind w:left="0" w:right="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1"/>
                <w:szCs w:val="21"/>
                <w:highlight w:val="none"/>
              </w:rPr>
              <w:t>图9-</w:t>
            </w:r>
            <w:r>
              <w:rPr>
                <w:rFonts w:hint="eastAsia" w:ascii="Times New Roman" w:hAnsi="Times New Roman" w:cs="Times New Roman"/>
                <w:b/>
                <w:color w:val="auto"/>
                <w:sz w:val="21"/>
                <w:szCs w:val="21"/>
                <w:highlight w:val="none"/>
                <w:lang w:val="en-US" w:eastAsia="zh-CN"/>
              </w:rPr>
              <w:t>8</w:t>
            </w:r>
            <w:r>
              <w:rPr>
                <w:rFonts w:hint="default" w:ascii="Times New Roman" w:hAnsi="Times New Roman" w:cs="Times New Roman"/>
                <w:b/>
                <w:color w:val="auto"/>
                <w:sz w:val="21"/>
                <w:szCs w:val="21"/>
                <w:highlight w:val="none"/>
              </w:rPr>
              <w:t xml:space="preserve">  后装机治疗工艺流程及产污环节图</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（3）产污环节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通过分析可知，后装机治疗过程中真源照射治疗产生的</w:t>
            </w:r>
            <w:r>
              <w:rPr>
                <w:rFonts w:hint="default" w:ascii="Times New Roman" w:hAnsi="Times New Roman" w:cs="Times New Roman"/>
                <w:bCs/>
                <w:color w:val="auto"/>
                <w:sz w:val="24"/>
                <w:highlight w:val="none"/>
              </w:rPr>
              <w:t>β</w:t>
            </w:r>
            <w:r>
              <w:rPr>
                <w:rFonts w:hint="default" w:ascii="Times New Roman" w:hAnsi="Times New Roman" w:cs="Times New Roman"/>
                <w:color w:val="auto"/>
                <w:sz w:val="24"/>
                <w:highlight w:val="none"/>
              </w:rPr>
              <w:t>射线</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γ射线、少量臭氧以及退役后的废放射源。</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（4）后装机换源过程介绍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医院购买的后装治疗设备首次导源由厂家负责。后期源的购买由医院申购，导源仍然由厂家后装机工程师负责，退役源由厂家回收处置。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医院报四川省生态环境厅备案后购买。铱源的生产、运输都由厂家负责。每次申购铱源后由厂家运输至</w:t>
            </w:r>
            <w:r>
              <w:rPr>
                <w:rFonts w:hint="eastAsia" w:ascii="Times New Roman" w:hAnsi="Times New Roman" w:cs="Times New Roman"/>
                <w:bCs/>
                <w:color w:val="auto"/>
                <w:sz w:val="24"/>
                <w:highlight w:val="none"/>
                <w:lang w:eastAsia="zh-CN"/>
              </w:rPr>
              <w:t>后装治疗室</w:t>
            </w:r>
            <w:r>
              <w:rPr>
                <w:rFonts w:hint="default" w:ascii="Times New Roman" w:hAnsi="Times New Roman" w:eastAsia="宋体" w:cs="Times New Roman"/>
                <w:bCs/>
                <w:color w:val="auto"/>
                <w:sz w:val="24"/>
                <w:highlight w:val="none"/>
              </w:rPr>
              <w:t>。当厂家工程师导源完毕后，将旧源回收。</w:t>
            </w:r>
          </w:p>
          <w:p>
            <w:pPr>
              <w:pStyle w:val="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63" w:beforeLines="20" w:beforeAutospacing="0" w:after="0" w:afterAutospacing="0"/>
              <w:ind w:left="420" w:leftChars="200" w:right="0" w:rightChars="0"/>
              <w:textAlignment w:val="auto"/>
              <w:rPr>
                <w:rFonts w:hint="default" w:ascii="Times New Roman" w:hAnsi="Times New Roman" w:cs="Times New Roman"/>
                <w:b/>
                <w:bCs w:val="0"/>
                <w:color w:val="auto"/>
                <w:kern w:val="2"/>
                <w:sz w:val="24"/>
                <w:highlight w:val="none"/>
                <w:lang w:val="en-US" w:eastAsia="zh-CN"/>
              </w:rPr>
            </w:pPr>
            <w:r>
              <w:rPr>
                <w:rFonts w:hint="eastAsia" w:ascii="Times New Roman" w:hAnsi="Times New Roman" w:cs="Times New Roman"/>
                <w:b/>
                <w:bCs w:val="0"/>
                <w:color w:val="auto"/>
                <w:kern w:val="2"/>
                <w:sz w:val="24"/>
                <w:highlight w:val="none"/>
                <w:lang w:val="en-US" w:eastAsia="zh-CN"/>
              </w:rPr>
              <w:t>（5）</w:t>
            </w:r>
            <w:r>
              <w:rPr>
                <w:rFonts w:hint="default" w:ascii="Times New Roman" w:hAnsi="Times New Roman" w:cs="Times New Roman"/>
                <w:b/>
                <w:bCs w:val="0"/>
                <w:color w:val="auto"/>
                <w:kern w:val="2"/>
                <w:sz w:val="24"/>
                <w:highlight w:val="none"/>
                <w:lang w:val="en-US" w:eastAsia="zh-CN"/>
              </w:rPr>
              <w:t>医生、患者</w:t>
            </w:r>
            <w:r>
              <w:rPr>
                <w:rFonts w:hint="eastAsia" w:ascii="Times New Roman" w:hAnsi="Times New Roman" w:cs="Times New Roman"/>
                <w:b/>
                <w:bCs w:val="0"/>
                <w:color w:val="auto"/>
                <w:kern w:val="2"/>
                <w:sz w:val="24"/>
                <w:highlight w:val="none"/>
                <w:lang w:val="en-US" w:eastAsia="zh-CN"/>
              </w:rPr>
              <w:t>分流</w:t>
            </w:r>
            <w:r>
              <w:rPr>
                <w:rFonts w:hint="default" w:ascii="Times New Roman" w:hAnsi="Times New Roman" w:cs="Times New Roman"/>
                <w:b/>
                <w:bCs w:val="0"/>
                <w:color w:val="auto"/>
                <w:kern w:val="2"/>
                <w:sz w:val="24"/>
                <w:highlight w:val="none"/>
                <w:lang w:val="en-US" w:eastAsia="zh-CN"/>
              </w:rPr>
              <w:t>图</w:t>
            </w:r>
          </w:p>
          <w:p>
            <w:pPr>
              <w:keepNext w:val="0"/>
              <w:keepLines w:val="0"/>
              <w:pageBreakBefore w:val="0"/>
              <w:widowControl w:val="0"/>
              <w:suppressLineNumbers w:val="0"/>
              <w:kinsoku/>
              <w:wordWrap/>
              <w:overflowPunct/>
              <w:topLinePunct w:val="0"/>
              <w:autoSpaceDE/>
              <w:autoSpaceDN/>
              <w:bidi w:val="0"/>
              <w:adjustRightInd/>
              <w:snapToGrid/>
              <w:spacing w:before="95" w:beforeLines="30" w:beforeAutospacing="0" w:after="0" w:afterAutospacing="0" w:line="360" w:lineRule="auto"/>
              <w:ind w:left="0" w:right="0" w:firstLine="480" w:firstLineChars="200"/>
              <w:textAlignment w:val="auto"/>
              <w:rPr>
                <w:rFonts w:hint="default"/>
                <w:color w:val="auto"/>
                <w:sz w:val="24"/>
                <w:szCs w:val="24"/>
                <w:lang w:val="en-US" w:eastAsia="zh-CN"/>
              </w:rPr>
            </w:pPr>
            <w:r>
              <w:rPr>
                <w:rFonts w:hint="eastAsia"/>
                <w:color w:val="auto"/>
                <w:sz w:val="24"/>
                <w:szCs w:val="24"/>
                <w:lang w:val="en-US" w:eastAsia="zh-CN"/>
              </w:rPr>
              <w:t>医护人员路径：从控制室通过后装治疗室防护门经迷路进入后装治疗室，指导病人摆位</w:t>
            </w:r>
            <w:r>
              <w:rPr>
                <w:rFonts w:hint="eastAsia" w:ascii="宋体" w:hAnsi="宋体"/>
                <w:color w:val="auto"/>
                <w:sz w:val="24"/>
                <w:szCs w:val="24"/>
              </w:rPr>
              <w:t>、安装输源管和</w:t>
            </w:r>
            <w:r>
              <w:rPr>
                <w:rFonts w:hint="eastAsia" w:ascii="宋体" w:hAnsi="宋体"/>
                <w:bCs/>
                <w:color w:val="auto"/>
                <w:sz w:val="24"/>
                <w:szCs w:val="24"/>
              </w:rPr>
              <w:t>施源器</w:t>
            </w:r>
            <w:r>
              <w:rPr>
                <w:rFonts w:hint="eastAsia"/>
                <w:color w:val="auto"/>
                <w:sz w:val="24"/>
                <w:szCs w:val="24"/>
                <w:lang w:val="en-US" w:eastAsia="zh-CN"/>
              </w:rPr>
              <w:t>后沿原路返回控制室。</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pacing w:val="0"/>
                <w:sz w:val="24"/>
                <w:szCs w:val="24"/>
                <w:lang w:val="en-US" w:eastAsia="zh-CN"/>
              </w:rPr>
            </w:pPr>
            <w:r>
              <w:rPr>
                <w:rFonts w:hint="eastAsia"/>
                <w:color w:val="auto"/>
                <w:sz w:val="24"/>
                <w:lang w:val="en-US" w:eastAsia="zh-CN"/>
              </w:rPr>
              <w:t>病人路径：从候诊区通过后装治疗室防护门经迷路进入后装治疗室接受治疗，治疗完成后离开后装治疗室。</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default" w:ascii="Times New Roman" w:hAnsi="Times New Roman" w:eastAsia="宋体" w:cs="Times New Roman"/>
                <w:b w:val="0"/>
                <w:bCs w:val="0"/>
                <w:color w:val="auto"/>
                <w:spacing w:val="0"/>
                <w:sz w:val="24"/>
                <w:szCs w:val="24"/>
                <w:lang w:val="en-US" w:eastAsia="zh-CN"/>
              </w:rPr>
            </w:pPr>
            <w:r>
              <w:rPr>
                <w:color w:val="auto"/>
              </w:rPr>
              <w:drawing>
                <wp:inline distT="0" distB="0" distL="114300" distR="114300">
                  <wp:extent cx="5603875" cy="2737485"/>
                  <wp:effectExtent l="0" t="0" r="15875" b="5715"/>
                  <wp:docPr id="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7"/>
                          <pic:cNvPicPr>
                            <a:picLocks noChangeAspect="1"/>
                          </pic:cNvPicPr>
                        </pic:nvPicPr>
                        <pic:blipFill>
                          <a:blip r:embed="rId13"/>
                          <a:stretch>
                            <a:fillRect/>
                          </a:stretch>
                        </pic:blipFill>
                        <pic:spPr>
                          <a:xfrm>
                            <a:off x="0" y="0"/>
                            <a:ext cx="5603875" cy="2737485"/>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N w:val="0"/>
              <w:bidi w:val="0"/>
              <w:spacing w:before="0" w:beforeAutospacing="0" w:after="0" w:afterAutospacing="0" w:line="348" w:lineRule="auto"/>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b/>
                <w:bCs/>
                <w:color w:val="auto"/>
                <w:szCs w:val="21"/>
                <w:highlight w:val="none"/>
              </w:rPr>
              <w:t>图</w:t>
            </w:r>
            <w:r>
              <w:rPr>
                <w:rFonts w:hint="default" w:ascii="Times New Roman" w:hAnsi="Times New Roman" w:cs="Times New Roman"/>
                <w:b/>
                <w:bCs/>
                <w:color w:val="auto"/>
                <w:szCs w:val="21"/>
                <w:highlight w:val="none"/>
                <w:lang w:val="en-US" w:eastAsia="zh-CN"/>
              </w:rPr>
              <w:t>9-</w:t>
            </w:r>
            <w:r>
              <w:rPr>
                <w:rFonts w:hint="eastAsia" w:ascii="Times New Roman" w:hAnsi="Times New Roman" w:cs="Times New Roman"/>
                <w:b/>
                <w:bCs/>
                <w:color w:val="auto"/>
                <w:szCs w:val="21"/>
                <w:highlight w:val="none"/>
                <w:lang w:val="en-US" w:eastAsia="zh-CN"/>
              </w:rPr>
              <w:t>9</w:t>
            </w:r>
            <w:r>
              <w:rPr>
                <w:rFonts w:hint="default" w:ascii="Times New Roman" w:hAnsi="Times New Roman" w:cs="Times New Roman"/>
                <w:b/>
                <w:bCs/>
                <w:color w:val="auto"/>
                <w:szCs w:val="21"/>
                <w:highlight w:val="none"/>
                <w:lang w:val="en-US" w:eastAsia="zh-CN"/>
              </w:rPr>
              <w:t xml:space="preserve">  </w:t>
            </w:r>
            <w:r>
              <w:rPr>
                <w:rFonts w:hint="eastAsia" w:ascii="Times New Roman" w:hAnsi="Times New Roman" w:cs="Times New Roman"/>
                <w:b/>
                <w:bCs/>
                <w:color w:val="auto"/>
                <w:szCs w:val="21"/>
                <w:highlight w:val="none"/>
                <w:lang w:val="en-US" w:eastAsia="zh-CN"/>
              </w:rPr>
              <w:t>后装治疗室医护分流图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9046" w:type="dxa"/>
          </w:tcPr>
          <w:p>
            <w:pPr>
              <w:keepNext w:val="0"/>
              <w:keepLines w:val="0"/>
              <w:suppressLineNumbers w:val="0"/>
              <w:spacing w:before="0" w:beforeAutospacing="0" w:after="0" w:afterAutospacing="0"/>
              <w:ind w:left="0" w:right="0"/>
              <w:jc w:val="left"/>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污染源项描述</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一、施工</w:t>
            </w:r>
            <w:r>
              <w:rPr>
                <w:rFonts w:hint="default" w:ascii="Times New Roman" w:hAnsi="Times New Roman" w:cs="Times New Roman"/>
                <w:b/>
                <w:bCs/>
                <w:color w:val="auto"/>
                <w:sz w:val="28"/>
                <w:szCs w:val="28"/>
              </w:rPr>
              <w:t>期</w:t>
            </w:r>
            <w:r>
              <w:rPr>
                <w:rFonts w:hint="default" w:ascii="Times New Roman" w:hAnsi="Times New Roman" w:cs="Times New Roman"/>
                <w:b/>
                <w:bCs/>
                <w:color w:val="auto"/>
                <w:sz w:val="28"/>
                <w:szCs w:val="28"/>
                <w:lang w:val="en-US" w:eastAsia="zh-CN"/>
              </w:rPr>
              <w:t>及设备调试安装</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1、污染源项</w:t>
            </w:r>
          </w:p>
          <w:p>
            <w:pPr>
              <w:keepNext w:val="0"/>
              <w:keepLines w:val="0"/>
              <w:suppressLineNumbers w:val="0"/>
              <w:spacing w:before="0" w:beforeAutospacing="0" w:after="0" w:afterAutospacing="0" w:line="360" w:lineRule="auto"/>
              <w:ind w:left="0" w:right="0" w:firstLine="465"/>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本项目施工期没有辐射污染源项，施工期主工程量小，施工时间短，非放射性物质产生量较小。</w:t>
            </w:r>
          </w:p>
          <w:p>
            <w:pPr>
              <w:keepNext w:val="0"/>
              <w:keepLines w:val="0"/>
              <w:suppressLineNumbers w:val="0"/>
              <w:spacing w:before="0" w:beforeAutospacing="0" w:after="0" w:afterAutospacing="0" w:line="360" w:lineRule="auto"/>
              <w:ind w:left="0" w:right="0" w:firstLine="465"/>
              <w:jc w:val="left"/>
              <w:rPr>
                <w:rFonts w:hint="default" w:ascii="Times New Roman" w:hAnsi="Times New Roman" w:cs="Times New Roman"/>
                <w:color w:val="auto"/>
                <w:sz w:val="24"/>
                <w:szCs w:val="24"/>
              </w:rPr>
            </w:pPr>
            <w:r>
              <w:rPr>
                <w:rFonts w:hint="eastAsia" w:ascii="Times New Roman" w:hAnsi="Times New Roman" w:cs="Times New Roman"/>
                <w:caps/>
                <w:color w:val="auto"/>
                <w:sz w:val="24"/>
                <w:highlight w:val="none"/>
                <w:lang w:val="en-US" w:eastAsia="zh-CN"/>
              </w:rPr>
              <w:t>射线装置的</w:t>
            </w:r>
            <w:r>
              <w:rPr>
                <w:rFonts w:hint="default" w:ascii="Times New Roman" w:hAnsi="Times New Roman" w:cs="Times New Roman"/>
                <w:color w:val="auto"/>
                <w:kern w:val="0"/>
                <w:sz w:val="24"/>
                <w:highlight w:val="none"/>
                <w:lang w:bidi="ar"/>
              </w:rPr>
              <w:fldChar w:fldCharType="begin"/>
            </w:r>
            <w:r>
              <w:rPr>
                <w:rFonts w:hint="default" w:ascii="Times New Roman" w:hAnsi="Times New Roman" w:cs="Times New Roman"/>
                <w:color w:val="auto"/>
                <w:kern w:val="0"/>
                <w:sz w:val="24"/>
                <w:highlight w:val="none"/>
                <w:lang w:bidi="ar"/>
              </w:rPr>
              <w:instrText xml:space="preserve"> HYPERLINK "https://mail.qq.com/cgi-bin/readmail?folderid=1&amp;folderkey=&amp;t=readmail&amp;mailid=ZC2429-gwrQywABHJx9aHQpL3vyM9b&amp;mode=pre&amp;maxage=3600&amp;base=12.530000000000001&amp;ver=17161&amp;sid=NL1JnlUzEpJ2fGA9" </w:instrText>
            </w:r>
            <w:r>
              <w:rPr>
                <w:rFonts w:hint="default" w:ascii="Times New Roman" w:hAnsi="Times New Roman" w:cs="Times New Roman"/>
                <w:color w:val="auto"/>
                <w:kern w:val="0"/>
                <w:sz w:val="24"/>
                <w:highlight w:val="none"/>
                <w:lang w:bidi="ar"/>
              </w:rPr>
              <w:fldChar w:fldCharType="separate"/>
            </w:r>
            <w:r>
              <w:rPr>
                <w:rStyle w:val="22"/>
                <w:rFonts w:hint="default" w:ascii="Times New Roman" w:hAnsi="Times New Roman" w:cs="Times New Roman"/>
                <w:color w:val="auto"/>
                <w:sz w:val="24"/>
                <w:szCs w:val="24"/>
                <w:highlight w:val="none"/>
              </w:rPr>
              <w:t>安装、调试</w:t>
            </w:r>
            <w:r>
              <w:rPr>
                <w:rStyle w:val="22"/>
                <w:rFonts w:hint="eastAsia" w:ascii="Times New Roman" w:hAnsi="Times New Roman" w:cs="Times New Roman"/>
                <w:color w:val="auto"/>
                <w:sz w:val="24"/>
                <w:szCs w:val="24"/>
                <w:highlight w:val="none"/>
                <w:lang w:val="en-US" w:eastAsia="zh-CN"/>
              </w:rPr>
              <w:t>须</w:t>
            </w:r>
            <w:r>
              <w:rPr>
                <w:rStyle w:val="22"/>
                <w:rFonts w:hint="default" w:ascii="Times New Roman" w:hAnsi="Times New Roman" w:cs="Times New Roman"/>
                <w:color w:val="auto"/>
                <w:sz w:val="24"/>
                <w:szCs w:val="24"/>
                <w:highlight w:val="none"/>
              </w:rPr>
              <w:t>由设备厂家专业人员操作，同时加强辐射防护管理，严格限制无关人员靠近，防止发生辐射事故。</w:t>
            </w:r>
            <w:r>
              <w:rPr>
                <w:rFonts w:hint="default" w:ascii="Times New Roman" w:hAnsi="Times New Roman" w:cs="Times New Roman"/>
                <w:color w:val="auto"/>
                <w:kern w:val="0"/>
                <w:sz w:val="24"/>
                <w:highlight w:val="none"/>
                <w:lang w:bidi="ar"/>
              </w:rPr>
              <w:fldChar w:fldCharType="end"/>
            </w:r>
            <w:r>
              <w:rPr>
                <w:rFonts w:hint="default" w:ascii="Times New Roman" w:hAnsi="Times New Roman" w:cs="Times New Roman"/>
                <w:color w:val="auto"/>
                <w:sz w:val="24"/>
                <w:highlight w:val="none"/>
              </w:rPr>
              <w:t>由于设备的安装和调试均在</w:t>
            </w:r>
            <w:r>
              <w:rPr>
                <w:rFonts w:hint="eastAsia" w:ascii="Times New Roman" w:hAnsi="Times New Roman" w:cs="Times New Roman"/>
                <w:color w:val="auto"/>
                <w:sz w:val="24"/>
                <w:highlight w:val="none"/>
                <w:lang w:val="en-US" w:eastAsia="zh-CN"/>
              </w:rPr>
              <w:t>射线装置</w:t>
            </w:r>
            <w:r>
              <w:rPr>
                <w:rFonts w:hint="eastAsia" w:ascii="Times New Roman" w:hAnsi="Times New Roman" w:cs="Times New Roman"/>
                <w:color w:val="auto"/>
                <w:sz w:val="24"/>
                <w:highlight w:val="none"/>
                <w:lang w:eastAsia="zh-CN"/>
              </w:rPr>
              <w:t>机房</w:t>
            </w:r>
            <w:r>
              <w:rPr>
                <w:rFonts w:hint="default" w:ascii="Times New Roman" w:hAnsi="Times New Roman" w:cs="Times New Roman"/>
                <w:color w:val="auto"/>
                <w:sz w:val="24"/>
                <w:highlight w:val="none"/>
              </w:rPr>
              <w:t>内进行，经过墙体的屏蔽和距离衰减后对环境的影响是可接受的。设备安装完成后，医院方需及时回收包装材料及其它固体废物并作为一般固体废物进行处置，不得随意丢弃</w:t>
            </w:r>
            <w:r>
              <w:rPr>
                <w:rFonts w:hint="default" w:ascii="Times New Roman" w:hAnsi="Times New Roman" w:cs="Times New Roman"/>
                <w:caps/>
                <w:color w:val="auto"/>
                <w:sz w:val="24"/>
                <w:highlight w:val="none"/>
              </w:rPr>
              <w:t>。</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非放环境影响因子</w:t>
            </w:r>
          </w:p>
          <w:p>
            <w:pPr>
              <w:keepNext w:val="0"/>
              <w:keepLines w:val="0"/>
              <w:suppressLineNumbers w:val="0"/>
              <w:spacing w:before="0" w:beforeAutospacing="0" w:after="0" w:afterAutospacing="0" w:line="360" w:lineRule="auto"/>
              <w:ind w:left="0" w:right="0" w:firstLine="465"/>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施工期非放环境影响因子主要是：废气、废水、噪声和固体废物。</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eastAsia="zh-CN"/>
              </w:rPr>
              <w:t>二、</w:t>
            </w:r>
            <w:r>
              <w:rPr>
                <w:rFonts w:hint="default" w:ascii="Times New Roman" w:hAnsi="Times New Roman" w:cs="Times New Roman"/>
                <w:b/>
                <w:bCs/>
                <w:color w:val="auto"/>
                <w:sz w:val="28"/>
                <w:szCs w:val="28"/>
              </w:rPr>
              <w:t>运行期</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1、电离辐射</w:t>
            </w:r>
          </w:p>
          <w:p>
            <w:pPr>
              <w:keepNext w:val="0"/>
              <w:keepLines w:val="0"/>
              <w:suppressLineNumbers w:val="0"/>
              <w:spacing w:before="0" w:beforeAutospacing="0" w:after="0" w:afterAutospacing="0" w:line="360" w:lineRule="auto"/>
              <w:ind w:left="0" w:right="0" w:firstLine="465"/>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10MV直线加速器在开机状态下产生的X射线和电子</w:t>
            </w:r>
            <w:r>
              <w:rPr>
                <w:rFonts w:hint="default" w:ascii="Times New Roman" w:hAnsi="Times New Roman" w:cs="Times New Roman"/>
                <w:color w:val="auto"/>
                <w:sz w:val="24"/>
                <w:szCs w:val="24"/>
                <w:lang w:val="en-US" w:eastAsia="zh-CN"/>
              </w:rPr>
              <w:t>线</w:t>
            </w:r>
            <w:r>
              <w:rPr>
                <w:rFonts w:hint="default" w:ascii="Times New Roman" w:hAnsi="Times New Roman" w:cs="Times New Roman"/>
                <w:color w:val="auto"/>
                <w:sz w:val="24"/>
                <w:szCs w:val="24"/>
              </w:rPr>
              <w:t>。加速器开机期间内，X射线及高能电子束为主要辐射环境污染因素，辐射途径为外照射</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15MV医用</w:t>
            </w:r>
            <w:r>
              <w:rPr>
                <w:rFonts w:hint="default" w:ascii="Times New Roman" w:hAnsi="Times New Roman" w:cs="Times New Roman"/>
                <w:color w:val="auto"/>
                <w:sz w:val="24"/>
                <w:szCs w:val="24"/>
              </w:rPr>
              <w:t>直线加速器在开机状态下产生的X射线</w:t>
            </w:r>
            <w:r>
              <w:rPr>
                <w:rFonts w:hint="default" w:ascii="Times New Roman" w:hAnsi="Times New Roman" w:cs="Times New Roman"/>
                <w:color w:val="auto"/>
                <w:sz w:val="24"/>
                <w:szCs w:val="24"/>
                <w:lang w:val="en-US" w:eastAsia="zh-CN"/>
              </w:rPr>
              <w:t>、电子束、中子、感生放射性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后装机在放射治疗过程中产生的β</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γ射线</w:t>
            </w:r>
            <w:r>
              <w:rPr>
                <w:rFonts w:hint="default" w:ascii="Times New Roman" w:hAnsi="Times New Roman" w:cs="Times New Roman"/>
                <w:color w:val="auto"/>
                <w:sz w:val="24"/>
                <w:szCs w:val="24"/>
                <w:lang w:val="en-US" w:eastAsia="zh-CN"/>
              </w:rPr>
              <w:t>。</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2、废气</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直线</w:t>
            </w:r>
            <w:r>
              <w:rPr>
                <w:rFonts w:hint="default" w:ascii="Times New Roman" w:hAnsi="Times New Roman" w:cs="Times New Roman"/>
                <w:color w:val="auto"/>
                <w:sz w:val="24"/>
                <w:szCs w:val="24"/>
              </w:rPr>
              <w:t>加速器开机运行时产生的X</w:t>
            </w:r>
            <w:r>
              <w:rPr>
                <w:rFonts w:hint="eastAsia" w:ascii="Times New Roman" w:hAnsi="Times New Roman" w:cs="Times New Roman"/>
                <w:color w:val="auto"/>
                <w:sz w:val="24"/>
                <w:szCs w:val="24"/>
                <w:lang w:val="en-US" w:eastAsia="zh-CN"/>
              </w:rPr>
              <w:t>射线</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后</w:t>
            </w:r>
            <w:r>
              <w:rPr>
                <w:rFonts w:hint="default" w:ascii="Times New Roman" w:hAnsi="Times New Roman" w:cs="Times New Roman"/>
                <w:color w:val="auto"/>
                <w:sz w:val="24"/>
                <w:szCs w:val="24"/>
              </w:rPr>
              <w:t>装机</w:t>
            </w:r>
            <w:r>
              <w:rPr>
                <w:rFonts w:hint="default" w:ascii="Times New Roman" w:hAnsi="Times New Roman" w:cs="Times New Roman"/>
                <w:color w:val="auto"/>
                <w:sz w:val="24"/>
                <w:szCs w:val="24"/>
                <w:lang w:val="en-US" w:eastAsia="zh-CN"/>
              </w:rPr>
              <w:t>所用放射源γ</w:t>
            </w:r>
            <w:r>
              <w:rPr>
                <w:rFonts w:hint="default" w:ascii="Times New Roman" w:hAnsi="Times New Roman" w:cs="Times New Roman"/>
                <w:color w:val="auto"/>
                <w:sz w:val="24"/>
                <w:szCs w:val="24"/>
              </w:rPr>
              <w:t>射线与空气中的氧气相互作用产生少量氮氧化物(NO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)和臭氧(O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)，相比之下臭氧的产额高，臭氧危害性较氮氧化物大，氮氧化物的影可忽略。</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3、固体废物</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辐射工作人员产生少量生活垃圾及办公垃圾。</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在放射源使用一定</w:t>
            </w:r>
            <w:r>
              <w:rPr>
                <w:rFonts w:hint="default" w:ascii="Times New Roman" w:hAnsi="Times New Roman" w:cs="Times New Roman"/>
                <w:color w:val="auto"/>
                <w:sz w:val="24"/>
                <w:szCs w:val="24"/>
                <w:lang w:val="en-US" w:eastAsia="zh-CN"/>
              </w:rPr>
              <w:t>时间</w:t>
            </w:r>
            <w:r>
              <w:rPr>
                <w:rFonts w:hint="default" w:ascii="Times New Roman" w:hAnsi="Times New Roman" w:cs="Times New Roman"/>
                <w:color w:val="auto"/>
                <w:sz w:val="24"/>
                <w:szCs w:val="24"/>
              </w:rPr>
              <w:t>后，放射源衰变至其活度不能满足放射治疗需要时，将更换放射源，从而产生退役的废放射源。</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4、废水</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工作人员和患者产生的生活污水。</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5、噪声</w:t>
            </w:r>
          </w:p>
          <w:p>
            <w:pPr>
              <w:keepNext w:val="0"/>
              <w:keepLines w:val="0"/>
              <w:suppressLineNumbers w:val="0"/>
              <w:spacing w:before="0" w:beforeAutospacing="0" w:after="0" w:afterAutospacing="0" w:line="360" w:lineRule="auto"/>
              <w:ind w:left="0" w:right="0" w:firstLine="465"/>
              <w:jc w:val="left"/>
              <w:rPr>
                <w:rFonts w:hint="default" w:ascii="Times New Roman" w:hAnsi="Times New Roman" w:cs="Times New Roman"/>
                <w:color w:val="auto"/>
                <w:sz w:val="24"/>
              </w:rPr>
            </w:pPr>
            <w:r>
              <w:rPr>
                <w:rFonts w:hint="default" w:ascii="Times New Roman" w:hAnsi="Times New Roman" w:cs="Times New Roman"/>
                <w:color w:val="auto"/>
                <w:sz w:val="24"/>
                <w:szCs w:val="24"/>
              </w:rPr>
              <w:t>本项目噪声源主要为风机、</w:t>
            </w:r>
            <w:r>
              <w:rPr>
                <w:rFonts w:hint="default" w:ascii="Times New Roman" w:hAnsi="Times New Roman" w:cs="Times New Roman"/>
                <w:color w:val="auto"/>
                <w:sz w:val="24"/>
                <w:szCs w:val="24"/>
                <w:lang w:val="en-US" w:eastAsia="zh-CN"/>
              </w:rPr>
              <w:t>水冷机房水泵和空调产生的</w:t>
            </w:r>
            <w:r>
              <w:rPr>
                <w:rFonts w:hint="default" w:ascii="Times New Roman" w:hAnsi="Times New Roman" w:cs="Times New Roman"/>
                <w:color w:val="auto"/>
                <w:sz w:val="24"/>
                <w:szCs w:val="24"/>
              </w:rPr>
              <w:t>噪声</w:t>
            </w:r>
            <w:r>
              <w:rPr>
                <w:rFonts w:hint="default" w:ascii="Times New Roman" w:hAnsi="Times New Roman" w:cs="Times New Roman"/>
                <w:color w:val="auto"/>
                <w:sz w:val="24"/>
                <w:szCs w:val="24"/>
                <w:lang w:eastAsia="zh-CN"/>
              </w:rPr>
              <w:t>。</w:t>
            </w: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kern w:val="2"/>
                <w:sz w:val="24"/>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kern w:val="2"/>
                <w:sz w:val="24"/>
                <w:lang w:eastAsia="zh-CN"/>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kern w:val="2"/>
                <w:sz w:val="24"/>
                <w:lang w:eastAsia="zh-CN"/>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kern w:val="2"/>
                <w:sz w:val="24"/>
                <w:lang w:eastAsia="zh-CN"/>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kern w:val="2"/>
                <w:sz w:val="24"/>
                <w:lang w:eastAsia="zh-CN"/>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kern w:val="2"/>
                <w:sz w:val="24"/>
                <w:lang w:eastAsia="zh-CN"/>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kern w:val="2"/>
                <w:sz w:val="24"/>
                <w:lang w:eastAsia="zh-CN"/>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kern w:val="2"/>
                <w:sz w:val="24"/>
                <w:lang w:eastAsia="zh-CN"/>
              </w:rPr>
            </w:pPr>
          </w:p>
          <w:p>
            <w:pPr>
              <w:pStyle w:val="2"/>
              <w:keepNext w:val="0"/>
              <w:keepLines w:val="0"/>
              <w:suppressLineNumbers w:val="0"/>
              <w:spacing w:before="0" w:beforeAutospacing="0" w:after="0" w:afterAutospacing="0"/>
              <w:ind w:left="0" w:right="0"/>
              <w:rPr>
                <w:rFonts w:hint="eastAsia" w:ascii="Times New Roman" w:hAnsi="Times New Roman" w:cs="Times New Roman"/>
                <w:color w:val="auto"/>
                <w:kern w:val="2"/>
                <w:sz w:val="24"/>
                <w:lang w:eastAsia="zh-CN"/>
              </w:rPr>
            </w:pPr>
          </w:p>
        </w:tc>
      </w:tr>
    </w:tbl>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65" w:name="_Toc25859"/>
      <w:r>
        <w:rPr>
          <w:rFonts w:hint="default" w:ascii="Times New Roman" w:hAnsi="Times New Roman" w:eastAsia="宋体" w:cs="Times New Roman"/>
          <w:b/>
          <w:bCs w:val="0"/>
          <w:color w:val="auto"/>
          <w:kern w:val="0"/>
          <w:sz w:val="30"/>
          <w:szCs w:val="30"/>
        </w:rPr>
        <w:t>表10  辐射安全与防护</w:t>
      </w:r>
      <w:bookmarkEnd w:id="65"/>
    </w:p>
    <w:tbl>
      <w:tblPr>
        <w:tblStyle w:val="17"/>
        <w:tblW w:w="906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trPr>
        <w:tc>
          <w:tcPr>
            <w:tcW w:w="9060" w:type="dxa"/>
          </w:tcPr>
          <w:p>
            <w:pPr>
              <w:keepNext w:val="0"/>
              <w:keepLines w:val="0"/>
              <w:suppressLineNumbers w:val="0"/>
              <w:spacing w:before="0" w:beforeAutospacing="0" w:after="0" w:afterAutospacing="0"/>
              <w:ind w:left="0" w:right="0"/>
              <w:jc w:val="left"/>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项目安全设施</w:t>
            </w:r>
          </w:p>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一、</w:t>
            </w:r>
            <w:r>
              <w:rPr>
                <w:rFonts w:hint="default" w:ascii="Times New Roman" w:hAnsi="Times New Roman" w:cs="Times New Roman"/>
                <w:b/>
                <w:color w:val="auto"/>
                <w:sz w:val="28"/>
                <w:szCs w:val="28"/>
                <w:lang w:val="en-US" w:eastAsia="zh-CN"/>
              </w:rPr>
              <w:t>工作场所布局与分区</w:t>
            </w:r>
          </w:p>
          <w:p>
            <w:pPr>
              <w:pStyle w:val="2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lang w:val="en-US" w:eastAsia="zh-CN"/>
              </w:rPr>
              <w:t>本项目位于</w:t>
            </w:r>
            <w:r>
              <w:rPr>
                <w:rFonts w:hint="default" w:ascii="Times New Roman" w:hAnsi="Times New Roman" w:cs="Times New Roman"/>
                <w:color w:val="auto"/>
                <w:sz w:val="24"/>
                <w:szCs w:val="24"/>
                <w:highlight w:val="none"/>
                <w:lang w:eastAsia="zh-CN"/>
              </w:rPr>
              <w:t>四川省成都市温江区柳城镇麻市街33号</w:t>
            </w:r>
            <w:r>
              <w:rPr>
                <w:rFonts w:hint="eastAsia" w:ascii="Times New Roman" w:hAnsi="Times New Roman" w:cs="Times New Roman"/>
                <w:color w:val="auto"/>
                <w:sz w:val="24"/>
                <w:szCs w:val="24"/>
                <w:highlight w:val="none"/>
                <w:lang w:eastAsia="zh-CN"/>
              </w:rPr>
              <w:t>成都市第五人民医院门急诊住院综合楼配套工程（三期）负三层放疗中心内</w:t>
            </w:r>
            <w:r>
              <w:rPr>
                <w:rFonts w:hint="default" w:ascii="Times New Roman" w:hAnsi="Times New Roman" w:cs="Times New Roman"/>
                <w:color w:val="auto"/>
                <w:sz w:val="24"/>
                <w:szCs w:val="24"/>
                <w:highlight w:val="none"/>
                <w:lang w:val="en-US" w:eastAsia="zh-CN"/>
              </w:rPr>
              <w:t>，周</w:t>
            </w:r>
            <w:r>
              <w:rPr>
                <w:rFonts w:hint="default" w:ascii="Times New Roman" w:hAnsi="Times New Roman" w:eastAsia="宋体" w:cs="Times New Roman"/>
                <w:color w:val="auto"/>
                <w:sz w:val="24"/>
                <w:szCs w:val="24"/>
                <w:highlight w:val="none"/>
                <w:lang w:val="en-US" w:eastAsia="zh-CN"/>
              </w:rPr>
              <w:t>围布置情况如下所述：</w:t>
            </w:r>
          </w:p>
          <w:p>
            <w:pPr>
              <w:pStyle w:val="23"/>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color w:val="auto"/>
                <w:sz w:val="24"/>
                <w:szCs w:val="24"/>
                <w:highlight w:val="none"/>
                <w:lang w:val="en-US" w:eastAsia="zh-CN"/>
              </w:rPr>
              <w:t>1#、2#、3#加速器治疗室</w:t>
            </w:r>
            <w:r>
              <w:rPr>
                <w:rFonts w:hint="default" w:ascii="Times New Roman" w:hAnsi="Times New Roman" w:eastAsia="宋体" w:cs="Times New Roman"/>
                <w:color w:val="auto"/>
                <w:sz w:val="24"/>
                <w:szCs w:val="24"/>
                <w:highlight w:val="none"/>
                <w:lang w:eastAsia="zh-CN"/>
              </w:rPr>
              <w:t>自西</w:t>
            </w:r>
            <w:r>
              <w:rPr>
                <w:rFonts w:hint="default" w:ascii="Times New Roman" w:hAnsi="Times New Roman" w:eastAsia="宋体"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eastAsia="zh-CN"/>
              </w:rPr>
              <w:t>向东</w:t>
            </w:r>
            <w:r>
              <w:rPr>
                <w:rFonts w:hint="default"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eastAsia="zh-CN"/>
              </w:rPr>
              <w:t>呈“一”字排开</w:t>
            </w:r>
            <w:r>
              <w:rPr>
                <w:rFonts w:hint="default" w:ascii="Times New Roman" w:hAnsi="Times New Roman" w:eastAsia="宋体" w:cs="Times New Roman"/>
                <w:color w:val="auto"/>
                <w:sz w:val="24"/>
                <w:szCs w:val="24"/>
                <w:highlight w:val="none"/>
                <w:lang w:val="en-US" w:eastAsia="zh-CN"/>
              </w:rPr>
              <w:t>、后装治疗室位于1#东南部</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其西北部设有水冷机房</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空调机房、共用辅助水冷机房、补风机房；东北部设有融铅室、热疗室；东南部设有候诊区、1#、2#、3#加速器控制室</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1#、2#加速器患者准备区、3#加速器患者准备区</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注射抢救室。</w:t>
            </w:r>
          </w:p>
          <w:p>
            <w:pPr>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本项目各辐射工作场所设有专用的候诊区域，就诊通道，医生用房独立成区，病人、医生流线尽量互不交叉。医院总图布置时已考虑了项目特点和周围环境对本项目可能存在的影响，使各科室病人能够就近诊疗，这样既方便了诊疗，又使辐射工作场所相对集中，以便于医院对</w:t>
            </w:r>
            <w:r>
              <w:rPr>
                <w:rFonts w:hint="default" w:ascii="Times New Roman" w:hAnsi="Times New Roman" w:cs="Times New Roman"/>
                <w:color w:val="auto"/>
                <w:sz w:val="24"/>
                <w:highlight w:val="none"/>
                <w:lang w:val="en-US" w:eastAsia="zh-CN"/>
              </w:rPr>
              <w:t>辐射工作场所的集中统一管理。</w:t>
            </w:r>
            <w:r>
              <w:rPr>
                <w:rFonts w:hint="default" w:ascii="Times New Roman" w:hAnsi="Times New Roman" w:cs="Times New Roman"/>
                <w:color w:val="auto"/>
                <w:sz w:val="24"/>
                <w:highlight w:val="none"/>
              </w:rPr>
              <w:t>因此，本评价认为本项目总平面布置是合理的</w:t>
            </w:r>
            <w:r>
              <w:rPr>
                <w:rFonts w:hint="default" w:ascii="Times New Roman" w:hAnsi="Times New Roman" w:cs="Times New Roman"/>
                <w:color w:val="auto"/>
                <w:sz w:val="24"/>
                <w:highlight w:val="none"/>
                <w:lang w:eastAsia="zh-CN"/>
              </w:rPr>
              <w:t>。</w:t>
            </w:r>
          </w:p>
          <w:p>
            <w:pPr>
              <w:keepNext/>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二、辐射工作场所两区划分</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为了便于加强管理，切实做好辐射安全防范工作，按照《电离辐射防护与辐射源安全基本标准》（GB18871-2002）要求在辐射工作场所内划出控制区和监督区。</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控制区：在正常工作情况下控制正常照射或防止污染扩散，以及在一定程度上预防或限制潜在照射，要求或可能要求专门防护手段和安全措施的限定区域。在控制区的进出口及其他适当位置处设立醒目的警告标志并给出相应的辐射水平和污染水平的指示。运用行政管理程序如进入控制区的工作许可证和实体屏蔽（包括门锁和</w:t>
            </w:r>
            <w:r>
              <w:rPr>
                <w:rFonts w:hint="eastAsia" w:ascii="Times New Roman" w:hAnsi="Times New Roman" w:cs="Times New Roman"/>
                <w:color w:val="auto"/>
                <w:sz w:val="24"/>
                <w:highlight w:val="none"/>
                <w:lang w:eastAsia="zh-CN"/>
              </w:rPr>
              <w:t>联锁</w:t>
            </w:r>
            <w:r>
              <w:rPr>
                <w:rFonts w:hint="default" w:ascii="Times New Roman" w:hAnsi="Times New Roman" w:cs="Times New Roman"/>
                <w:color w:val="auto"/>
                <w:sz w:val="24"/>
                <w:highlight w:val="none"/>
              </w:rPr>
              <w:t>装置）限制进出控制区，放射性操作区应与非放射性工作区隔开。</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督区：未被确定为控制区，正常情况下不需要采取专门防护手段或安全措施，但要不断检查其职业照射状况的制定区域。在监督区入口处的合适位置张贴辐射危险警示标志；并定期检查工作状况，确认是否需要防护措施和安全条件，或是否需要更改监督区的边界。</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4"/>
                <w:highlight w:val="none"/>
              </w:rPr>
              <w:t>结合项目诊治、辐射防护和环境情况特点，将辐射工作场所划分为控制区，而设备的</w:t>
            </w:r>
            <w:r>
              <w:rPr>
                <w:rFonts w:hint="default" w:ascii="Times New Roman" w:hAnsi="Times New Roman" w:cs="Times New Roman"/>
                <w:color w:val="auto"/>
                <w:sz w:val="24"/>
                <w:highlight w:val="none"/>
                <w:lang w:eastAsia="zh-CN"/>
              </w:rPr>
              <w:t>控制室（</w:t>
            </w:r>
            <w:r>
              <w:rPr>
                <w:rFonts w:hint="default" w:ascii="Times New Roman" w:hAnsi="Times New Roman" w:cs="Times New Roman"/>
                <w:color w:val="auto"/>
                <w:sz w:val="24"/>
                <w:highlight w:val="none"/>
                <w:lang w:val="en-US" w:eastAsia="zh-CN"/>
              </w:rPr>
              <w:t>控制室</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及其它相关工作场所等均划为监督区。其项目控制区和监督区划分情况见表10-</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，并在</w:t>
            </w:r>
            <w:r>
              <w:rPr>
                <w:rFonts w:hint="eastAsia" w:ascii="Times New Roman" w:hAnsi="Times New Roman" w:cs="Times New Roman"/>
                <w:color w:val="auto"/>
                <w:sz w:val="24"/>
                <w:highlight w:val="none"/>
                <w:lang w:val="en-US" w:eastAsia="zh-CN"/>
              </w:rPr>
              <w:t>附</w:t>
            </w:r>
            <w:r>
              <w:rPr>
                <w:rFonts w:hint="default" w:ascii="Times New Roman" w:hAnsi="Times New Roman" w:cs="Times New Roman"/>
                <w:color w:val="auto"/>
                <w:sz w:val="24"/>
                <w:highlight w:val="none"/>
              </w:rPr>
              <w:t>图1</w:t>
            </w:r>
            <w:r>
              <w:rPr>
                <w:rFonts w:hint="eastAsia" w:ascii="Times New Roman" w:hAnsi="Times New Roman" w:cs="Times New Roman"/>
                <w:color w:val="auto"/>
                <w:sz w:val="24"/>
                <w:highlight w:val="none"/>
                <w:lang w:val="en-US" w:eastAsia="zh-CN"/>
              </w:rPr>
              <w:t>3、附图14</w:t>
            </w:r>
            <w:r>
              <w:rPr>
                <w:rFonts w:hint="default" w:ascii="Times New Roman" w:hAnsi="Times New Roman" w:cs="Times New Roman"/>
                <w:color w:val="auto"/>
                <w:sz w:val="24"/>
                <w:highlight w:val="none"/>
              </w:rPr>
              <w:t>上进行了标识</w:t>
            </w:r>
            <w:r>
              <w:rPr>
                <w:rFonts w:hint="default" w:ascii="Times New Roman" w:hAnsi="Times New Roman" w:cs="Times New Roman"/>
                <w:color w:val="auto"/>
                <w:sz w:val="24"/>
                <w:highlight w:val="none"/>
                <w:lang w:eastAsia="zh-CN"/>
              </w:rPr>
              <w:t>。</w:t>
            </w:r>
          </w:p>
          <w:p>
            <w:pPr>
              <w:keepNext w:val="0"/>
              <w:keepLines w:val="0"/>
              <w:suppressLineNumbers w:val="0"/>
              <w:spacing w:before="0" w:beforeAutospacing="0" w:after="0" w:afterAutospacing="0" w:line="240" w:lineRule="auto"/>
              <w:ind w:left="0" w:right="0" w:firstLine="405" w:firstLineChars="192"/>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表10-</w:t>
            </w:r>
            <w:r>
              <w:rPr>
                <w:rFonts w:hint="default" w:ascii="Times New Roman" w:hAnsi="Times New Roman" w:cs="Times New Roman"/>
                <w:b/>
                <w:bCs/>
                <w:color w:val="auto"/>
                <w:sz w:val="21"/>
                <w:szCs w:val="21"/>
                <w:highlight w:val="none"/>
                <w:lang w:val="en-US" w:eastAsia="zh-CN"/>
              </w:rPr>
              <w:t xml:space="preserve">1  </w:t>
            </w:r>
            <w:r>
              <w:rPr>
                <w:rFonts w:hint="default" w:ascii="Times New Roman" w:hAnsi="Times New Roman" w:eastAsia="宋体" w:cs="Times New Roman"/>
                <w:b/>
                <w:bCs/>
                <w:color w:val="auto"/>
                <w:sz w:val="21"/>
                <w:szCs w:val="21"/>
                <w:highlight w:val="none"/>
              </w:rPr>
              <w:t>本项目控制区和监督区划分情况</w:t>
            </w:r>
            <w:r>
              <w:rPr>
                <w:rFonts w:hint="default" w:ascii="Times New Roman" w:hAnsi="Times New Roman" w:cs="Times New Roman"/>
                <w:b/>
                <w:bCs/>
                <w:color w:val="auto"/>
                <w:sz w:val="21"/>
                <w:szCs w:val="21"/>
                <w:highlight w:val="none"/>
                <w:lang w:val="en-US" w:eastAsia="zh-CN"/>
              </w:rPr>
              <w:t>表</w:t>
            </w:r>
          </w:p>
          <w:tbl>
            <w:tblPr>
              <w:tblStyle w:val="17"/>
              <w:tblW w:w="8978" w:type="dxa"/>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1244"/>
              <w:gridCol w:w="3605"/>
              <w:gridCol w:w="4129"/>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36" w:hRule="atLeast"/>
                <w:jc w:val="center"/>
              </w:trPr>
              <w:tc>
                <w:tcPr>
                  <w:tcW w:w="124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科室名称</w:t>
                  </w:r>
                </w:p>
              </w:tc>
              <w:tc>
                <w:tcPr>
                  <w:tcW w:w="36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控制区</w:t>
                  </w:r>
                </w:p>
              </w:tc>
              <w:tc>
                <w:tcPr>
                  <w:tcW w:w="412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监督区</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681" w:hRule="atLeast"/>
                <w:jc w:val="center"/>
              </w:trPr>
              <w:tc>
                <w:tcPr>
                  <w:tcW w:w="124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放疗中心</w:t>
                  </w:r>
                </w:p>
              </w:tc>
              <w:tc>
                <w:tcPr>
                  <w:tcW w:w="36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1#加速器治疗室、2#加速器治疗室、3#加速器治疗室、后装治疗室</w:t>
                  </w:r>
                </w:p>
              </w:tc>
              <w:tc>
                <w:tcPr>
                  <w:tcW w:w="412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val="0"/>
                      <w:color w:val="auto"/>
                      <w:sz w:val="21"/>
                      <w:szCs w:val="21"/>
                      <w:highlight w:val="none"/>
                      <w:lang w:val="en-US"/>
                    </w:rPr>
                  </w:pPr>
                  <w:r>
                    <w:rPr>
                      <w:rFonts w:hint="eastAsia" w:ascii="Times New Roman" w:hAnsi="Times New Roman"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lang w:val="en-US" w:eastAsia="zh-CN"/>
                    </w:rPr>
                    <w:t>2#</w:t>
                  </w:r>
                  <w:r>
                    <w:rPr>
                      <w:rFonts w:hint="eastAsia" w:ascii="Times New Roman" w:hAnsi="Times New Roman"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控制室、女更衣室、1#、</w:t>
                  </w:r>
                  <w:r>
                    <w:rPr>
                      <w:rFonts w:hint="default" w:ascii="Times New Roman" w:hAnsi="Times New Roman" w:cs="Times New Roman"/>
                      <w:b w:val="0"/>
                      <w:bCs w:val="0"/>
                      <w:color w:val="auto"/>
                      <w:sz w:val="21"/>
                      <w:szCs w:val="21"/>
                      <w:highlight w:val="none"/>
                      <w:lang w:val="en-US" w:eastAsia="zh-CN"/>
                    </w:rPr>
                    <w:t>2#</w:t>
                  </w:r>
                  <w:r>
                    <w:rPr>
                      <w:rFonts w:hint="eastAsia" w:ascii="Times New Roman" w:hAnsi="Times New Roman" w:cs="Times New Roman"/>
                      <w:b w:val="0"/>
                      <w:bCs w:val="0"/>
                      <w:color w:val="auto"/>
                      <w:sz w:val="21"/>
                      <w:szCs w:val="21"/>
                      <w:highlight w:val="none"/>
                      <w:lang w:val="en-US" w:eastAsia="zh-CN"/>
                    </w:rPr>
                    <w:t>治疗室患者准备区、注射抢救室、后装控制室、迷路门前区域</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黑体" w:cs="Times New Roman"/>
                <w:b w:val="0"/>
                <w:bCs w:val="0"/>
                <w:color w:val="auto"/>
                <w:sz w:val="24"/>
                <w:highlight w:val="none"/>
              </w:rPr>
            </w:pPr>
            <w:r>
              <w:rPr>
                <w:rFonts w:hint="default" w:ascii="Times New Roman" w:hAnsi="Times New Roman" w:eastAsia="黑体" w:cs="Times New Roman"/>
                <w:b w:val="0"/>
                <w:bCs w:val="0"/>
                <w:color w:val="auto"/>
                <w:sz w:val="24"/>
                <w:highlight w:val="none"/>
              </w:rPr>
              <w:t>1、控制区防护手段与安全措施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①控制区进出口及其它适当位置处设立醒目的警告标志（图10-</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3951605" cy="1957705"/>
                  <wp:effectExtent l="0" t="0" r="10795" b="4445"/>
                  <wp:docPr id="1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2"/>
                          <pic:cNvPicPr>
                            <a:picLocks noChangeAspect="1"/>
                          </pic:cNvPicPr>
                        </pic:nvPicPr>
                        <pic:blipFill>
                          <a:blip r:embed="rId14"/>
                          <a:stretch>
                            <a:fillRect/>
                          </a:stretch>
                        </pic:blipFill>
                        <pic:spPr>
                          <a:xfrm>
                            <a:off x="0" y="0"/>
                            <a:ext cx="3951605" cy="195770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图10-</w:t>
            </w:r>
            <w:r>
              <w:rPr>
                <w:rFonts w:hint="eastAsia"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电离辐射标志和电离辐射警告标志图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②制定职业防护与安全管理措施，包括适用于控制区的规则和程序；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③运用行政管理程序（如进入控制区的工作许可制度）和实体屏障（包括门锁）限制进出控制区；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④在更衣室备有个人防护用品、工作服、污染监测仪和被污染防护衣具的贮存柜；</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⑤定期审查控制区的实际状况，以确保是否有必要改变该区的防护手段、安全措施或该区的边界。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黑体" w:cs="Times New Roman"/>
                <w:b w:val="0"/>
                <w:bCs w:val="0"/>
                <w:color w:val="auto"/>
                <w:sz w:val="24"/>
                <w:highlight w:val="none"/>
              </w:rPr>
            </w:pPr>
            <w:r>
              <w:rPr>
                <w:rFonts w:hint="default" w:ascii="Times New Roman" w:hAnsi="Times New Roman" w:eastAsia="黑体" w:cs="Times New Roman"/>
                <w:b w:val="0"/>
                <w:bCs w:val="0"/>
                <w:color w:val="auto"/>
                <w:sz w:val="24"/>
                <w:highlight w:val="none"/>
              </w:rPr>
              <w:t>2、监督区防护手段与安全措施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①以黄线警示监督区为边界；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②在监督区的入口处的适当地点设立表明监督区的标牌；</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bCs/>
                <w:color w:val="auto"/>
                <w:sz w:val="28"/>
                <w:szCs w:val="28"/>
                <w:lang w:val="en-US" w:eastAsia="zh-CN"/>
              </w:rPr>
            </w:pPr>
            <w:r>
              <w:rPr>
                <w:rFonts w:hint="default" w:ascii="Times New Roman" w:hAnsi="Times New Roman" w:cs="Times New Roman"/>
                <w:color w:val="auto"/>
                <w:sz w:val="24"/>
                <w:highlight w:val="none"/>
              </w:rPr>
              <w:t>③定期检查该区的条件，以确定是否需要采取防护措施和做出安全规定，或是否需要更改监督区的边界</w:t>
            </w:r>
            <w:r>
              <w:rPr>
                <w:rFonts w:hint="default" w:ascii="Times New Roman" w:hAnsi="Times New Roman" w:cs="Times New Roman"/>
                <w:color w:val="auto"/>
                <w:sz w:val="24"/>
                <w:highlight w:val="none"/>
                <w:lang w:eastAsia="zh-CN"/>
              </w:rPr>
              <w:t>。</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eastAsia="zh-CN"/>
              </w:rPr>
              <w:t>三</w:t>
            </w:r>
            <w:r>
              <w:rPr>
                <w:rFonts w:hint="default" w:ascii="Times New Roman" w:hAnsi="Times New Roman" w:cs="Times New Roman"/>
                <w:b/>
                <w:bCs/>
                <w:color w:val="auto"/>
                <w:sz w:val="28"/>
                <w:szCs w:val="28"/>
              </w:rPr>
              <w:t>、直线加速器的安全与防护</w:t>
            </w:r>
          </w:p>
          <w:p>
            <w:pPr>
              <w:keepNext w:val="0"/>
              <w:keepLines w:val="0"/>
              <w:suppressLineNumbers w:val="0"/>
              <w:spacing w:before="0" w:beforeAutospacing="0" w:after="0" w:afterAutospacing="0"/>
              <w:ind w:left="0" w:right="0"/>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eastAsia="zh-CN"/>
              </w:rPr>
              <w:t>（</w:t>
            </w:r>
            <w:r>
              <w:rPr>
                <w:rFonts w:hint="default" w:ascii="Times New Roman" w:hAnsi="Times New Roman" w:eastAsia="宋体" w:cs="Times New Roman"/>
                <w:b/>
                <w:bCs w:val="0"/>
                <w:color w:val="auto"/>
                <w:sz w:val="28"/>
                <w:szCs w:val="28"/>
                <w:lang w:val="en-US" w:eastAsia="zh-CN"/>
              </w:rPr>
              <w:t>一</w:t>
            </w:r>
            <w:r>
              <w:rPr>
                <w:rFonts w:hint="default" w:ascii="Times New Roman" w:hAnsi="Times New Roman" w:eastAsia="宋体" w:cs="Times New Roman"/>
                <w:b/>
                <w:bCs w:val="0"/>
                <w:color w:val="auto"/>
                <w:sz w:val="28"/>
                <w:szCs w:val="28"/>
                <w:lang w:eastAsia="zh-CN"/>
              </w:rPr>
              <w:t>）</w:t>
            </w:r>
            <w:r>
              <w:rPr>
                <w:rFonts w:hint="default" w:ascii="Times New Roman" w:hAnsi="Times New Roman" w:eastAsia="宋体" w:cs="Times New Roman"/>
                <w:b/>
                <w:bCs w:val="0"/>
                <w:color w:val="auto"/>
                <w:sz w:val="28"/>
                <w:szCs w:val="28"/>
                <w:lang w:val="en-US" w:eastAsia="zh-CN"/>
              </w:rPr>
              <w:t>场所辐射防护屏蔽设计</w:t>
            </w:r>
          </w:p>
          <w:p>
            <w:pPr>
              <w:keepNext w:val="0"/>
              <w:keepLines w:val="0"/>
              <w:suppressLineNumbers w:val="0"/>
              <w:spacing w:before="0" w:beforeAutospacing="0" w:after="0" w:afterAutospacing="0" w:line="360" w:lineRule="auto"/>
              <w:ind w:left="0" w:right="0"/>
              <w:jc w:val="left"/>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cs="Times New Roman"/>
                <w:b/>
                <w:bCs/>
                <w:color w:val="auto"/>
                <w:sz w:val="28"/>
                <w:szCs w:val="28"/>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 xml:space="preserve">  1、医用直线加速器</w:t>
            </w:r>
          </w:p>
          <w:p>
            <w:pPr>
              <w:pStyle w:val="2"/>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bCs/>
                <w:color w:val="auto"/>
                <w:kern w:val="2"/>
              </w:rPr>
            </w:pPr>
            <w:r>
              <w:rPr>
                <w:rFonts w:hint="default" w:ascii="Times New Roman" w:hAnsi="Times New Roman" w:cs="Times New Roman"/>
                <w:bCs/>
                <w:color w:val="auto"/>
                <w:kern w:val="2"/>
              </w:rPr>
              <w:t>医院对</w:t>
            </w:r>
            <w:r>
              <w:rPr>
                <w:rFonts w:hint="eastAsia" w:ascii="Times New Roman" w:hAnsi="Times New Roman" w:cs="Times New Roman"/>
                <w:color w:val="auto"/>
                <w:kern w:val="2"/>
                <w:szCs w:val="21"/>
                <w:lang w:val="en-US" w:eastAsia="zh-CN"/>
              </w:rPr>
              <w:t>1#、2#、3#加速器治疗室</w:t>
            </w:r>
            <w:r>
              <w:rPr>
                <w:rFonts w:hint="default" w:ascii="Times New Roman" w:hAnsi="Times New Roman" w:cs="Times New Roman"/>
                <w:bCs/>
                <w:color w:val="auto"/>
                <w:kern w:val="2"/>
              </w:rPr>
              <w:t>采取了实体屏蔽措施，对机房使用面积按照</w:t>
            </w:r>
            <w:r>
              <w:rPr>
                <w:rFonts w:hint="default" w:ascii="Times New Roman" w:hAnsi="Times New Roman" w:cs="Times New Roman"/>
                <w:color w:val="auto"/>
                <w:kern w:val="2"/>
              </w:rPr>
              <w:t>《电子加速器放射治疗放射防护要求》（GBZ 126-2011）</w:t>
            </w:r>
            <w:r>
              <w:rPr>
                <w:rFonts w:hint="default" w:ascii="Times New Roman" w:hAnsi="Times New Roman" w:cs="Times New Roman"/>
                <w:bCs/>
                <w:color w:val="auto"/>
                <w:kern w:val="2"/>
              </w:rPr>
              <w:t>进行校核，</w:t>
            </w:r>
            <w:r>
              <w:rPr>
                <w:rFonts w:hint="eastAsia" w:ascii="Times New Roman" w:hAnsi="Times New Roman" w:cs="Times New Roman"/>
                <w:color w:val="auto"/>
                <w:kern w:val="2"/>
                <w:szCs w:val="21"/>
                <w:lang w:val="en-US" w:eastAsia="zh-CN"/>
              </w:rPr>
              <w:t>1#、2#、3#加速器治疗室</w:t>
            </w:r>
            <w:r>
              <w:rPr>
                <w:rFonts w:hint="default" w:ascii="Times New Roman" w:hAnsi="Times New Roman" w:cs="Times New Roman"/>
                <w:bCs/>
                <w:color w:val="auto"/>
                <w:kern w:val="2"/>
              </w:rPr>
              <w:t>实际使用面积为</w:t>
            </w:r>
            <w:r>
              <w:rPr>
                <w:rFonts w:hint="eastAsia" w:ascii="Times New Roman" w:hAnsi="Times New Roman" w:cs="Times New Roman"/>
                <w:bCs/>
                <w:color w:val="auto"/>
                <w:kern w:val="2"/>
                <w:lang w:val="en-US" w:eastAsia="zh-CN"/>
              </w:rPr>
              <w:t>60</w:t>
            </w:r>
            <w:r>
              <w:rPr>
                <w:rFonts w:hint="default" w:ascii="Times New Roman" w:hAnsi="Times New Roman" w:cs="Times New Roman"/>
                <w:bCs/>
                <w:color w:val="auto"/>
                <w:kern w:val="2"/>
              </w:rPr>
              <w:t>m</w:t>
            </w:r>
            <w:r>
              <w:rPr>
                <w:rFonts w:hint="default" w:ascii="Times New Roman" w:hAnsi="Times New Roman" w:cs="Times New Roman"/>
                <w:bCs/>
                <w:color w:val="auto"/>
                <w:kern w:val="2"/>
                <w:vertAlign w:val="superscript"/>
              </w:rPr>
              <w:t>2</w:t>
            </w:r>
            <w:r>
              <w:rPr>
                <w:rFonts w:hint="default" w:ascii="Times New Roman" w:hAnsi="Times New Roman" w:cs="Times New Roman"/>
                <w:bCs/>
                <w:color w:val="auto"/>
                <w:kern w:val="2"/>
              </w:rPr>
              <w:t>，大于</w:t>
            </w:r>
            <w:r>
              <w:rPr>
                <w:rFonts w:hint="default" w:ascii="Times New Roman" w:hAnsi="Times New Roman" w:cs="Times New Roman"/>
                <w:color w:val="auto"/>
                <w:kern w:val="2"/>
              </w:rPr>
              <w:t>GBZ 126-2011</w:t>
            </w:r>
            <w:r>
              <w:rPr>
                <w:rFonts w:hint="default" w:ascii="Times New Roman" w:hAnsi="Times New Roman" w:cs="Times New Roman"/>
                <w:bCs/>
                <w:color w:val="auto"/>
                <w:kern w:val="2"/>
              </w:rPr>
              <w:t>要求的机房实际使用面积为45m</w:t>
            </w:r>
            <w:r>
              <w:rPr>
                <w:rFonts w:hint="default" w:ascii="Times New Roman" w:hAnsi="Times New Roman" w:cs="Times New Roman"/>
                <w:bCs/>
                <w:color w:val="auto"/>
                <w:kern w:val="2"/>
                <w:vertAlign w:val="superscript"/>
              </w:rPr>
              <w:t>2</w:t>
            </w:r>
            <w:r>
              <w:rPr>
                <w:rFonts w:hint="default" w:ascii="Times New Roman" w:hAnsi="Times New Roman" w:cs="Times New Roman"/>
                <w:bCs/>
                <w:color w:val="auto"/>
                <w:kern w:val="2"/>
              </w:rPr>
              <w:t>。</w:t>
            </w:r>
            <w:r>
              <w:rPr>
                <w:rFonts w:hint="eastAsia" w:ascii="Times New Roman" w:hAnsi="Times New Roman" w:cs="Times New Roman"/>
                <w:color w:val="auto"/>
                <w:kern w:val="2"/>
                <w:szCs w:val="21"/>
                <w:lang w:val="en-US" w:eastAsia="zh-CN"/>
              </w:rPr>
              <w:t>1#、2#、3#加速器治疗室</w:t>
            </w:r>
            <w:r>
              <w:rPr>
                <w:rFonts w:hint="default" w:ascii="Times New Roman" w:hAnsi="Times New Roman" w:cs="Times New Roman"/>
                <w:bCs/>
                <w:color w:val="auto"/>
                <w:kern w:val="2"/>
              </w:rPr>
              <w:t>墙体、</w:t>
            </w:r>
            <w:r>
              <w:rPr>
                <w:rFonts w:hint="eastAsia" w:ascii="Times New Roman" w:hAnsi="Times New Roman" w:cs="Times New Roman"/>
                <w:bCs/>
                <w:color w:val="auto"/>
                <w:kern w:val="2"/>
                <w:lang w:eastAsia="zh-CN"/>
              </w:rPr>
              <w:t>迷路</w:t>
            </w:r>
            <w:r>
              <w:rPr>
                <w:rFonts w:hint="default" w:ascii="Times New Roman" w:hAnsi="Times New Roman" w:cs="Times New Roman"/>
                <w:bCs/>
                <w:color w:val="auto"/>
                <w:kern w:val="2"/>
              </w:rPr>
              <w:t>和顶部均采用混凝土作为防护，</w:t>
            </w:r>
            <w:r>
              <w:rPr>
                <w:rFonts w:hint="eastAsia" w:ascii="Times New Roman" w:hAnsi="Times New Roman" w:cs="Times New Roman"/>
                <w:color w:val="auto"/>
                <w:kern w:val="2"/>
                <w:szCs w:val="21"/>
                <w:lang w:val="en-US" w:eastAsia="zh-CN"/>
              </w:rPr>
              <w:t>1#、3#</w:t>
            </w:r>
            <w:r>
              <w:rPr>
                <w:rFonts w:hint="eastAsia" w:ascii="Times New Roman" w:hAnsi="Times New Roman" w:cs="Times New Roman"/>
                <w:bCs/>
                <w:color w:val="auto"/>
                <w:kern w:val="2"/>
                <w:lang w:eastAsia="zh-CN"/>
              </w:rPr>
              <w:t>防护门为15mm铅当量单扇电动推拉门，</w:t>
            </w:r>
            <w:r>
              <w:rPr>
                <w:rFonts w:hint="eastAsia" w:ascii="Times New Roman" w:hAnsi="Times New Roman" w:cs="Times New Roman"/>
                <w:color w:val="auto"/>
                <w:kern w:val="2"/>
                <w:szCs w:val="21"/>
                <w:lang w:val="en-US" w:eastAsia="zh-CN"/>
              </w:rPr>
              <w:t>2#</w:t>
            </w:r>
            <w:r>
              <w:rPr>
                <w:rFonts w:hint="eastAsia" w:ascii="Times New Roman" w:hAnsi="Times New Roman" w:cs="Times New Roman"/>
                <w:bCs/>
                <w:color w:val="auto"/>
                <w:kern w:val="2"/>
                <w:lang w:eastAsia="zh-CN"/>
              </w:rPr>
              <w:t>防护门为15mm铅当量</w:t>
            </w:r>
            <w:r>
              <w:rPr>
                <w:rFonts w:hint="eastAsia" w:ascii="Times New Roman" w:hAnsi="Times New Roman" w:cs="Times New Roman"/>
                <w:color w:val="auto"/>
                <w:kern w:val="2"/>
                <w:sz w:val="24"/>
                <w:szCs w:val="24"/>
                <w:highlight w:val="none"/>
                <w:lang w:val="en-US" w:eastAsia="zh-CN"/>
              </w:rPr>
              <w:t>+80mm含硼聚乙烯</w:t>
            </w:r>
            <w:r>
              <w:rPr>
                <w:rFonts w:hint="eastAsia" w:ascii="Times New Roman" w:hAnsi="Times New Roman" w:cs="Times New Roman"/>
                <w:bCs/>
                <w:color w:val="auto"/>
                <w:kern w:val="2"/>
                <w:lang w:eastAsia="zh-CN"/>
              </w:rPr>
              <w:t>单扇电动推拉门</w:t>
            </w:r>
            <w:r>
              <w:rPr>
                <w:rFonts w:hint="default" w:ascii="Times New Roman" w:hAnsi="Times New Roman" w:cs="Times New Roman"/>
                <w:bCs/>
                <w:color w:val="auto"/>
                <w:kern w:val="2"/>
              </w:rPr>
              <w:t>。本项目直线</w:t>
            </w:r>
            <w:r>
              <w:rPr>
                <w:rFonts w:hint="default" w:ascii="Times New Roman" w:hAnsi="Times New Roman" w:cs="Times New Roman"/>
                <w:bCs/>
                <w:color w:val="auto"/>
                <w:kern w:val="2"/>
                <w:lang w:eastAsia="zh-CN"/>
              </w:rPr>
              <w:t>加速器治疗室</w:t>
            </w:r>
            <w:r>
              <w:rPr>
                <w:rFonts w:hint="default" w:ascii="Times New Roman" w:hAnsi="Times New Roman" w:cs="Times New Roman"/>
                <w:bCs/>
                <w:color w:val="auto"/>
                <w:kern w:val="2"/>
              </w:rPr>
              <w:t>屏蔽</w:t>
            </w:r>
            <w:r>
              <w:rPr>
                <w:rFonts w:hint="default" w:ascii="Times New Roman" w:hAnsi="Times New Roman" w:cs="Times New Roman"/>
                <w:bCs/>
                <w:color w:val="auto"/>
                <w:kern w:val="2"/>
                <w:lang w:val="en-US" w:eastAsia="zh-CN"/>
              </w:rPr>
              <w:t>情况</w:t>
            </w:r>
            <w:r>
              <w:rPr>
                <w:rFonts w:hint="default" w:ascii="Times New Roman" w:hAnsi="Times New Roman" w:cs="Times New Roman"/>
                <w:bCs/>
                <w:color w:val="auto"/>
                <w:kern w:val="2"/>
              </w:rPr>
              <w:t>具体如表10-</w:t>
            </w:r>
            <w:r>
              <w:rPr>
                <w:rFonts w:hint="eastAsia" w:ascii="Times New Roman" w:hAnsi="Times New Roman" w:cs="Times New Roman"/>
                <w:bCs/>
                <w:color w:val="auto"/>
                <w:kern w:val="2"/>
                <w:lang w:val="en-US" w:eastAsia="zh-CN"/>
              </w:rPr>
              <w:t>2</w:t>
            </w:r>
            <w:r>
              <w:rPr>
                <w:rFonts w:hint="default" w:ascii="Times New Roman" w:hAnsi="Times New Roman" w:cs="Times New Roman"/>
                <w:bCs/>
                <w:color w:val="auto"/>
                <w:kern w:val="2"/>
              </w:rPr>
              <w:t>所示：</w:t>
            </w:r>
          </w:p>
          <w:p>
            <w:pPr>
              <w:keepNext w:val="0"/>
              <w:keepLines w:val="0"/>
              <w:suppressLineNumbers w:val="0"/>
              <w:snapToGrid w:val="0"/>
              <w:spacing w:before="0" w:beforeLines="50" w:beforeAutospacing="0" w:after="0" w:afterAutospacing="0" w:line="360" w:lineRule="auto"/>
              <w:ind w:left="0" w:right="0"/>
              <w:jc w:val="center"/>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表10-</w:t>
            </w:r>
            <w:r>
              <w:rPr>
                <w:rFonts w:hint="eastAsia" w:ascii="Times New Roman" w:hAnsi="Times New Roman" w:cs="Times New Roman"/>
                <w:b/>
                <w:bCs/>
                <w:color w:val="auto"/>
                <w:spacing w:val="20"/>
                <w:sz w:val="21"/>
                <w:szCs w:val="21"/>
                <w:lang w:val="en-US" w:eastAsia="zh-CN"/>
              </w:rPr>
              <w:t>2</w:t>
            </w:r>
            <w:r>
              <w:rPr>
                <w:rFonts w:hint="default" w:ascii="Times New Roman" w:hAnsi="Times New Roman" w:cs="Times New Roman"/>
                <w:b/>
                <w:bCs/>
                <w:color w:val="auto"/>
                <w:sz w:val="21"/>
                <w:szCs w:val="21"/>
              </w:rPr>
              <w:t>放疗</w:t>
            </w:r>
            <w:r>
              <w:rPr>
                <w:rFonts w:hint="default" w:ascii="Times New Roman" w:hAnsi="Times New Roman" w:cs="Times New Roman"/>
                <w:b/>
                <w:bCs/>
                <w:color w:val="auto"/>
                <w:sz w:val="21"/>
                <w:szCs w:val="21"/>
                <w:lang w:val="en-US" w:eastAsia="zh-CN"/>
              </w:rPr>
              <w:t>中心</w:t>
            </w:r>
            <w:r>
              <w:rPr>
                <w:rFonts w:hint="default" w:ascii="Times New Roman" w:hAnsi="Times New Roman" w:cs="Times New Roman"/>
                <w:b/>
                <w:bCs/>
                <w:color w:val="auto"/>
                <w:sz w:val="21"/>
                <w:szCs w:val="21"/>
              </w:rPr>
              <w:t>医用直线加速器工作场所</w:t>
            </w:r>
            <w:r>
              <w:rPr>
                <w:rFonts w:hint="default" w:ascii="Times New Roman" w:hAnsi="Times New Roman" w:cs="Times New Roman"/>
                <w:b/>
                <w:bCs/>
                <w:color w:val="auto"/>
                <w:spacing w:val="20"/>
                <w:sz w:val="21"/>
                <w:szCs w:val="21"/>
              </w:rPr>
              <w:t>实体防护设施表</w:t>
            </w:r>
          </w:p>
          <w:tbl>
            <w:tblPr>
              <w:tblStyle w:val="17"/>
              <w:tblW w:w="88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7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pacing w:val="20"/>
                      <w:szCs w:val="21"/>
                    </w:rPr>
                  </w:pPr>
                  <w:r>
                    <w:rPr>
                      <w:rFonts w:hint="default" w:ascii="Times New Roman" w:hAnsi="Times New Roman" w:cs="Times New Roman"/>
                      <w:color w:val="auto"/>
                      <w:spacing w:val="20"/>
                      <w:szCs w:val="21"/>
                      <w:lang w:val="en-US" w:eastAsia="zh-CN"/>
                    </w:rPr>
                    <w:t>场所</w:t>
                  </w:r>
                  <w:r>
                    <w:rPr>
                      <w:rFonts w:hint="default" w:ascii="Times New Roman" w:hAnsi="Times New Roman" w:cs="Times New Roman"/>
                      <w:color w:val="auto"/>
                      <w:spacing w:val="20"/>
                      <w:szCs w:val="21"/>
                    </w:rPr>
                    <w:t>名称</w:t>
                  </w:r>
                </w:p>
              </w:tc>
              <w:tc>
                <w:tcPr>
                  <w:tcW w:w="7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pacing w:val="20"/>
                      <w:szCs w:val="21"/>
                      <w:lang w:val="en-US" w:eastAsia="zh-CN"/>
                    </w:rPr>
                  </w:pPr>
                  <w:r>
                    <w:rPr>
                      <w:rFonts w:hint="default" w:ascii="Times New Roman" w:hAnsi="Times New Roman" w:cs="Times New Roman"/>
                      <w:color w:val="auto"/>
                      <w:spacing w:val="20"/>
                      <w:szCs w:val="21"/>
                    </w:rPr>
                    <w:t>辐射防护设计</w:t>
                  </w:r>
                  <w:r>
                    <w:rPr>
                      <w:rFonts w:hint="default" w:ascii="Times New Roman" w:hAnsi="Times New Roman" w:cs="Times New Roman"/>
                      <w:color w:val="auto"/>
                      <w:spacing w:val="20"/>
                      <w:szCs w:val="21"/>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352" w:type="dxa"/>
                  <w:tcBorders>
                    <w:tl2br w:val="nil"/>
                    <w:tr2bl w:val="nil"/>
                  </w:tcBorders>
                  <w:vAlign w:val="center"/>
                </w:tcPr>
                <w:p>
                  <w:pPr>
                    <w:keepNext w:val="0"/>
                    <w:keepLines w:val="0"/>
                    <w:suppressLineNumbers w:val="0"/>
                    <w:snapToGrid w:val="0"/>
                    <w:spacing w:before="0" w:beforeLines="50" w:beforeAutospacing="0" w:after="0" w:afterAutospacing="0"/>
                    <w:ind w:left="0" w:right="0"/>
                    <w:jc w:val="center"/>
                    <w:rPr>
                      <w:rFonts w:hint="default" w:ascii="Times New Roman" w:hAnsi="Times New Roman" w:eastAsia="宋体" w:cs="Times New Roman"/>
                      <w:color w:val="auto"/>
                      <w:spacing w:val="20"/>
                      <w:szCs w:val="21"/>
                      <w:lang w:val="en-US" w:eastAsia="zh-CN"/>
                    </w:rPr>
                  </w:pPr>
                  <w:r>
                    <w:rPr>
                      <w:rFonts w:hint="eastAsia" w:ascii="Times New Roman" w:hAnsi="Times New Roman" w:cs="Times New Roman"/>
                      <w:color w:val="auto"/>
                      <w:szCs w:val="21"/>
                      <w:lang w:val="en-US" w:eastAsia="zh-CN"/>
                    </w:rPr>
                    <w:t>1#、2#、3#加速器治疗室</w:t>
                  </w:r>
                </w:p>
              </w:tc>
              <w:tc>
                <w:tcPr>
                  <w:tcW w:w="7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both"/>
                    <w:textAlignment w:val="auto"/>
                    <w:rPr>
                      <w:rFonts w:hint="default" w:ascii="Times New Roman" w:hAnsi="Times New Roman" w:cs="Times New Roman"/>
                      <w:color w:val="auto"/>
                      <w:spacing w:val="20"/>
                      <w:szCs w:val="21"/>
                    </w:rPr>
                  </w:pPr>
                  <w:r>
                    <w:rPr>
                      <w:rFonts w:hint="eastAsia" w:ascii="Times New Roman" w:hAnsi="Times New Roman" w:cs="Times New Roman"/>
                      <w:color w:val="auto"/>
                      <w:sz w:val="21"/>
                      <w:szCs w:val="21"/>
                      <w:highlight w:val="none"/>
                      <w:lang w:val="en-US" w:eastAsia="zh-CN"/>
                    </w:rPr>
                    <w:t>1#、2#、3#加速器治疗室结构均为钢筋混凝土，加速器</w:t>
                  </w:r>
                  <w:r>
                    <w:rPr>
                      <w:rFonts w:hint="default" w:ascii="Times New Roman" w:hAnsi="Times New Roman" w:cs="Times New Roman"/>
                      <w:color w:val="auto"/>
                      <w:sz w:val="21"/>
                      <w:szCs w:val="21"/>
                      <w:highlight w:val="none"/>
                    </w:rPr>
                    <w:t>主射方向</w:t>
                  </w:r>
                  <w:r>
                    <w:rPr>
                      <w:rFonts w:hint="eastAsia" w:ascii="Times New Roman" w:hAnsi="Times New Roman" w:cs="Times New Roman"/>
                      <w:color w:val="auto"/>
                      <w:sz w:val="21"/>
                      <w:szCs w:val="21"/>
                      <w:highlight w:val="none"/>
                      <w:lang w:val="en-US" w:eastAsia="zh-CN"/>
                    </w:rPr>
                    <w:t>均</w:t>
                  </w:r>
                  <w:r>
                    <w:rPr>
                      <w:rFonts w:hint="default" w:ascii="Times New Roman" w:hAnsi="Times New Roman" w:cs="Times New Roman"/>
                      <w:color w:val="auto"/>
                      <w:sz w:val="21"/>
                      <w:szCs w:val="21"/>
                      <w:highlight w:val="none"/>
                    </w:rPr>
                    <w:t>朝向</w:t>
                  </w:r>
                  <w:r>
                    <w:rPr>
                      <w:rFonts w:hint="eastAsia" w:ascii="Times New Roman" w:hAnsi="Times New Roman" w:cs="Times New Roman"/>
                      <w:color w:val="auto"/>
                      <w:sz w:val="21"/>
                      <w:szCs w:val="21"/>
                      <w:highlight w:val="none"/>
                      <w:lang w:val="en-US" w:eastAsia="zh-CN"/>
                    </w:rPr>
                    <w:t>东北部、西南部、顶部、底部</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1#、2#、3#加速器治疗室东南部均设有</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L</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型迷路，迷路内墙厚1200mm，外墙厚1700mm；1#加速器治疗室东北部、2#加速器治疗室东北部及西南部、3#加速器治疗室西南部</w:t>
                  </w:r>
                  <w:r>
                    <w:rPr>
                      <w:rFonts w:hint="default" w:ascii="Times New Roman" w:hAnsi="Times New Roman" w:cs="Times New Roman"/>
                      <w:color w:val="auto"/>
                      <w:sz w:val="21"/>
                      <w:szCs w:val="21"/>
                      <w:highlight w:val="none"/>
                    </w:rPr>
                    <w:t>主屏蔽墙</w:t>
                  </w:r>
                  <w:r>
                    <w:rPr>
                      <w:rFonts w:hint="eastAsia" w:ascii="Times New Roman" w:hAnsi="Times New Roman" w:cs="Times New Roman"/>
                      <w:color w:val="auto"/>
                      <w:sz w:val="21"/>
                      <w:szCs w:val="21"/>
                      <w:highlight w:val="none"/>
                      <w:lang w:val="en-US" w:eastAsia="zh-CN"/>
                    </w:rPr>
                    <w:t>均</w:t>
                  </w:r>
                  <w:r>
                    <w:rPr>
                      <w:rFonts w:hint="default" w:ascii="Times New Roman" w:hAnsi="Times New Roman" w:cs="Times New Roman"/>
                      <w:color w:val="auto"/>
                      <w:sz w:val="21"/>
                      <w:szCs w:val="21"/>
                      <w:highlight w:val="none"/>
                    </w:rPr>
                    <w:t>厚</w:t>
                  </w:r>
                  <w:r>
                    <w:rPr>
                      <w:rFonts w:hint="eastAsia" w:ascii="Times New Roman" w:hAnsi="Times New Roman" w:cs="Times New Roman"/>
                      <w:color w:val="auto"/>
                      <w:sz w:val="21"/>
                      <w:szCs w:val="21"/>
                      <w:highlight w:val="none"/>
                      <w:lang w:val="en-US" w:eastAsia="zh-CN"/>
                    </w:rPr>
                    <w:t>3000</w:t>
                  </w:r>
                  <w:r>
                    <w:rPr>
                      <w:rFonts w:hint="default" w:ascii="Times New Roman" w:hAnsi="Times New Roman" w:cs="Times New Roman"/>
                      <w:color w:val="auto"/>
                      <w:sz w:val="21"/>
                      <w:szCs w:val="21"/>
                      <w:highlight w:val="none"/>
                    </w:rPr>
                    <w:t>mm、宽4</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00mm，次屏蔽墙厚</w:t>
                  </w:r>
                  <w:r>
                    <w:rPr>
                      <w:rFonts w:hint="eastAsia" w:ascii="Times New Roman" w:hAnsi="Times New Roman" w:cs="Times New Roman"/>
                      <w:color w:val="auto"/>
                      <w:sz w:val="21"/>
                      <w:szCs w:val="21"/>
                      <w:highlight w:val="none"/>
                      <w:lang w:val="en-US" w:eastAsia="zh-CN"/>
                    </w:rPr>
                    <w:t>1800</w:t>
                  </w:r>
                  <w:r>
                    <w:rPr>
                      <w:rFonts w:hint="default" w:ascii="Times New Roman" w:hAnsi="Times New Roman" w:cs="Times New Roman"/>
                      <w:color w:val="auto"/>
                      <w:sz w:val="21"/>
                      <w:szCs w:val="21"/>
                      <w:highlight w:val="none"/>
                    </w:rPr>
                    <w:t>mm</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1#加速器治疗室西南部及顶部、2#加速器治疗室顶部、3#加速器治疗室东北部及顶部</w:t>
                  </w:r>
                  <w:r>
                    <w:rPr>
                      <w:rFonts w:hint="default" w:ascii="Times New Roman" w:hAnsi="Times New Roman" w:cs="Times New Roman"/>
                      <w:color w:val="auto"/>
                      <w:sz w:val="21"/>
                      <w:szCs w:val="21"/>
                      <w:highlight w:val="none"/>
                    </w:rPr>
                    <w:t>主屏蔽墙</w:t>
                  </w:r>
                  <w:r>
                    <w:rPr>
                      <w:rFonts w:hint="eastAsia" w:ascii="Times New Roman" w:hAnsi="Times New Roman" w:cs="Times New Roman"/>
                      <w:color w:val="auto"/>
                      <w:sz w:val="21"/>
                      <w:szCs w:val="21"/>
                      <w:highlight w:val="none"/>
                      <w:lang w:val="en-US" w:eastAsia="zh-CN"/>
                    </w:rPr>
                    <w:t>均</w:t>
                  </w:r>
                  <w:r>
                    <w:rPr>
                      <w:rFonts w:hint="default" w:ascii="Times New Roman" w:hAnsi="Times New Roman" w:cs="Times New Roman"/>
                      <w:color w:val="auto"/>
                      <w:sz w:val="21"/>
                      <w:szCs w:val="21"/>
                      <w:highlight w:val="none"/>
                    </w:rPr>
                    <w:t>厚</w:t>
                  </w:r>
                  <w:r>
                    <w:rPr>
                      <w:rFonts w:hint="eastAsia" w:ascii="Times New Roman" w:hAnsi="Times New Roman" w:cs="Times New Roman"/>
                      <w:color w:val="auto"/>
                      <w:sz w:val="21"/>
                      <w:szCs w:val="21"/>
                      <w:highlight w:val="none"/>
                      <w:lang w:val="en-US" w:eastAsia="zh-CN"/>
                    </w:rPr>
                    <w:t>3000</w:t>
                  </w:r>
                  <w:r>
                    <w:rPr>
                      <w:rFonts w:hint="default" w:ascii="Times New Roman" w:hAnsi="Times New Roman" w:cs="Times New Roman"/>
                      <w:color w:val="auto"/>
                      <w:sz w:val="21"/>
                      <w:szCs w:val="21"/>
                      <w:highlight w:val="none"/>
                    </w:rPr>
                    <w:t>mm、宽4000mm，次屏蔽墙厚</w:t>
                  </w:r>
                  <w:r>
                    <w:rPr>
                      <w:rFonts w:hint="eastAsia" w:ascii="Times New Roman" w:hAnsi="Times New Roman" w:cs="Times New Roman"/>
                      <w:color w:val="auto"/>
                      <w:sz w:val="21"/>
                      <w:szCs w:val="21"/>
                      <w:highlight w:val="none"/>
                      <w:lang w:val="en-US" w:eastAsia="zh-CN"/>
                    </w:rPr>
                    <w:t>1700</w:t>
                  </w:r>
                  <w:r>
                    <w:rPr>
                      <w:rFonts w:hint="default" w:ascii="Times New Roman" w:hAnsi="Times New Roman" w:cs="Times New Roman"/>
                      <w:color w:val="auto"/>
                      <w:sz w:val="21"/>
                      <w:szCs w:val="21"/>
                      <w:highlight w:val="none"/>
                    </w:rPr>
                    <w:t>mm</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1#加速器治疗室、2#加速器治疗室、3#加速器治疗室西北部</w:t>
                  </w:r>
                  <w:r>
                    <w:rPr>
                      <w:rFonts w:hint="default" w:ascii="Times New Roman" w:hAnsi="Times New Roman" w:cs="Times New Roman"/>
                      <w:color w:val="auto"/>
                      <w:sz w:val="21"/>
                      <w:szCs w:val="21"/>
                      <w:highlight w:val="none"/>
                    </w:rPr>
                    <w:t>屏蔽墙</w:t>
                  </w:r>
                  <w:r>
                    <w:rPr>
                      <w:rFonts w:hint="eastAsia" w:ascii="Times New Roman" w:hAnsi="Times New Roman" w:cs="Times New Roman"/>
                      <w:color w:val="auto"/>
                      <w:sz w:val="21"/>
                      <w:szCs w:val="21"/>
                      <w:highlight w:val="none"/>
                      <w:lang w:val="en-US" w:eastAsia="zh-CN"/>
                    </w:rPr>
                    <w:t>均厚1700</w:t>
                  </w:r>
                  <w:r>
                    <w:rPr>
                      <w:rFonts w:hint="default" w:ascii="Times New Roman" w:hAnsi="Times New Roman" w:cs="Times New Roman"/>
                      <w:color w:val="auto"/>
                      <w:sz w:val="21"/>
                      <w:szCs w:val="21"/>
                      <w:highlight w:val="none"/>
                    </w:rPr>
                    <w:t>mm</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1#加速器治疗室、3#加速器治疗室防护门均为15</w:t>
                  </w:r>
                  <w:r>
                    <w:rPr>
                      <w:rFonts w:hint="default" w:ascii="Times New Roman" w:hAnsi="Times New Roman" w:cs="Times New Roman"/>
                      <w:color w:val="auto"/>
                      <w:sz w:val="21"/>
                      <w:szCs w:val="21"/>
                      <w:highlight w:val="none"/>
                    </w:rPr>
                    <w:t>mm铅当量</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2#加速器治疗室</w:t>
                  </w:r>
                  <w:r>
                    <w:rPr>
                      <w:rFonts w:hint="default" w:ascii="Times New Roman" w:hAnsi="Times New Roman" w:cs="Times New Roman"/>
                      <w:color w:val="auto"/>
                      <w:sz w:val="21"/>
                      <w:szCs w:val="21"/>
                      <w:highlight w:val="none"/>
                    </w:rPr>
                    <w:t>防护门为</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mm铅当量</w:t>
                  </w:r>
                  <w:r>
                    <w:rPr>
                      <w:rFonts w:hint="eastAsia" w:ascii="Times New Roman" w:hAnsi="Times New Roman" w:cs="Times New Roman"/>
                      <w:color w:val="auto"/>
                      <w:sz w:val="21"/>
                      <w:szCs w:val="21"/>
                      <w:highlight w:val="none"/>
                      <w:lang w:val="en-US" w:eastAsia="zh-CN"/>
                    </w:rPr>
                    <w:t>+80mm含硼聚乙烯。</w:t>
                  </w:r>
                </w:p>
              </w:tc>
            </w:tr>
          </w:tbl>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18"/>
                <w:szCs w:val="18"/>
                <w:lang w:val="en-US" w:eastAsia="zh-CN"/>
              </w:rPr>
            </w:pPr>
            <w:r>
              <w:rPr>
                <w:rFonts w:hint="eastAsia" w:ascii="Times New Roman" w:hAnsi="Times New Roman"/>
                <w:color w:val="auto"/>
                <w:sz w:val="18"/>
                <w:szCs w:val="18"/>
                <w:lang w:val="en-US" w:eastAsia="zh-CN"/>
              </w:rPr>
              <w:t>注：混凝土密度为2.35g/cm</w:t>
            </w:r>
            <w:r>
              <w:rPr>
                <w:rFonts w:hint="eastAsia" w:ascii="Times New Roman" w:hAnsi="Times New Roman"/>
                <w:color w:val="auto"/>
                <w:sz w:val="18"/>
                <w:szCs w:val="18"/>
                <w:vertAlign w:val="superscript"/>
                <w:lang w:val="en-US" w:eastAsia="zh-CN"/>
              </w:rPr>
              <w:t>3</w:t>
            </w:r>
            <w:r>
              <w:rPr>
                <w:rFonts w:hint="eastAsia" w:ascii="Times New Roman" w:hAnsi="Times New Roman"/>
                <w:color w:val="auto"/>
                <w:sz w:val="18"/>
                <w:szCs w:val="18"/>
                <w:vertAlign w:val="baseline"/>
                <w:lang w:val="en-US" w:eastAsia="zh-CN"/>
              </w:rPr>
              <w:t>。</w:t>
            </w:r>
          </w:p>
          <w:p>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通风系统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1#、2#、3#加速器治疗室</w:t>
            </w:r>
            <w:r>
              <w:rPr>
                <w:rFonts w:hint="default" w:ascii="Times New Roman" w:hAnsi="Times New Roman" w:cs="Times New Roman"/>
                <w:color w:val="auto"/>
                <w:sz w:val="24"/>
                <w:lang w:val="en-US" w:eastAsia="zh-CN"/>
              </w:rPr>
              <w:t>治疗室</w:t>
            </w:r>
            <w:r>
              <w:rPr>
                <w:rFonts w:hint="default" w:ascii="Times New Roman" w:hAnsi="Times New Roman" w:cs="Times New Roman"/>
                <w:color w:val="auto"/>
                <w:sz w:val="24"/>
              </w:rPr>
              <w:t>排风系统</w:t>
            </w:r>
            <w:r>
              <w:rPr>
                <w:rFonts w:hint="default" w:ascii="Times New Roman" w:hAnsi="Times New Roman" w:cs="Times New Roman"/>
                <w:color w:val="auto"/>
                <w:sz w:val="24"/>
                <w:lang w:val="en-US" w:eastAsia="zh-CN"/>
              </w:rPr>
              <w:t>均</w:t>
            </w:r>
            <w:r>
              <w:rPr>
                <w:rFonts w:hint="default" w:ascii="Times New Roman" w:hAnsi="Times New Roman" w:cs="Times New Roman"/>
                <w:color w:val="auto"/>
                <w:sz w:val="24"/>
              </w:rPr>
              <w:t>采用全新风直流式送风形式</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三间治疗室通排风</w:t>
            </w:r>
            <w:r>
              <w:rPr>
                <w:rFonts w:hint="default" w:ascii="Times New Roman" w:hAnsi="Times New Roman" w:cs="Times New Roman"/>
                <w:color w:val="auto"/>
                <w:sz w:val="24"/>
              </w:rPr>
              <w:t>管道</w:t>
            </w:r>
            <w:r>
              <w:rPr>
                <w:rFonts w:hint="default" w:ascii="Times New Roman" w:hAnsi="Times New Roman" w:cs="Times New Roman"/>
                <w:color w:val="auto"/>
                <w:kern w:val="2"/>
                <w:sz w:val="24"/>
                <w:lang w:eastAsia="zh-CN"/>
              </w:rPr>
              <w:t>（</w:t>
            </w:r>
            <w:r>
              <w:rPr>
                <w:rFonts w:hint="default" w:ascii="Times New Roman" w:hAnsi="Times New Roman" w:cs="Times New Roman"/>
                <w:color w:val="auto"/>
                <w:kern w:val="2"/>
                <w:sz w:val="24"/>
                <w:lang w:val="en-US" w:eastAsia="zh-CN"/>
              </w:rPr>
              <w:t>400×550mm</w:t>
            </w:r>
            <w:r>
              <w:rPr>
                <w:rFonts w:hint="default" w:ascii="Times New Roman" w:hAnsi="Times New Roman" w:cs="Times New Roman"/>
                <w:color w:val="auto"/>
                <w:kern w:val="2"/>
                <w:sz w:val="24"/>
                <w:lang w:eastAsia="zh-CN"/>
              </w:rPr>
              <w:t>）</w:t>
            </w:r>
            <w:r>
              <w:rPr>
                <w:rFonts w:hint="default" w:ascii="Times New Roman" w:hAnsi="Times New Roman" w:cs="Times New Roman"/>
                <w:color w:val="auto"/>
                <w:kern w:val="2"/>
                <w:sz w:val="24"/>
                <w:lang w:val="en-US" w:eastAsia="zh-CN"/>
              </w:rPr>
              <w:t>均设置在迷路</w:t>
            </w:r>
            <w:r>
              <w:rPr>
                <w:rFonts w:hint="default" w:ascii="Times New Roman" w:hAnsi="Times New Roman" w:cs="Times New Roman"/>
                <w:color w:val="auto"/>
                <w:kern w:val="2"/>
                <w:sz w:val="24"/>
              </w:rPr>
              <w:t>门上方</w:t>
            </w:r>
            <w:r>
              <w:rPr>
                <w:rFonts w:hint="default" w:ascii="Times New Roman" w:hAnsi="Times New Roman" w:cs="Times New Roman"/>
                <w:color w:val="auto"/>
                <w:kern w:val="2"/>
                <w:sz w:val="24"/>
                <w:lang w:val="en-US" w:eastAsia="zh-CN"/>
              </w:rPr>
              <w:t>并采用</w:t>
            </w:r>
            <w:r>
              <w:rPr>
                <w:rFonts w:hint="default" w:ascii="Times New Roman" w:hAnsi="Times New Roman" w:cs="Times New Roman"/>
                <w:color w:val="auto"/>
                <w:kern w:val="2"/>
                <w:sz w:val="24"/>
                <w:lang w:eastAsia="zh-CN"/>
              </w:rPr>
              <w:t>“</w:t>
            </w:r>
            <w:r>
              <w:rPr>
                <w:rFonts w:hint="default" w:ascii="Times New Roman" w:hAnsi="Times New Roman" w:cs="Times New Roman"/>
                <w:color w:val="auto"/>
                <w:kern w:val="2"/>
                <w:sz w:val="24"/>
                <w:lang w:val="en-US" w:eastAsia="zh-CN"/>
              </w:rPr>
              <w:t>S</w:t>
            </w:r>
            <w:r>
              <w:rPr>
                <w:rFonts w:hint="default" w:ascii="Times New Roman" w:hAnsi="Times New Roman" w:cs="Times New Roman"/>
                <w:color w:val="auto"/>
                <w:kern w:val="2"/>
                <w:sz w:val="24"/>
                <w:lang w:eastAsia="zh-CN"/>
              </w:rPr>
              <w:t>”</w:t>
            </w:r>
            <w:r>
              <w:rPr>
                <w:rFonts w:hint="default" w:ascii="Times New Roman" w:hAnsi="Times New Roman" w:cs="Times New Roman"/>
                <w:color w:val="auto"/>
                <w:kern w:val="2"/>
                <w:sz w:val="24"/>
                <w:lang w:val="en-US" w:eastAsia="zh-CN"/>
              </w:rPr>
              <w:t>型方式</w:t>
            </w:r>
            <w:r>
              <w:rPr>
                <w:rFonts w:hint="default" w:ascii="Times New Roman" w:hAnsi="Times New Roman" w:cs="Times New Roman"/>
                <w:color w:val="auto"/>
                <w:kern w:val="2"/>
                <w:sz w:val="24"/>
              </w:rPr>
              <w:t>穿墙</w:t>
            </w:r>
            <w:r>
              <w:rPr>
                <w:rFonts w:hint="default" w:ascii="Times New Roman" w:hAnsi="Times New Roman" w:cs="Times New Roman"/>
                <w:color w:val="auto"/>
                <w:kern w:val="2"/>
                <w:sz w:val="24"/>
                <w:highlight w:val="none"/>
                <w:lang w:val="en-US" w:eastAsia="zh-CN"/>
              </w:rPr>
              <w:t>连接</w:t>
            </w:r>
            <w:r>
              <w:rPr>
                <w:rFonts w:hint="eastAsia" w:ascii="Times New Roman" w:hAnsi="Times New Roman" w:cs="Times New Roman"/>
                <w:color w:val="auto"/>
                <w:kern w:val="2"/>
                <w:sz w:val="24"/>
                <w:highlight w:val="none"/>
                <w:lang w:val="en-US" w:eastAsia="zh-CN"/>
              </w:rPr>
              <w:t>至西北部的空调机房</w:t>
            </w:r>
            <w:r>
              <w:rPr>
                <w:rFonts w:hint="default" w:ascii="Times New Roman" w:hAnsi="Times New Roman" w:cs="Times New Roman"/>
                <w:color w:val="auto"/>
                <w:kern w:val="2"/>
                <w:sz w:val="24"/>
              </w:rPr>
              <w:t>，</w:t>
            </w:r>
            <w:r>
              <w:rPr>
                <w:rFonts w:hint="eastAsia" w:ascii="Times New Roman" w:hAnsi="Times New Roman" w:cs="Times New Roman"/>
                <w:color w:val="auto"/>
                <w:kern w:val="2"/>
                <w:sz w:val="24"/>
                <w:lang w:val="en-US" w:eastAsia="zh-CN"/>
              </w:rPr>
              <w:t>后输送</w:t>
            </w:r>
            <w:r>
              <w:rPr>
                <w:rFonts w:hint="default" w:ascii="Times New Roman" w:hAnsi="Times New Roman" w:cs="Times New Roman"/>
                <w:color w:val="auto"/>
                <w:kern w:val="2"/>
                <w:sz w:val="24"/>
                <w:lang w:val="en-US" w:eastAsia="zh-CN"/>
              </w:rPr>
              <w:t>至楼顶朝西南方向排放</w:t>
            </w:r>
            <w:r>
              <w:rPr>
                <w:rFonts w:hint="default" w:ascii="Times New Roman" w:hAnsi="Times New Roman" w:cs="Times New Roman"/>
                <w:color w:val="auto"/>
                <w:kern w:val="2"/>
                <w:sz w:val="24"/>
              </w:rPr>
              <w:t>。</w:t>
            </w:r>
            <w:r>
              <w:rPr>
                <w:rFonts w:hint="default" w:ascii="Times New Roman" w:hAnsi="Times New Roman" w:cs="Times New Roman"/>
                <w:color w:val="auto"/>
                <w:kern w:val="2"/>
                <w:sz w:val="24"/>
                <w:lang w:eastAsia="zh-CN"/>
              </w:rPr>
              <w:t>气流组织为上送风、下排风。</w:t>
            </w:r>
            <w:r>
              <w:rPr>
                <w:rFonts w:hint="default" w:ascii="Times New Roman" w:hAnsi="Times New Roman" w:cs="Times New Roman"/>
                <w:color w:val="auto"/>
                <w:kern w:val="2"/>
                <w:sz w:val="24"/>
                <w:lang w:val="en-US" w:eastAsia="zh-CN"/>
              </w:rPr>
              <w:t>进排风管道均采用镀锌钢管道。</w:t>
            </w:r>
            <w:r>
              <w:rPr>
                <w:rFonts w:hint="eastAsia" w:ascii="Times New Roman" w:hAnsi="Times New Roman" w:cs="Times New Roman"/>
                <w:color w:val="auto"/>
                <w:kern w:val="2"/>
                <w:sz w:val="24"/>
                <w:lang w:eastAsia="zh-CN"/>
              </w:rPr>
              <w:t>1#、</w:t>
            </w:r>
            <w:r>
              <w:rPr>
                <w:rFonts w:hint="eastAsia" w:ascii="Times New Roman" w:hAnsi="Times New Roman" w:cs="Times New Roman"/>
                <w:color w:val="auto"/>
                <w:kern w:val="2"/>
                <w:sz w:val="24"/>
                <w:lang w:val="en-US" w:eastAsia="zh-CN"/>
              </w:rPr>
              <w:t>2#、</w:t>
            </w:r>
            <w:r>
              <w:rPr>
                <w:rFonts w:hint="eastAsia" w:ascii="Times New Roman" w:hAnsi="Times New Roman" w:cs="Times New Roman"/>
                <w:color w:val="auto"/>
                <w:kern w:val="2"/>
                <w:sz w:val="24"/>
                <w:lang w:eastAsia="zh-CN"/>
              </w:rPr>
              <w:t>3#加速器治疗室</w:t>
            </w:r>
            <w:r>
              <w:rPr>
                <w:rFonts w:hint="default" w:ascii="Times New Roman" w:hAnsi="Times New Roman" w:cs="Times New Roman"/>
                <w:color w:val="auto"/>
                <w:kern w:val="2"/>
                <w:sz w:val="24"/>
              </w:rPr>
              <w:t>每小时换气</w:t>
            </w:r>
            <w:r>
              <w:rPr>
                <w:rFonts w:hint="default" w:ascii="Times New Roman" w:hAnsi="Times New Roman" w:cs="Times New Roman"/>
                <w:color w:val="auto"/>
                <w:kern w:val="2"/>
                <w:sz w:val="24"/>
                <w:lang w:val="en-US" w:eastAsia="zh-CN"/>
              </w:rPr>
              <w:t>约10</w:t>
            </w:r>
            <w:r>
              <w:rPr>
                <w:rFonts w:hint="default" w:ascii="Times New Roman" w:hAnsi="Times New Roman" w:cs="Times New Roman"/>
                <w:color w:val="auto"/>
                <w:kern w:val="2"/>
                <w:sz w:val="24"/>
              </w:rPr>
              <w:t>次，</w:t>
            </w:r>
            <w:r>
              <w:rPr>
                <w:rFonts w:hint="eastAsia" w:ascii="Times New Roman" w:hAnsi="Times New Roman" w:cs="Times New Roman"/>
                <w:color w:val="auto"/>
                <w:kern w:val="2"/>
                <w:sz w:val="24"/>
                <w:lang w:eastAsia="zh-CN"/>
              </w:rPr>
              <w:t>排风量约</w:t>
            </w:r>
            <w:r>
              <w:rPr>
                <w:rFonts w:hint="eastAsia" w:ascii="Times New Roman" w:hAnsi="Times New Roman" w:cs="Times New Roman"/>
                <w:color w:val="auto"/>
                <w:kern w:val="2"/>
                <w:sz w:val="24"/>
                <w:lang w:val="en-US" w:eastAsia="zh-CN"/>
              </w:rPr>
              <w:t>4286.4</w:t>
            </w:r>
            <w:r>
              <w:rPr>
                <w:rFonts w:hint="default" w:ascii="Times New Roman" w:hAnsi="Times New Roman" w:cs="Times New Roman"/>
                <w:color w:val="auto"/>
                <w:kern w:val="2"/>
                <w:sz w:val="24"/>
              </w:rPr>
              <w:t>m</w:t>
            </w:r>
            <w:r>
              <w:rPr>
                <w:rFonts w:hint="default" w:ascii="Times New Roman" w:hAnsi="Times New Roman" w:cs="Times New Roman"/>
                <w:color w:val="auto"/>
                <w:kern w:val="2"/>
                <w:sz w:val="24"/>
                <w:vertAlign w:val="superscript"/>
              </w:rPr>
              <w:t>3</w:t>
            </w:r>
            <w:r>
              <w:rPr>
                <w:rFonts w:hint="default" w:ascii="Times New Roman" w:hAnsi="Times New Roman" w:cs="Times New Roman"/>
                <w:color w:val="auto"/>
                <w:kern w:val="2"/>
                <w:sz w:val="24"/>
              </w:rPr>
              <w:t>/h</w:t>
            </w:r>
            <w:r>
              <w:rPr>
                <w:rFonts w:hint="eastAsia" w:ascii="Times New Roman" w:hAnsi="Times New Roman" w:cs="Times New Roman"/>
                <w:color w:val="auto"/>
                <w:kern w:val="2"/>
                <w:sz w:val="24"/>
                <w:lang w:eastAsia="zh-CN"/>
              </w:rPr>
              <w:t>（</w:t>
            </w:r>
            <w:r>
              <w:rPr>
                <w:rFonts w:hint="eastAsia" w:ascii="Times New Roman" w:hAnsi="Times New Roman" w:cs="Times New Roman"/>
                <w:color w:val="auto"/>
                <w:kern w:val="2"/>
                <w:sz w:val="24"/>
                <w:lang w:val="en-US" w:eastAsia="zh-CN"/>
              </w:rPr>
              <w:t>见附图15</w:t>
            </w:r>
            <w:r>
              <w:rPr>
                <w:rFonts w:hint="eastAsia" w:ascii="Times New Roman" w:hAnsi="Times New Roman" w:cs="Times New Roman"/>
                <w:color w:val="auto"/>
                <w:kern w:val="2"/>
                <w:sz w:val="24"/>
                <w:lang w:eastAsia="zh-CN"/>
              </w:rPr>
              <w:t>）</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直线加速器的辐射防治措施</w:t>
            </w:r>
          </w:p>
          <w:p>
            <w:pPr>
              <w:pStyle w:val="28"/>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eastAsia="zh-CN"/>
              </w:rPr>
              <w:t>（</w:t>
            </w:r>
            <w:r>
              <w:rPr>
                <w:rFonts w:hint="default" w:ascii="Times New Roman" w:hAnsi="Times New Roman" w:eastAsia="宋体" w:cs="Times New Roman"/>
                <w:b/>
                <w:bCs w:val="0"/>
                <w:color w:val="auto"/>
                <w:sz w:val="24"/>
                <w:lang w:val="en-US" w:eastAsia="zh-CN"/>
              </w:rPr>
              <w:t>1</w:t>
            </w:r>
            <w:r>
              <w:rPr>
                <w:rFonts w:hint="default" w:ascii="Times New Roman" w:hAnsi="Times New Roman" w:eastAsia="宋体" w:cs="Times New Roman"/>
                <w:b/>
                <w:bCs w:val="0"/>
                <w:color w:val="auto"/>
                <w:sz w:val="24"/>
                <w:lang w:eastAsia="zh-CN"/>
              </w:rPr>
              <w:t>）</w:t>
            </w:r>
            <w:r>
              <w:rPr>
                <w:rFonts w:hint="default" w:ascii="Times New Roman" w:hAnsi="Times New Roman" w:eastAsia="宋体" w:cs="Times New Roman"/>
                <w:b/>
                <w:bCs w:val="0"/>
                <w:color w:val="auto"/>
                <w:sz w:val="24"/>
              </w:rPr>
              <w:t>对</w:t>
            </w:r>
            <w:r>
              <w:rPr>
                <w:rFonts w:hint="default" w:ascii="Times New Roman" w:hAnsi="Times New Roman" w:eastAsia="宋体" w:cs="Times New Roman"/>
                <w:b/>
                <w:bCs w:val="0"/>
                <w:color w:val="auto"/>
                <w:sz w:val="24"/>
                <w:szCs w:val="24"/>
                <w:lang w:val="en-US" w:eastAsia="zh-CN"/>
              </w:rPr>
              <w:t>10MV</w:t>
            </w:r>
            <w:r>
              <w:rPr>
                <w:rFonts w:hint="default" w:ascii="Times New Roman" w:hAnsi="Times New Roman" w:eastAsia="宋体" w:cs="Times New Roman"/>
                <w:b/>
                <w:bCs w:val="0"/>
                <w:color w:val="auto"/>
                <w:sz w:val="24"/>
                <w:szCs w:val="24"/>
              </w:rPr>
              <w:t>直线加速器</w:t>
            </w:r>
            <w:r>
              <w:rPr>
                <w:rFonts w:hint="default" w:ascii="Times New Roman" w:hAnsi="Times New Roman" w:eastAsia="宋体" w:cs="Times New Roman"/>
                <w:b/>
                <w:bCs w:val="0"/>
                <w:color w:val="auto"/>
                <w:sz w:val="24"/>
              </w:rPr>
              <w:t>电子线的防护措施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本项目10MV医用直线加速器在</w:t>
            </w:r>
            <w:r>
              <w:rPr>
                <w:rFonts w:hint="default" w:ascii="Times New Roman" w:hAnsi="Times New Roman" w:cs="Times New Roman"/>
                <w:color w:val="auto"/>
                <w:sz w:val="24"/>
                <w:lang w:val="en-US" w:eastAsia="zh-CN"/>
              </w:rPr>
              <w:t>以</w:t>
            </w:r>
            <w:r>
              <w:rPr>
                <w:rFonts w:hint="default" w:ascii="Times New Roman" w:hAnsi="Times New Roman" w:cs="Times New Roman"/>
                <w:color w:val="auto"/>
                <w:sz w:val="24"/>
              </w:rPr>
              <w:t>电子模式工作时，</w:t>
            </w:r>
            <w:r>
              <w:rPr>
                <w:rFonts w:hint="default" w:ascii="Times New Roman" w:hAnsi="Times New Roman" w:cs="Times New Roman"/>
                <w:color w:val="auto"/>
                <w:sz w:val="24"/>
                <w:lang w:eastAsia="zh-CN"/>
              </w:rPr>
              <w:t>最大电子线能量为2</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MeV</w:t>
            </w:r>
            <w:r>
              <w:rPr>
                <w:rFonts w:hint="default" w:ascii="Times New Roman" w:hAnsi="Times New Roman" w:cs="Times New Roman"/>
                <w:color w:val="auto"/>
                <w:sz w:val="24"/>
              </w:rPr>
              <w:t>，根据《辐射防护导论》，能量为E（MeV）的单能电子</w:t>
            </w:r>
            <w:r>
              <w:rPr>
                <w:rFonts w:hint="default" w:ascii="Times New Roman" w:hAnsi="Times New Roman" w:cs="Times New Roman"/>
                <w:color w:val="auto"/>
                <w:sz w:val="24"/>
                <w:lang w:val="en-US" w:eastAsia="zh-CN"/>
              </w:rPr>
              <w:t>线</w:t>
            </w:r>
            <w:r>
              <w:rPr>
                <w:rFonts w:hint="default" w:ascii="Times New Roman" w:hAnsi="Times New Roman" w:cs="Times New Roman"/>
                <w:color w:val="auto"/>
                <w:sz w:val="24"/>
              </w:rPr>
              <w:t>，在低Z物质中的</w:t>
            </w:r>
            <w:r>
              <w:rPr>
                <w:rFonts w:hint="default" w:ascii="Times New Roman" w:hAnsi="Times New Roman" w:cs="Times New Roman"/>
                <w:bCs/>
                <w:color w:val="auto"/>
                <w:sz w:val="24"/>
              </w:rPr>
              <w:t>射程（单位为g·cm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）约为能量（单位为MeV）的0.6倍。本项目以电子档工作时</w:t>
            </w:r>
            <w:r>
              <w:rPr>
                <w:rFonts w:hint="default" w:ascii="Times New Roman" w:hAnsi="Times New Roman" w:cs="Times New Roman"/>
                <w:bCs/>
                <w:color w:val="auto"/>
                <w:sz w:val="24"/>
                <w:lang w:eastAsia="zh-CN"/>
              </w:rPr>
              <w:t>最大电子线能量为2</w:t>
            </w:r>
            <w:r>
              <w:rPr>
                <w:rFonts w:hint="eastAsia" w:ascii="Times New Roman" w:hAnsi="Times New Roman" w:cs="Times New Roman"/>
                <w:bCs/>
                <w:color w:val="auto"/>
                <w:sz w:val="24"/>
                <w:lang w:val="en-US" w:eastAsia="zh-CN"/>
              </w:rPr>
              <w:t>1</w:t>
            </w:r>
            <w:r>
              <w:rPr>
                <w:rFonts w:hint="default" w:ascii="Times New Roman" w:hAnsi="Times New Roman" w:cs="Times New Roman"/>
                <w:bCs/>
                <w:color w:val="auto"/>
                <w:sz w:val="24"/>
                <w:lang w:eastAsia="zh-CN"/>
              </w:rPr>
              <w:t>MeV</w:t>
            </w:r>
            <w:r>
              <w:rPr>
                <w:rFonts w:hint="default" w:ascii="Times New Roman" w:hAnsi="Times New Roman" w:cs="Times New Roman"/>
                <w:bCs/>
                <w:color w:val="auto"/>
                <w:sz w:val="24"/>
              </w:rPr>
              <w:t>，射程为</w:t>
            </w:r>
            <w:r>
              <w:rPr>
                <w:rFonts w:hint="default" w:ascii="Times New Roman" w:hAnsi="Times New Roman" w:cs="Times New Roman"/>
                <w:bCs/>
                <w:color w:val="auto"/>
                <w:sz w:val="24"/>
                <w:lang w:val="en-US" w:eastAsia="zh-CN"/>
              </w:rPr>
              <w:t>2</w:t>
            </w:r>
            <w:r>
              <w:rPr>
                <w:rFonts w:hint="eastAsia" w:ascii="Times New Roman" w:hAnsi="Times New Roman" w:cs="Times New Roman"/>
                <w:bCs/>
                <w:color w:val="auto"/>
                <w:sz w:val="24"/>
                <w:lang w:val="en-US" w:eastAsia="zh-CN"/>
              </w:rPr>
              <w:t>1</w:t>
            </w:r>
            <w:r>
              <w:rPr>
                <w:rFonts w:hint="default" w:ascii="Times New Roman" w:hAnsi="Times New Roman" w:cs="Times New Roman"/>
                <w:bCs/>
                <w:color w:val="auto"/>
                <w:sz w:val="24"/>
              </w:rPr>
              <w:t>×0.6=</w:t>
            </w:r>
            <w:r>
              <w:rPr>
                <w:rFonts w:hint="default" w:ascii="Times New Roman" w:hAnsi="Times New Roman" w:cs="Times New Roman"/>
                <w:bCs/>
                <w:color w:val="auto"/>
                <w:sz w:val="24"/>
                <w:lang w:val="en-US" w:eastAsia="zh-CN"/>
              </w:rPr>
              <w:t>1</w:t>
            </w:r>
            <w:r>
              <w:rPr>
                <w:rFonts w:hint="eastAsia" w:ascii="Times New Roman" w:hAnsi="Times New Roman" w:cs="Times New Roman"/>
                <w:bCs/>
                <w:color w:val="auto"/>
                <w:sz w:val="24"/>
                <w:lang w:val="en-US" w:eastAsia="zh-CN"/>
              </w:rPr>
              <w:t>2.6</w:t>
            </w:r>
            <w:r>
              <w:rPr>
                <w:rFonts w:hint="default" w:ascii="Times New Roman" w:hAnsi="Times New Roman" w:cs="Times New Roman"/>
                <w:bCs/>
                <w:color w:val="auto"/>
                <w:sz w:val="24"/>
              </w:rPr>
              <w:t>g/cm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w:t>
            </w:r>
            <w:r>
              <w:rPr>
                <w:rFonts w:hint="default" w:ascii="Times New Roman" w:hAnsi="Times New Roman" w:cs="Times New Roman"/>
                <w:color w:val="auto"/>
                <w:sz w:val="24"/>
              </w:rPr>
              <w:t>可以估算出</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MeV的电子在密度为</w:t>
            </w:r>
            <w:r>
              <w:rPr>
                <w:rFonts w:hint="default" w:ascii="Times New Roman" w:hAnsi="Times New Roman" w:cs="Times New Roman"/>
                <w:color w:val="auto"/>
                <w:sz w:val="24"/>
                <w:highlight w:val="none"/>
              </w:rPr>
              <w:t>2.</w:t>
            </w:r>
            <w:r>
              <w:rPr>
                <w:rFonts w:hint="eastAsia" w:ascii="Times New Roman" w:hAnsi="Times New Roman" w:cs="Times New Roman"/>
                <w:color w:val="auto"/>
                <w:sz w:val="24"/>
                <w:highlight w:val="none"/>
                <w:lang w:val="en-US" w:eastAsia="zh-CN"/>
              </w:rPr>
              <w:t>27</w:t>
            </w:r>
            <w:r>
              <w:rPr>
                <w:rFonts w:hint="default" w:ascii="Times New Roman" w:hAnsi="Times New Roman" w:cs="Times New Roman"/>
                <w:color w:val="auto"/>
                <w:sz w:val="24"/>
                <w:highlight w:val="none"/>
              </w:rPr>
              <w:t>g·cm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的混凝土中的深度约为</w:t>
            </w:r>
            <w:r>
              <w:rPr>
                <w:rFonts w:hint="default" w:ascii="Times New Roman" w:hAnsi="Times New Roman" w:cs="Times New Roman"/>
                <w:color w:val="auto"/>
                <w:sz w:val="24"/>
                <w:highlight w:val="none"/>
                <w:lang w:val="en-US" w:eastAsia="zh-CN"/>
              </w:rPr>
              <w:t>5.</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cm</w:t>
            </w:r>
            <w:r>
              <w:rPr>
                <w:rFonts w:hint="default" w:ascii="Times New Roman" w:hAnsi="Times New Roman" w:cs="Times New Roman"/>
                <w:color w:val="auto"/>
                <w:sz w:val="24"/>
              </w:rPr>
              <w:t>，而本项目屏蔽体混凝土厚度最小为1</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0cm，对电子线能完全屏蔽，可不再作特殊的防护要求，可不再考虑对电子模式产生的X射线的屏蔽。</w:t>
            </w:r>
          </w:p>
          <w:p>
            <w:pPr>
              <w:pStyle w:val="2"/>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color w:val="auto"/>
                <w:kern w:val="2"/>
                <w:lang w:eastAsia="zh-CN"/>
              </w:rPr>
            </w:pPr>
            <w:r>
              <w:rPr>
                <w:rFonts w:hint="default" w:ascii="Times New Roman" w:hAnsi="Times New Roman" w:eastAsia="宋体" w:cs="Times New Roman"/>
                <w:b/>
                <w:bCs w:val="0"/>
                <w:color w:val="auto"/>
                <w:kern w:val="2"/>
                <w:sz w:val="24"/>
                <w:szCs w:val="24"/>
                <w:lang w:val="en-US" w:eastAsia="zh-CN" w:bidi="ar-SA"/>
              </w:rPr>
              <w:t>（2）对15MV直线加速器电子线的防护措施</w:t>
            </w:r>
          </w:p>
          <w:p>
            <w:pPr>
              <w:pStyle w:val="28"/>
              <w:keepNext w:val="0"/>
              <w:keepLines w:val="0"/>
              <w:pageBreakBefore w:val="0"/>
              <w:widowControl w:val="0"/>
              <w:suppressLineNumbers w:val="0"/>
              <w:kinsoku/>
              <w:wordWrap/>
              <w:overflowPunct/>
              <w:topLinePunct w:val="0"/>
              <w:autoSpaceDE/>
              <w:autoSpaceDN/>
              <w:bidi w:val="0"/>
              <w:adjustRightInd/>
              <w:snapToGrid/>
              <w:spacing w:before="79" w:beforeLines="25" w:beforeAutospacing="0" w:after="0" w:afterAutospacing="0" w:line="360" w:lineRule="auto"/>
              <w:ind w:left="0" w:right="0" w:firstLine="480" w:firstLineChars="200"/>
              <w:textAlignment w:val="auto"/>
              <w:rPr>
                <w:rFonts w:hint="default" w:ascii="Times New Roman" w:hAnsi="Times New Roman" w:cs="Times New Roman"/>
                <w:b w:val="0"/>
                <w:color w:val="auto"/>
                <w:sz w:val="24"/>
              </w:rPr>
            </w:pPr>
            <w:r>
              <w:rPr>
                <w:rFonts w:hint="default" w:ascii="Times New Roman" w:hAnsi="Times New Roman" w:cs="Times New Roman"/>
                <w:b w:val="0"/>
                <w:color w:val="auto"/>
                <w:sz w:val="24"/>
              </w:rPr>
              <w:t>本项目1</w:t>
            </w:r>
            <w:r>
              <w:rPr>
                <w:rFonts w:hint="default" w:ascii="Times New Roman" w:hAnsi="Times New Roman" w:cs="Times New Roman"/>
                <w:b w:val="0"/>
                <w:color w:val="auto"/>
                <w:sz w:val="24"/>
                <w:lang w:val="en-US" w:eastAsia="zh-CN"/>
              </w:rPr>
              <w:t>5</w:t>
            </w:r>
            <w:r>
              <w:rPr>
                <w:rFonts w:hint="default" w:ascii="Times New Roman" w:hAnsi="Times New Roman" w:cs="Times New Roman"/>
                <w:b w:val="0"/>
                <w:color w:val="auto"/>
                <w:sz w:val="24"/>
              </w:rPr>
              <w:t>MV医用直线加速器在按电子模式工作时，最大电子线能量为22MeV，根据《辐射防护导论》，能量为E（MeV）的单能电子束，在低Z物质中的射程（单位为g·cm</w:t>
            </w:r>
            <w:r>
              <w:rPr>
                <w:rFonts w:hint="default" w:ascii="Times New Roman" w:hAnsi="Times New Roman" w:cs="Times New Roman"/>
                <w:b w:val="0"/>
                <w:color w:val="auto"/>
                <w:sz w:val="24"/>
                <w:vertAlign w:val="superscript"/>
              </w:rPr>
              <w:t>-2</w:t>
            </w:r>
            <w:r>
              <w:rPr>
                <w:rFonts w:hint="default" w:ascii="Times New Roman" w:hAnsi="Times New Roman" w:cs="Times New Roman"/>
                <w:b w:val="0"/>
                <w:color w:val="auto"/>
                <w:sz w:val="24"/>
              </w:rPr>
              <w:t>）约为能量（单位为MeV）的0.6倍。本项目以电子档工作时最大电子线能量为22MeV，射程为22×0.6=13.2g/cm</w:t>
            </w:r>
            <w:r>
              <w:rPr>
                <w:rFonts w:hint="default" w:ascii="Times New Roman" w:hAnsi="Times New Roman" w:cs="Times New Roman"/>
                <w:b w:val="0"/>
                <w:color w:val="auto"/>
                <w:sz w:val="24"/>
                <w:vertAlign w:val="superscript"/>
              </w:rPr>
              <w:t>2</w:t>
            </w:r>
            <w:r>
              <w:rPr>
                <w:rFonts w:hint="default" w:ascii="Times New Roman" w:hAnsi="Times New Roman" w:cs="Times New Roman"/>
                <w:b w:val="0"/>
                <w:color w:val="auto"/>
                <w:sz w:val="24"/>
              </w:rPr>
              <w:t>，可以估算出22MeV的电子在密度为2.35g·cm</w:t>
            </w:r>
            <w:r>
              <w:rPr>
                <w:rFonts w:hint="default" w:ascii="Times New Roman" w:hAnsi="Times New Roman" w:cs="Times New Roman"/>
                <w:b w:val="0"/>
                <w:color w:val="auto"/>
                <w:sz w:val="24"/>
                <w:vertAlign w:val="superscript"/>
              </w:rPr>
              <w:t>-3</w:t>
            </w:r>
            <w:r>
              <w:rPr>
                <w:rFonts w:hint="default" w:ascii="Times New Roman" w:hAnsi="Times New Roman" w:cs="Times New Roman"/>
                <w:b w:val="0"/>
                <w:color w:val="auto"/>
                <w:sz w:val="24"/>
              </w:rPr>
              <w:t>的混凝土中的深度约为5.6cm，而本项目屏蔽体厚度最小的为</w:t>
            </w:r>
            <w:r>
              <w:rPr>
                <w:rFonts w:hint="default" w:ascii="Times New Roman" w:hAnsi="Times New Roman" w:cs="Times New Roman"/>
                <w:b w:val="0"/>
                <w:color w:val="auto"/>
                <w:sz w:val="24"/>
                <w:lang w:val="en-US" w:eastAsia="zh-CN"/>
              </w:rPr>
              <w:t>1</w:t>
            </w:r>
            <w:r>
              <w:rPr>
                <w:rFonts w:hint="eastAsia" w:ascii="Times New Roman" w:hAnsi="Times New Roman" w:cs="Times New Roman"/>
                <w:b w:val="0"/>
                <w:color w:val="auto"/>
                <w:sz w:val="24"/>
                <w:lang w:val="en-US" w:eastAsia="zh-CN"/>
              </w:rPr>
              <w:t>7</w:t>
            </w:r>
            <w:r>
              <w:rPr>
                <w:rFonts w:hint="default" w:ascii="Times New Roman" w:hAnsi="Times New Roman" w:cs="Times New Roman"/>
                <w:b w:val="0"/>
                <w:color w:val="auto"/>
                <w:sz w:val="24"/>
                <w:lang w:val="en-US" w:eastAsia="zh-CN"/>
              </w:rPr>
              <w:t>0</w:t>
            </w:r>
            <w:r>
              <w:rPr>
                <w:rFonts w:hint="default" w:ascii="Times New Roman" w:hAnsi="Times New Roman" w:cs="Times New Roman"/>
                <w:b w:val="0"/>
                <w:color w:val="auto"/>
                <w:sz w:val="24"/>
              </w:rPr>
              <w:t>cm混凝土，对电子线能产生完全屏蔽，可不再作特殊的防护要求，可不再考虑对电子模式产生的X射线的屏蔽。</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val="0"/>
                <w:bCs/>
                <w:color w:val="auto"/>
                <w:kern w:val="2"/>
                <w:sz w:val="24"/>
                <w:szCs w:val="24"/>
                <w:highlight w:val="none"/>
              </w:rPr>
            </w:pPr>
            <w:r>
              <w:rPr>
                <w:rFonts w:hint="default" w:ascii="Times New Roman" w:hAnsi="Times New Roman" w:eastAsia="宋体" w:cs="Times New Roman"/>
                <w:b/>
                <w:bCs w:val="0"/>
                <w:color w:val="auto"/>
                <w:kern w:val="2"/>
                <w:sz w:val="24"/>
                <w:szCs w:val="24"/>
                <w:lang w:val="en-US" w:eastAsia="zh-CN" w:bidi="ar-SA"/>
              </w:rPr>
              <w:t>（3）对15MV直线加速器中子的防护</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据《辐射防护手册（第一分册）》（原子能出版社1987年8月）10.4节电子加速器屏蔽，P448）描述，电子加速器屏蔽“在采用普通混凝土作屏蔽材料时，各种光中子的附加影响通常可以不必考虑。但是，当采用对中子屏蔽性能不好的材料（如钢、铅）时，则要注意校核中子剂量是否允许”。</w:t>
            </w:r>
          </w:p>
          <w:p>
            <w:pPr>
              <w:pStyle w:val="16"/>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对加速器机房</w:t>
            </w:r>
            <w:r>
              <w:rPr>
                <w:rFonts w:hint="eastAsia" w:ascii="Times New Roman" w:cs="Times New Roman"/>
                <w:color w:val="auto"/>
                <w:sz w:val="24"/>
                <w:szCs w:val="24"/>
                <w:highlight w:val="none"/>
                <w:lang w:eastAsia="zh-CN"/>
              </w:rPr>
              <w:t>迷路</w:t>
            </w:r>
            <w:r>
              <w:rPr>
                <w:rFonts w:hint="default" w:ascii="Times New Roman" w:hAnsi="Times New Roman" w:cs="Times New Roman"/>
                <w:color w:val="auto"/>
                <w:sz w:val="24"/>
                <w:szCs w:val="24"/>
                <w:highlight w:val="none"/>
              </w:rPr>
              <w:t>外口中子的屏蔽，按</w:t>
            </w:r>
            <w:r>
              <w:rPr>
                <w:rFonts w:hint="default" w:ascii="Times New Roman" w:hAnsi="Times New Roman" w:cs="Times New Roman"/>
                <w:bCs/>
                <w:color w:val="auto"/>
                <w:sz w:val="24"/>
                <w:szCs w:val="24"/>
                <w:highlight w:val="none"/>
              </w:rPr>
              <w:t>《辐射防护手册》第三分册4.2加速器的建筑物和辐射屏蔽（P</w:t>
            </w:r>
            <w:r>
              <w:rPr>
                <w:rFonts w:hint="default" w:ascii="Times New Roman" w:hAnsi="Times New Roman" w:cs="Times New Roman"/>
                <w:bCs/>
                <w:color w:val="auto"/>
                <w:sz w:val="24"/>
                <w:szCs w:val="24"/>
                <w:highlight w:val="none"/>
                <w:vertAlign w:val="subscript"/>
              </w:rPr>
              <w:t>105</w:t>
            </w:r>
            <w:r>
              <w:rPr>
                <w:rFonts w:hint="default" w:ascii="Times New Roman" w:hAnsi="Times New Roman" w:cs="Times New Roman"/>
                <w:bCs/>
                <w:color w:val="auto"/>
                <w:sz w:val="24"/>
                <w:szCs w:val="24"/>
                <w:highlight w:val="none"/>
              </w:rPr>
              <w:t>）</w:t>
            </w:r>
            <w:r>
              <w:rPr>
                <w:rFonts w:hint="default" w:ascii="Times New Roman" w:hAnsi="Times New Roman" w:cs="Times New Roman"/>
                <w:color w:val="auto"/>
                <w:sz w:val="24"/>
                <w:szCs w:val="24"/>
                <w:highlight w:val="none"/>
              </w:rPr>
              <w:t>描述的内容</w:t>
            </w:r>
            <w:r>
              <w:rPr>
                <w:rFonts w:hint="default" w:ascii="Times New Roman" w:hAnsi="Times New Roman" w:cs="Times New Roman"/>
                <w:bCs/>
                <w:color w:val="auto"/>
                <w:sz w:val="24"/>
                <w:szCs w:val="24"/>
                <w:highlight w:val="none"/>
              </w:rPr>
              <w:t>“为了减少</w:t>
            </w:r>
            <w:r>
              <w:rPr>
                <w:rFonts w:hint="eastAsia" w:ascii="Times New Roman" w:cs="Times New Roman"/>
                <w:bCs/>
                <w:color w:val="auto"/>
                <w:sz w:val="24"/>
                <w:szCs w:val="24"/>
                <w:highlight w:val="none"/>
                <w:lang w:eastAsia="zh-CN"/>
              </w:rPr>
              <w:t>迷路</w:t>
            </w:r>
            <w:r>
              <w:rPr>
                <w:rFonts w:hint="default" w:ascii="Times New Roman" w:hAnsi="Times New Roman" w:cs="Times New Roman"/>
                <w:bCs/>
                <w:color w:val="auto"/>
                <w:sz w:val="24"/>
                <w:szCs w:val="24"/>
                <w:highlight w:val="none"/>
              </w:rPr>
              <w:t>外口的中子剂量，在防护门的里侧贴一层对热中子吸收</w:t>
            </w:r>
            <w:r>
              <w:rPr>
                <w:rFonts w:hint="default" w:ascii="Times New Roman" w:hAnsi="Times New Roman" w:cs="Times New Roman"/>
                <w:bCs/>
                <w:color w:val="auto"/>
                <w:sz w:val="24"/>
                <w:szCs w:val="24"/>
                <w:highlight w:val="none"/>
                <w:lang w:val="en-US" w:eastAsia="zh-CN"/>
              </w:rPr>
              <w:t>较好</w:t>
            </w:r>
            <w:r>
              <w:rPr>
                <w:rFonts w:hint="default" w:ascii="Times New Roman" w:hAnsi="Times New Roman" w:cs="Times New Roman"/>
                <w:bCs/>
                <w:color w:val="auto"/>
                <w:sz w:val="24"/>
                <w:szCs w:val="24"/>
                <w:highlight w:val="none"/>
              </w:rPr>
              <w:t>的材料（如镉片或含硼水泥，含硼聚乙烯）是有效的”。</w:t>
            </w:r>
            <w:r>
              <w:rPr>
                <w:rFonts w:hint="default" w:ascii="Times New Roman" w:hAnsi="Times New Roman" w:cs="Times New Roman"/>
                <w:color w:val="auto"/>
                <w:sz w:val="24"/>
                <w:szCs w:val="24"/>
                <w:highlight w:val="none"/>
                <w:lang w:val="en-US" w:eastAsia="zh-CN"/>
              </w:rPr>
              <w:t>医院</w:t>
            </w:r>
            <w:r>
              <w:rPr>
                <w:rFonts w:hint="default" w:ascii="Times New Roman" w:hAnsi="Times New Roman" w:cs="Times New Roman"/>
                <w:color w:val="auto"/>
                <w:sz w:val="24"/>
                <w:szCs w:val="24"/>
                <w:highlight w:val="none"/>
              </w:rPr>
              <w:t>在设计</w:t>
            </w:r>
            <w:r>
              <w:rPr>
                <w:rFonts w:hint="default" w:ascii="Times New Roman" w:hAnsi="Times New Roman" w:cs="Times New Roman"/>
                <w:color w:val="auto"/>
                <w:sz w:val="24"/>
                <w:szCs w:val="24"/>
                <w:highlight w:val="none"/>
                <w:lang w:val="en-US" w:eastAsia="zh-CN"/>
              </w:rPr>
              <w:t>治疗室</w:t>
            </w:r>
            <w:r>
              <w:rPr>
                <w:rFonts w:hint="default" w:ascii="Times New Roman" w:hAnsi="Times New Roman" w:cs="Times New Roman"/>
                <w:color w:val="auto"/>
                <w:sz w:val="24"/>
                <w:szCs w:val="24"/>
                <w:highlight w:val="none"/>
              </w:rPr>
              <w:t>防护门时综合考虑了上述因素，要求</w:t>
            </w:r>
            <w:r>
              <w:rPr>
                <w:rFonts w:hint="default" w:ascii="Times New Roman" w:hAnsi="Times New Roman" w:cs="Times New Roman"/>
                <w:bCs/>
                <w:color w:val="auto"/>
                <w:sz w:val="24"/>
                <w:szCs w:val="24"/>
                <w:highlight w:val="none"/>
              </w:rPr>
              <w:t>在加速器治疗室防护门的里侧贴一层厚度</w:t>
            </w:r>
            <w:r>
              <w:rPr>
                <w:rFonts w:hint="eastAsia" w:ascii="Times New Roman" w:cs="Times New Roman"/>
                <w:bCs/>
                <w:color w:val="auto"/>
                <w:sz w:val="24"/>
                <w:szCs w:val="24"/>
                <w:highlight w:val="none"/>
                <w:lang w:eastAsia="zh-CN"/>
              </w:rPr>
              <w:t>为80mm含5%硼聚乙烯</w:t>
            </w:r>
            <w:r>
              <w:rPr>
                <w:rFonts w:hint="default" w:ascii="Times New Roman" w:hAnsi="Times New Roman" w:cs="Times New Roman"/>
                <w:color w:val="auto"/>
                <w:sz w:val="24"/>
                <w:szCs w:val="24"/>
                <w:highlight w:val="none"/>
              </w:rPr>
              <w:t>。</w:t>
            </w:r>
          </w:p>
          <w:p>
            <w:pPr>
              <w:pStyle w:val="28"/>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lang w:eastAsia="zh-CN"/>
              </w:rPr>
            </w:pPr>
            <w:r>
              <w:rPr>
                <w:rFonts w:hint="default" w:ascii="Times New Roman" w:hAnsi="Times New Roman" w:eastAsia="宋体" w:cs="Times New Roman"/>
                <w:b/>
                <w:bCs w:val="0"/>
                <w:color w:val="auto"/>
                <w:sz w:val="24"/>
                <w:lang w:val="en-US" w:eastAsia="zh-CN"/>
              </w:rPr>
              <w:t>（4）</w:t>
            </w:r>
            <w:r>
              <w:rPr>
                <w:rFonts w:hint="default" w:ascii="Times New Roman" w:hAnsi="Times New Roman" w:eastAsia="宋体" w:cs="Times New Roman"/>
                <w:b/>
                <w:bCs w:val="0"/>
                <w:color w:val="auto"/>
                <w:sz w:val="24"/>
                <w:lang w:eastAsia="zh-CN"/>
              </w:rPr>
              <w:t>感生放射性防护</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医用直线加速器</w:t>
            </w:r>
            <w:r>
              <w:rPr>
                <w:rFonts w:hint="default" w:ascii="Times New Roman" w:hAnsi="Times New Roman" w:eastAsia="宋体" w:cs="Times New Roman"/>
                <w:bCs/>
                <w:color w:val="auto"/>
                <w:sz w:val="24"/>
                <w:szCs w:val="24"/>
                <w:highlight w:val="none"/>
              </w:rPr>
              <w:t>产生感生放射性的主要部件和物体有：</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1 \* GB3 \* MERGEFORMAT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bCs/>
                <w:color w:val="auto"/>
                <w:sz w:val="24"/>
                <w:szCs w:val="24"/>
                <w:highlight w:val="none"/>
              </w:rPr>
              <w:t>加速器照射头和偏转磁体中的铜、铝等部件受照而产生的感生放射性；</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2 \* GB3 \* MERGEFORMAT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bCs/>
                <w:color w:val="auto"/>
                <w:sz w:val="24"/>
                <w:szCs w:val="24"/>
                <w:highlight w:val="none"/>
              </w:rPr>
              <w:t>加速器束流管及其他结构材料（主要为不锈钢和铝）受照射而引起的感生放射性；</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4 \* GB3 \* MERGEFORMAT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bCs/>
                <w:color w:val="auto"/>
                <w:sz w:val="24"/>
                <w:szCs w:val="24"/>
                <w:highlight w:val="none"/>
              </w:rPr>
              <w:t>加速器冷却水中的氧和混凝土墙中的镁、铝受照射而引起的感生放射性</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eastAsia="zh-CN"/>
              </w:rPr>
              <w:fldChar w:fldCharType="begin"/>
            </w:r>
            <w:r>
              <w:rPr>
                <w:rFonts w:hint="default" w:ascii="Times New Roman" w:hAnsi="Times New Roman" w:eastAsia="宋体" w:cs="Times New Roman"/>
                <w:bCs/>
                <w:color w:val="auto"/>
                <w:sz w:val="24"/>
                <w:szCs w:val="24"/>
                <w:highlight w:val="none"/>
                <w:lang w:eastAsia="zh-CN"/>
              </w:rPr>
              <w:instrText xml:space="preserve"> = 5 \* GB3 \* MERGEFORMAT </w:instrText>
            </w:r>
            <w:r>
              <w:rPr>
                <w:rFonts w:hint="default" w:ascii="Times New Roman" w:hAnsi="Times New Roman" w:eastAsia="宋体" w:cs="Times New Roman"/>
                <w:bCs/>
                <w:color w:val="auto"/>
                <w:sz w:val="24"/>
                <w:szCs w:val="24"/>
                <w:highlight w:val="none"/>
                <w:lang w:eastAsia="zh-CN"/>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bCs/>
                <w:color w:val="auto"/>
                <w:sz w:val="24"/>
                <w:szCs w:val="24"/>
                <w:highlight w:val="none"/>
                <w:lang w:eastAsia="zh-CN"/>
              </w:rPr>
              <w:fldChar w:fldCharType="end"/>
            </w:r>
            <w:r>
              <w:rPr>
                <w:rFonts w:hint="default" w:ascii="Times New Roman" w:hAnsi="Times New Roman" w:eastAsia="宋体" w:cs="Times New Roman"/>
                <w:bCs/>
                <w:color w:val="auto"/>
                <w:sz w:val="24"/>
                <w:szCs w:val="24"/>
                <w:highlight w:val="none"/>
              </w:rPr>
              <w:t>室内空气受照射而引起的感生放射性等。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kern w:val="2"/>
                <w:szCs w:val="24"/>
                <w:highlight w:val="none"/>
              </w:rPr>
            </w:pPr>
            <w:r>
              <w:rPr>
                <w:rFonts w:hint="default" w:ascii="Times New Roman" w:hAnsi="Times New Roman" w:cs="Times New Roman"/>
                <w:bCs/>
                <w:color w:val="auto"/>
                <w:sz w:val="24"/>
                <w:szCs w:val="24"/>
                <w:highlight w:val="none"/>
              </w:rPr>
              <w:t>医用电子加速器引致的感生放射性，主要发射γ、β射线。在医用加速器应用的能量范围内，感生放射性主要通过（γ，n）或（e，n）反应产生。表</w:t>
            </w:r>
            <w:r>
              <w:rPr>
                <w:rFonts w:hint="default" w:ascii="Times New Roman" w:hAnsi="Times New Roman" w:cs="Times New Roman"/>
                <w:bCs/>
                <w:color w:val="auto"/>
                <w:sz w:val="24"/>
                <w:szCs w:val="24"/>
                <w:highlight w:val="none"/>
                <w:lang w:val="en-US" w:eastAsia="zh-CN"/>
              </w:rPr>
              <w:t>10-2</w:t>
            </w:r>
            <w:r>
              <w:rPr>
                <w:rFonts w:hint="default" w:ascii="Times New Roman" w:hAnsi="Times New Roman" w:cs="Times New Roman"/>
                <w:bCs/>
                <w:color w:val="auto"/>
                <w:sz w:val="24"/>
                <w:szCs w:val="24"/>
                <w:highlight w:val="none"/>
              </w:rPr>
              <w:t>列出了医用加速器由于（γ，n）反应容易出现的感生放射性核素。</w:t>
            </w:r>
          </w:p>
          <w:p>
            <w:pPr>
              <w:keepNext w:val="0"/>
              <w:keepLines w:val="0"/>
              <w:suppressLineNumbers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Cs w:val="24"/>
                <w:highlight w:val="none"/>
                <w:lang w:val="en-US" w:eastAsia="zh-CN"/>
              </w:rPr>
            </w:pPr>
            <w:r>
              <w:rPr>
                <w:rFonts w:hint="default" w:ascii="Times New Roman" w:hAnsi="Times New Roman" w:cs="Times New Roman"/>
                <w:b/>
                <w:bCs/>
                <w:color w:val="auto"/>
                <w:kern w:val="2"/>
                <w:szCs w:val="24"/>
                <w:highlight w:val="none"/>
              </w:rPr>
              <w:t>表</w:t>
            </w:r>
            <w:r>
              <w:rPr>
                <w:rFonts w:hint="default" w:ascii="Times New Roman" w:hAnsi="Times New Roman" w:cs="Times New Roman"/>
                <w:b/>
                <w:bCs/>
                <w:color w:val="auto"/>
                <w:kern w:val="2"/>
                <w:szCs w:val="24"/>
                <w:highlight w:val="none"/>
                <w:lang w:val="en-US" w:eastAsia="zh-CN"/>
              </w:rPr>
              <w:t>10-</w:t>
            </w:r>
            <w:r>
              <w:rPr>
                <w:rFonts w:hint="eastAsia" w:ascii="Times New Roman" w:hAnsi="Times New Roman" w:cs="Times New Roman"/>
                <w:b/>
                <w:bCs/>
                <w:color w:val="auto"/>
                <w:kern w:val="2"/>
                <w:szCs w:val="24"/>
                <w:highlight w:val="none"/>
                <w:lang w:val="en-US" w:eastAsia="zh-CN"/>
              </w:rPr>
              <w:t>3</w:t>
            </w:r>
            <w:r>
              <w:rPr>
                <w:rFonts w:hint="default" w:ascii="Times New Roman" w:hAnsi="Times New Roman" w:cs="Times New Roman"/>
                <w:b/>
                <w:bCs/>
                <w:color w:val="auto"/>
                <w:kern w:val="2"/>
                <w:szCs w:val="24"/>
                <w:highlight w:val="none"/>
              </w:rPr>
              <w:t xml:space="preserve">  加速器构件及环境的感生放射性产物</w:t>
            </w:r>
            <w:r>
              <w:rPr>
                <w:rFonts w:hint="default" w:ascii="Times New Roman" w:hAnsi="Times New Roman" w:cs="Times New Roman"/>
                <w:b/>
                <w:bCs/>
                <w:color w:val="auto"/>
                <w:kern w:val="2"/>
                <w:szCs w:val="24"/>
                <w:highlight w:val="none"/>
                <w:lang w:val="en-US" w:eastAsia="zh-CN"/>
              </w:rPr>
              <w:t>表</w:t>
            </w:r>
          </w:p>
          <w:tbl>
            <w:tblPr>
              <w:tblStyle w:val="17"/>
              <w:tblW w:w="8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929"/>
              <w:gridCol w:w="1465"/>
              <w:gridCol w:w="1428"/>
              <w:gridCol w:w="1407"/>
              <w:gridCol w:w="2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56" w:type="dxa"/>
                  <w:tcBorders>
                    <w:bottom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部位</w:t>
                  </w:r>
                </w:p>
              </w:tc>
              <w:tc>
                <w:tcPr>
                  <w:tcW w:w="929" w:type="dxa"/>
                  <w:tcBorders>
                    <w:bottom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材料</w:t>
                  </w:r>
                </w:p>
              </w:tc>
              <w:tc>
                <w:tcPr>
                  <w:tcW w:w="1465" w:type="dxa"/>
                  <w:tcBorders>
                    <w:bottom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感生放射性核素</w:t>
                  </w:r>
                </w:p>
              </w:tc>
              <w:tc>
                <w:tcPr>
                  <w:tcW w:w="1428" w:type="dxa"/>
                  <w:tcBorders>
                    <w:bottom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半衰期</w:t>
                  </w:r>
                </w:p>
              </w:tc>
              <w:tc>
                <w:tcPr>
                  <w:tcW w:w="1407" w:type="dxa"/>
                  <w:tcBorders>
                    <w:bottom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辐射类型</w:t>
                  </w:r>
                </w:p>
              </w:tc>
              <w:tc>
                <w:tcPr>
                  <w:tcW w:w="2352" w:type="dxa"/>
                  <w:tcBorders>
                    <w:bottom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主要产生方式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1356"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照射头部件</w:t>
                  </w:r>
                </w:p>
              </w:tc>
              <w:tc>
                <w:tcPr>
                  <w:tcW w:w="929"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铝</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tc>
              <w:tc>
                <w:tcPr>
                  <w:tcW w:w="1465"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27</w:t>
                  </w:r>
                  <w:r>
                    <w:rPr>
                      <w:rFonts w:hint="default" w:ascii="Times New Roman" w:hAnsi="Times New Roman" w:cs="Times New Roman"/>
                      <w:color w:val="auto"/>
                      <w:sz w:val="21"/>
                      <w:szCs w:val="21"/>
                      <w:highlight w:val="none"/>
                      <w:lang w:val="pt-BR"/>
                    </w:rPr>
                    <w:t>Mg</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24</w:t>
                  </w:r>
                  <w:r>
                    <w:rPr>
                      <w:rFonts w:hint="default" w:ascii="Times New Roman" w:hAnsi="Times New Roman" w:cs="Times New Roman"/>
                      <w:color w:val="auto"/>
                      <w:sz w:val="21"/>
                      <w:szCs w:val="21"/>
                      <w:highlight w:val="none"/>
                      <w:lang w:val="pt-BR"/>
                    </w:rPr>
                    <w:t>Na</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28</w:t>
                  </w:r>
                  <w:r>
                    <w:rPr>
                      <w:rFonts w:hint="default" w:ascii="Times New Roman" w:hAnsi="Times New Roman" w:cs="Times New Roman"/>
                      <w:color w:val="auto"/>
                      <w:sz w:val="21"/>
                      <w:szCs w:val="21"/>
                      <w:highlight w:val="none"/>
                      <w:lang w:val="pt-BR"/>
                    </w:rPr>
                    <w:t>Al</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62</w:t>
                  </w:r>
                  <w:r>
                    <w:rPr>
                      <w:rFonts w:hint="default" w:ascii="Times New Roman" w:hAnsi="Times New Roman" w:cs="Times New Roman"/>
                      <w:color w:val="auto"/>
                      <w:sz w:val="21"/>
                      <w:szCs w:val="21"/>
                      <w:highlight w:val="none"/>
                      <w:lang w:val="pt-BR"/>
                    </w:rPr>
                    <w:t>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 xml:space="preserve">64 </w:t>
                  </w:r>
                  <w:r>
                    <w:rPr>
                      <w:rFonts w:hint="default" w:ascii="Times New Roman" w:hAnsi="Times New Roman" w:cs="Times New Roman"/>
                      <w:color w:val="auto"/>
                      <w:sz w:val="21"/>
                      <w:szCs w:val="21"/>
                      <w:highlight w:val="none"/>
                      <w:lang w:val="pt-BR"/>
                    </w:rPr>
                    <w:t>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 xml:space="preserve">66 </w:t>
                  </w:r>
                  <w:r>
                    <w:rPr>
                      <w:rFonts w:hint="default" w:ascii="Times New Roman" w:hAnsi="Times New Roman" w:cs="Times New Roman"/>
                      <w:color w:val="auto"/>
                      <w:sz w:val="21"/>
                      <w:szCs w:val="21"/>
                      <w:highlight w:val="none"/>
                      <w:lang w:val="pt-BR"/>
                    </w:rPr>
                    <w:t>Cu</w:t>
                  </w:r>
                </w:p>
              </w:tc>
              <w:tc>
                <w:tcPr>
                  <w:tcW w:w="1428"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9.5min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14.9h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2.3min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9.7min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12.8h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5.1min</w:t>
                  </w:r>
                </w:p>
              </w:tc>
              <w:tc>
                <w:tcPr>
                  <w:tcW w:w="1407"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tc>
              <w:tc>
                <w:tcPr>
                  <w:tcW w:w="2352"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Al(n，p)</w:t>
                  </w:r>
                  <w:r>
                    <w:rPr>
                      <w:rFonts w:hint="default" w:ascii="Times New Roman" w:hAnsi="Times New Roman" w:cs="Times New Roman"/>
                      <w:color w:val="auto"/>
                      <w:sz w:val="21"/>
                      <w:szCs w:val="21"/>
                      <w:highlight w:val="none"/>
                      <w:vertAlign w:val="superscript"/>
                      <w:lang w:val="sv-SE"/>
                    </w:rPr>
                    <w:t xml:space="preserve"> 27</w:t>
                  </w:r>
                  <w:r>
                    <w:rPr>
                      <w:rFonts w:hint="default" w:ascii="Times New Roman" w:hAnsi="Times New Roman" w:cs="Times New Roman"/>
                      <w:color w:val="auto"/>
                      <w:sz w:val="21"/>
                      <w:szCs w:val="21"/>
                      <w:highlight w:val="none"/>
                      <w:lang w:val="sv-SE"/>
                    </w:rPr>
                    <w:t>Mg</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Al(n，a)</w:t>
                  </w:r>
                  <w:r>
                    <w:rPr>
                      <w:rFonts w:hint="default" w:ascii="Times New Roman" w:hAnsi="Times New Roman" w:cs="Times New Roman"/>
                      <w:color w:val="auto"/>
                      <w:sz w:val="21"/>
                      <w:szCs w:val="21"/>
                      <w:highlight w:val="none"/>
                      <w:vertAlign w:val="superscript"/>
                      <w:lang w:val="sv-SE"/>
                    </w:rPr>
                    <w:t xml:space="preserve"> 24</w:t>
                  </w:r>
                  <w:r>
                    <w:rPr>
                      <w:rFonts w:hint="default" w:ascii="Times New Roman" w:hAnsi="Times New Roman" w:cs="Times New Roman"/>
                      <w:color w:val="auto"/>
                      <w:sz w:val="21"/>
                      <w:szCs w:val="21"/>
                      <w:highlight w:val="none"/>
                      <w:lang w:val="sv-SE"/>
                    </w:rPr>
                    <w:t>Na</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Al(n，r)</w:t>
                  </w:r>
                  <w:r>
                    <w:rPr>
                      <w:rFonts w:hint="default" w:ascii="Times New Roman" w:hAnsi="Times New Roman" w:cs="Times New Roman"/>
                      <w:color w:val="auto"/>
                      <w:sz w:val="21"/>
                      <w:szCs w:val="21"/>
                      <w:highlight w:val="none"/>
                      <w:vertAlign w:val="superscript"/>
                      <w:lang w:val="sv-SE"/>
                    </w:rPr>
                    <w:t xml:space="preserve"> 28</w:t>
                  </w:r>
                  <w:r>
                    <w:rPr>
                      <w:rFonts w:hint="default" w:ascii="Times New Roman" w:hAnsi="Times New Roman" w:cs="Times New Roman"/>
                      <w:color w:val="auto"/>
                      <w:sz w:val="21"/>
                      <w:szCs w:val="21"/>
                      <w:highlight w:val="none"/>
                      <w:lang w:val="sv-SE"/>
                    </w:rPr>
                    <w:t>Al</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63</w:t>
                  </w:r>
                  <w:r>
                    <w:rPr>
                      <w:rFonts w:hint="default" w:ascii="Times New Roman" w:hAnsi="Times New Roman" w:cs="Times New Roman"/>
                      <w:color w:val="auto"/>
                      <w:sz w:val="21"/>
                      <w:szCs w:val="21"/>
                      <w:highlight w:val="none"/>
                      <w:lang w:val="sv-SE"/>
                    </w:rPr>
                    <w:t xml:space="preserve"> Cu (n，2n)</w:t>
                  </w:r>
                  <w:r>
                    <w:rPr>
                      <w:rFonts w:hint="default" w:ascii="Times New Roman" w:hAnsi="Times New Roman" w:cs="Times New Roman"/>
                      <w:color w:val="auto"/>
                      <w:sz w:val="21"/>
                      <w:szCs w:val="21"/>
                      <w:highlight w:val="none"/>
                      <w:vertAlign w:val="superscript"/>
                      <w:lang w:val="sv-SE"/>
                    </w:rPr>
                    <w:t xml:space="preserve"> 62</w:t>
                  </w:r>
                  <w:r>
                    <w:rPr>
                      <w:rFonts w:hint="default" w:ascii="Times New Roman" w:hAnsi="Times New Roman" w:cs="Times New Roman"/>
                      <w:color w:val="auto"/>
                      <w:sz w:val="21"/>
                      <w:szCs w:val="21"/>
                      <w:highlight w:val="none"/>
                      <w:lang w:val="sv-SE"/>
                    </w:rPr>
                    <w:t xml:space="preserve"> 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65</w:t>
                  </w:r>
                  <w:r>
                    <w:rPr>
                      <w:rFonts w:hint="default" w:ascii="Times New Roman" w:hAnsi="Times New Roman" w:cs="Times New Roman"/>
                      <w:color w:val="auto"/>
                      <w:sz w:val="21"/>
                      <w:szCs w:val="21"/>
                      <w:highlight w:val="none"/>
                      <w:lang w:val="sv-SE"/>
                    </w:rPr>
                    <w:t xml:space="preserve"> Cu (n，2n)</w:t>
                  </w:r>
                  <w:r>
                    <w:rPr>
                      <w:rFonts w:hint="default" w:ascii="Times New Roman" w:hAnsi="Times New Roman" w:cs="Times New Roman"/>
                      <w:color w:val="auto"/>
                      <w:sz w:val="21"/>
                      <w:szCs w:val="21"/>
                      <w:highlight w:val="none"/>
                      <w:vertAlign w:val="superscript"/>
                      <w:lang w:val="sv-SE"/>
                    </w:rPr>
                    <w:t xml:space="preserve"> 64</w:t>
                  </w:r>
                  <w:r>
                    <w:rPr>
                      <w:rFonts w:hint="default" w:ascii="Times New Roman" w:hAnsi="Times New Roman" w:cs="Times New Roman"/>
                      <w:color w:val="auto"/>
                      <w:sz w:val="21"/>
                      <w:szCs w:val="21"/>
                      <w:highlight w:val="none"/>
                      <w:lang w:val="sv-SE"/>
                    </w:rPr>
                    <w:t xml:space="preserve"> 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65</w:t>
                  </w:r>
                  <w:r>
                    <w:rPr>
                      <w:rFonts w:hint="default" w:ascii="Times New Roman" w:hAnsi="Times New Roman" w:cs="Times New Roman"/>
                      <w:color w:val="auto"/>
                      <w:sz w:val="21"/>
                      <w:szCs w:val="21"/>
                      <w:highlight w:val="none"/>
                      <w:lang w:val="pt-BR"/>
                    </w:rPr>
                    <w:t xml:space="preserve"> Cu (n，r)</w:t>
                  </w:r>
                  <w:r>
                    <w:rPr>
                      <w:rFonts w:hint="default" w:ascii="Times New Roman" w:hAnsi="Times New Roman" w:cs="Times New Roman"/>
                      <w:color w:val="auto"/>
                      <w:sz w:val="21"/>
                      <w:szCs w:val="21"/>
                      <w:highlight w:val="none"/>
                      <w:vertAlign w:val="superscript"/>
                      <w:lang w:val="pt-BR"/>
                    </w:rPr>
                    <w:t xml:space="preserve"> 66</w:t>
                  </w:r>
                  <w:r>
                    <w:rPr>
                      <w:rFonts w:hint="default" w:ascii="Times New Roman" w:hAnsi="Times New Roman" w:cs="Times New Roman"/>
                      <w:color w:val="auto"/>
                      <w:sz w:val="21"/>
                      <w:szCs w:val="21"/>
                      <w:highlight w:val="none"/>
                      <w:lang w:val="pt-BR"/>
                    </w:rPr>
                    <w:t xml:space="preserve"> Cu</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135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束流管</w:t>
                  </w:r>
                </w:p>
              </w:tc>
              <w:tc>
                <w:tcPr>
                  <w:tcW w:w="92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不锈钢</w:t>
                  </w:r>
                </w:p>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铝</w:t>
                  </w:r>
                </w:p>
              </w:tc>
              <w:tc>
                <w:tcPr>
                  <w:tcW w:w="146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56</w:t>
                  </w:r>
                  <w:r>
                    <w:rPr>
                      <w:rFonts w:hint="default" w:ascii="Times New Roman" w:hAnsi="Times New Roman" w:cs="Times New Roman"/>
                      <w:color w:val="auto"/>
                      <w:sz w:val="21"/>
                      <w:szCs w:val="21"/>
                      <w:highlight w:val="none"/>
                      <w:lang w:val="sv-SE"/>
                    </w:rPr>
                    <w:t>Mn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65</w:t>
                  </w:r>
                  <w:r>
                    <w:rPr>
                      <w:rFonts w:hint="default" w:ascii="Times New Roman" w:hAnsi="Times New Roman" w:cs="Times New Roman"/>
                      <w:color w:val="auto"/>
                      <w:sz w:val="21"/>
                      <w:szCs w:val="21"/>
                      <w:highlight w:val="none"/>
                      <w:lang w:val="sv-SE"/>
                    </w:rPr>
                    <w:t>Ni</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Mg</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24</w:t>
                  </w:r>
                  <w:r>
                    <w:rPr>
                      <w:rFonts w:hint="default" w:ascii="Times New Roman" w:hAnsi="Times New Roman" w:cs="Times New Roman"/>
                      <w:color w:val="auto"/>
                      <w:sz w:val="21"/>
                      <w:szCs w:val="21"/>
                      <w:highlight w:val="none"/>
                      <w:lang w:val="sv-SE"/>
                    </w:rPr>
                    <w:t>Na</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28</w:t>
                  </w:r>
                  <w:r>
                    <w:rPr>
                      <w:rFonts w:hint="default" w:ascii="Times New Roman" w:hAnsi="Times New Roman" w:cs="Times New Roman"/>
                      <w:color w:val="auto"/>
                      <w:sz w:val="21"/>
                      <w:szCs w:val="21"/>
                      <w:highlight w:val="none"/>
                      <w:lang w:val="sv-SE"/>
                    </w:rPr>
                    <w:t>Al</w:t>
                  </w:r>
                </w:p>
              </w:tc>
              <w:tc>
                <w:tcPr>
                  <w:tcW w:w="1428"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2.6h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38min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9.5min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14.9h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2.3min</w:t>
                  </w:r>
                </w:p>
              </w:tc>
              <w:tc>
                <w:tcPr>
                  <w:tcW w:w="140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tc>
              <w:tc>
                <w:tcPr>
                  <w:tcW w:w="235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56</w:t>
                  </w:r>
                  <w:r>
                    <w:rPr>
                      <w:rFonts w:hint="default" w:ascii="Times New Roman" w:hAnsi="Times New Roman" w:cs="Times New Roman"/>
                      <w:color w:val="auto"/>
                      <w:sz w:val="21"/>
                      <w:szCs w:val="21"/>
                      <w:highlight w:val="none"/>
                      <w:lang w:val="sv-SE"/>
                    </w:rPr>
                    <w:t>Fe(n，p)</w:t>
                  </w:r>
                  <w:r>
                    <w:rPr>
                      <w:rFonts w:hint="default" w:ascii="Times New Roman" w:hAnsi="Times New Roman" w:cs="Times New Roman"/>
                      <w:color w:val="auto"/>
                      <w:sz w:val="21"/>
                      <w:szCs w:val="21"/>
                      <w:highlight w:val="none"/>
                      <w:vertAlign w:val="superscript"/>
                      <w:lang w:val="sv-SE"/>
                    </w:rPr>
                    <w:t xml:space="preserve"> 56</w:t>
                  </w:r>
                  <w:r>
                    <w:rPr>
                      <w:rFonts w:hint="default" w:ascii="Times New Roman" w:hAnsi="Times New Roman" w:cs="Times New Roman"/>
                      <w:color w:val="auto"/>
                      <w:sz w:val="21"/>
                      <w:szCs w:val="21"/>
                      <w:highlight w:val="none"/>
                      <w:lang w:val="sv-SE"/>
                    </w:rPr>
                    <w:t>Mn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64</w:t>
                  </w:r>
                  <w:r>
                    <w:rPr>
                      <w:rFonts w:hint="default" w:ascii="Times New Roman" w:hAnsi="Times New Roman" w:cs="Times New Roman"/>
                      <w:color w:val="auto"/>
                      <w:sz w:val="21"/>
                      <w:szCs w:val="21"/>
                      <w:highlight w:val="none"/>
                      <w:lang w:val="sv-SE"/>
                    </w:rPr>
                    <w:t>Ni(n，r)</w:t>
                  </w:r>
                  <w:r>
                    <w:rPr>
                      <w:rFonts w:hint="default" w:ascii="Times New Roman" w:hAnsi="Times New Roman" w:cs="Times New Roman"/>
                      <w:color w:val="auto"/>
                      <w:sz w:val="21"/>
                      <w:szCs w:val="21"/>
                      <w:highlight w:val="none"/>
                      <w:vertAlign w:val="superscript"/>
                      <w:lang w:val="sv-SE"/>
                    </w:rPr>
                    <w:t xml:space="preserve"> 65</w:t>
                  </w:r>
                  <w:r>
                    <w:rPr>
                      <w:rFonts w:hint="default" w:ascii="Times New Roman" w:hAnsi="Times New Roman" w:cs="Times New Roman"/>
                      <w:color w:val="auto"/>
                      <w:sz w:val="21"/>
                      <w:szCs w:val="21"/>
                      <w:highlight w:val="none"/>
                      <w:lang w:val="sv-SE"/>
                    </w:rPr>
                    <w:t>Ni</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Al(n，p)</w:t>
                  </w:r>
                  <w:r>
                    <w:rPr>
                      <w:rFonts w:hint="default" w:ascii="Times New Roman" w:hAnsi="Times New Roman" w:cs="Times New Roman"/>
                      <w:color w:val="auto"/>
                      <w:sz w:val="21"/>
                      <w:szCs w:val="21"/>
                      <w:highlight w:val="none"/>
                      <w:vertAlign w:val="superscript"/>
                      <w:lang w:val="sv-SE"/>
                    </w:rPr>
                    <w:t xml:space="preserve"> 27</w:t>
                  </w:r>
                  <w:r>
                    <w:rPr>
                      <w:rFonts w:hint="default" w:ascii="Times New Roman" w:hAnsi="Times New Roman" w:cs="Times New Roman"/>
                      <w:color w:val="auto"/>
                      <w:sz w:val="21"/>
                      <w:szCs w:val="21"/>
                      <w:highlight w:val="none"/>
                      <w:lang w:val="sv-SE"/>
                    </w:rPr>
                    <w:t>Mg</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Al(n，a)</w:t>
                  </w:r>
                  <w:r>
                    <w:rPr>
                      <w:rFonts w:hint="default" w:ascii="Times New Roman" w:hAnsi="Times New Roman" w:cs="Times New Roman"/>
                      <w:color w:val="auto"/>
                      <w:sz w:val="21"/>
                      <w:szCs w:val="21"/>
                      <w:highlight w:val="none"/>
                      <w:vertAlign w:val="superscript"/>
                      <w:lang w:val="sv-SE"/>
                    </w:rPr>
                    <w:t xml:space="preserve"> 24</w:t>
                  </w:r>
                  <w:r>
                    <w:rPr>
                      <w:rFonts w:hint="default" w:ascii="Times New Roman" w:hAnsi="Times New Roman" w:cs="Times New Roman"/>
                      <w:color w:val="auto"/>
                      <w:sz w:val="21"/>
                      <w:szCs w:val="21"/>
                      <w:highlight w:val="none"/>
                      <w:lang w:val="sv-SE"/>
                    </w:rPr>
                    <w:t>Na</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superscript"/>
                    </w:rPr>
                    <w:t>27</w:t>
                  </w:r>
                  <w:r>
                    <w:rPr>
                      <w:rFonts w:hint="default" w:ascii="Times New Roman" w:hAnsi="Times New Roman" w:cs="Times New Roman"/>
                      <w:color w:val="auto"/>
                      <w:sz w:val="21"/>
                      <w:szCs w:val="21"/>
                      <w:highlight w:val="none"/>
                    </w:rPr>
                    <w:t>Al(n，r)</w:t>
                  </w:r>
                  <w:r>
                    <w:rPr>
                      <w:rFonts w:hint="default" w:ascii="Times New Roman" w:hAnsi="Times New Roman" w:cs="Times New Roman"/>
                      <w:color w:val="auto"/>
                      <w:sz w:val="21"/>
                      <w:szCs w:val="21"/>
                      <w:highlight w:val="none"/>
                      <w:vertAlign w:val="superscript"/>
                    </w:rPr>
                    <w:t xml:space="preserve"> 28</w:t>
                  </w:r>
                  <w:r>
                    <w:rPr>
                      <w:rFonts w:hint="default" w:ascii="Times New Roman" w:hAnsi="Times New Roman" w:cs="Times New Roman"/>
                      <w:color w:val="auto"/>
                      <w:sz w:val="21"/>
                      <w:szCs w:val="21"/>
                      <w:highlight w:val="none"/>
                    </w:rPr>
                    <w:t xml:space="preserve"> Al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135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偏转磁铁</w:t>
                  </w:r>
                </w:p>
              </w:tc>
              <w:tc>
                <w:tcPr>
                  <w:tcW w:w="92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不锈钢</w:t>
                  </w:r>
                </w:p>
              </w:tc>
              <w:tc>
                <w:tcPr>
                  <w:tcW w:w="146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fr-FR"/>
                    </w:rPr>
                  </w:pPr>
                  <w:r>
                    <w:rPr>
                      <w:rFonts w:hint="default" w:ascii="Times New Roman" w:hAnsi="Times New Roman" w:cs="Times New Roman"/>
                      <w:color w:val="auto"/>
                      <w:sz w:val="21"/>
                      <w:szCs w:val="21"/>
                      <w:highlight w:val="none"/>
                      <w:vertAlign w:val="superscript"/>
                      <w:lang w:val="fr-FR"/>
                    </w:rPr>
                    <w:t>62</w:t>
                  </w:r>
                  <w:r>
                    <w:rPr>
                      <w:rFonts w:hint="default" w:ascii="Times New Roman" w:hAnsi="Times New Roman" w:cs="Times New Roman"/>
                      <w:color w:val="auto"/>
                      <w:sz w:val="21"/>
                      <w:szCs w:val="21"/>
                      <w:highlight w:val="none"/>
                      <w:lang w:val="fr-FR"/>
                    </w:rPr>
                    <w:t>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fr-FR"/>
                    </w:rPr>
                  </w:pPr>
                  <w:r>
                    <w:rPr>
                      <w:rFonts w:hint="default" w:ascii="Times New Roman" w:hAnsi="Times New Roman" w:cs="Times New Roman"/>
                      <w:color w:val="auto"/>
                      <w:sz w:val="21"/>
                      <w:szCs w:val="21"/>
                      <w:highlight w:val="none"/>
                      <w:vertAlign w:val="superscript"/>
                      <w:lang w:val="fr-FR"/>
                    </w:rPr>
                    <w:t xml:space="preserve">64 </w:t>
                  </w:r>
                  <w:r>
                    <w:rPr>
                      <w:rFonts w:hint="default" w:ascii="Times New Roman" w:hAnsi="Times New Roman" w:cs="Times New Roman"/>
                      <w:color w:val="auto"/>
                      <w:sz w:val="21"/>
                      <w:szCs w:val="21"/>
                      <w:highlight w:val="none"/>
                      <w:lang w:val="fr-FR"/>
                    </w:rPr>
                    <w:t>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fr-FR"/>
                    </w:rPr>
                  </w:pPr>
                  <w:r>
                    <w:rPr>
                      <w:rFonts w:hint="default" w:ascii="Times New Roman" w:hAnsi="Times New Roman" w:cs="Times New Roman"/>
                      <w:color w:val="auto"/>
                      <w:sz w:val="21"/>
                      <w:szCs w:val="21"/>
                      <w:highlight w:val="none"/>
                      <w:vertAlign w:val="superscript"/>
                      <w:lang w:val="fr-FR"/>
                    </w:rPr>
                    <w:t xml:space="preserve">66 </w:t>
                  </w:r>
                  <w:r>
                    <w:rPr>
                      <w:rFonts w:hint="default" w:ascii="Times New Roman" w:hAnsi="Times New Roman" w:cs="Times New Roman"/>
                      <w:color w:val="auto"/>
                      <w:sz w:val="21"/>
                      <w:szCs w:val="21"/>
                      <w:highlight w:val="none"/>
                      <w:lang w:val="fr-FR"/>
                    </w:rPr>
                    <w:t>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fr-FR"/>
                    </w:rPr>
                  </w:pPr>
                  <w:r>
                    <w:rPr>
                      <w:rFonts w:hint="default" w:ascii="Times New Roman" w:hAnsi="Times New Roman" w:cs="Times New Roman"/>
                      <w:color w:val="auto"/>
                      <w:sz w:val="21"/>
                      <w:szCs w:val="21"/>
                      <w:highlight w:val="none"/>
                      <w:vertAlign w:val="superscript"/>
                      <w:lang w:val="fr-FR"/>
                    </w:rPr>
                    <w:t>56</w:t>
                  </w:r>
                  <w:r>
                    <w:rPr>
                      <w:rFonts w:hint="default" w:ascii="Times New Roman" w:hAnsi="Times New Roman" w:cs="Times New Roman"/>
                      <w:color w:val="auto"/>
                      <w:sz w:val="21"/>
                      <w:szCs w:val="21"/>
                      <w:highlight w:val="none"/>
                      <w:lang w:val="fr-FR"/>
                    </w:rPr>
                    <w:t>Mn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fr-FR"/>
                    </w:rPr>
                  </w:pPr>
                  <w:r>
                    <w:rPr>
                      <w:rFonts w:hint="default" w:ascii="Times New Roman" w:hAnsi="Times New Roman" w:cs="Times New Roman"/>
                      <w:color w:val="auto"/>
                      <w:sz w:val="21"/>
                      <w:szCs w:val="21"/>
                      <w:highlight w:val="none"/>
                      <w:vertAlign w:val="superscript"/>
                      <w:lang w:val="fr-FR"/>
                    </w:rPr>
                    <w:t>65</w:t>
                  </w:r>
                  <w:r>
                    <w:rPr>
                      <w:rFonts w:hint="default" w:ascii="Times New Roman" w:hAnsi="Times New Roman" w:cs="Times New Roman"/>
                      <w:color w:val="auto"/>
                      <w:sz w:val="21"/>
                      <w:szCs w:val="21"/>
                      <w:highlight w:val="none"/>
                      <w:lang w:val="fr-FR"/>
                    </w:rPr>
                    <w:t>Ni</w:t>
                  </w:r>
                </w:p>
              </w:tc>
              <w:tc>
                <w:tcPr>
                  <w:tcW w:w="1428"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9.7min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12.8h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5.1min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2.6h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38min</w:t>
                  </w:r>
                </w:p>
              </w:tc>
              <w:tc>
                <w:tcPr>
                  <w:tcW w:w="140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tc>
              <w:tc>
                <w:tcPr>
                  <w:tcW w:w="235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63</w:t>
                  </w:r>
                  <w:r>
                    <w:rPr>
                      <w:rFonts w:hint="default" w:ascii="Times New Roman" w:hAnsi="Times New Roman" w:cs="Times New Roman"/>
                      <w:color w:val="auto"/>
                      <w:sz w:val="21"/>
                      <w:szCs w:val="21"/>
                      <w:highlight w:val="none"/>
                      <w:lang w:val="pt-BR"/>
                    </w:rPr>
                    <w:t xml:space="preserve"> Cu (n，2n)</w:t>
                  </w:r>
                  <w:r>
                    <w:rPr>
                      <w:rFonts w:hint="default" w:ascii="Times New Roman" w:hAnsi="Times New Roman" w:cs="Times New Roman"/>
                      <w:color w:val="auto"/>
                      <w:sz w:val="21"/>
                      <w:szCs w:val="21"/>
                      <w:highlight w:val="none"/>
                      <w:vertAlign w:val="superscript"/>
                      <w:lang w:val="pt-BR"/>
                    </w:rPr>
                    <w:t xml:space="preserve"> 62</w:t>
                  </w:r>
                  <w:r>
                    <w:rPr>
                      <w:rFonts w:hint="default" w:ascii="Times New Roman" w:hAnsi="Times New Roman" w:cs="Times New Roman"/>
                      <w:color w:val="auto"/>
                      <w:sz w:val="21"/>
                      <w:szCs w:val="21"/>
                      <w:highlight w:val="none"/>
                      <w:lang w:val="pt-BR"/>
                    </w:rPr>
                    <w:t xml:space="preserve"> 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65</w:t>
                  </w:r>
                  <w:r>
                    <w:rPr>
                      <w:rFonts w:hint="default" w:ascii="Times New Roman" w:hAnsi="Times New Roman" w:cs="Times New Roman"/>
                      <w:color w:val="auto"/>
                      <w:sz w:val="21"/>
                      <w:szCs w:val="21"/>
                      <w:highlight w:val="none"/>
                      <w:lang w:val="pt-BR"/>
                    </w:rPr>
                    <w:t xml:space="preserve"> Cu (n，2n)</w:t>
                  </w:r>
                  <w:r>
                    <w:rPr>
                      <w:rFonts w:hint="default" w:ascii="Times New Roman" w:hAnsi="Times New Roman" w:cs="Times New Roman"/>
                      <w:color w:val="auto"/>
                      <w:sz w:val="21"/>
                      <w:szCs w:val="21"/>
                      <w:highlight w:val="none"/>
                      <w:vertAlign w:val="superscript"/>
                      <w:lang w:val="pt-BR"/>
                    </w:rPr>
                    <w:t xml:space="preserve"> 64</w:t>
                  </w:r>
                  <w:r>
                    <w:rPr>
                      <w:rFonts w:hint="default" w:ascii="Times New Roman" w:hAnsi="Times New Roman" w:cs="Times New Roman"/>
                      <w:color w:val="auto"/>
                      <w:sz w:val="21"/>
                      <w:szCs w:val="21"/>
                      <w:highlight w:val="none"/>
                      <w:lang w:val="pt-BR"/>
                    </w:rPr>
                    <w:t xml:space="preserve"> 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65</w:t>
                  </w:r>
                  <w:r>
                    <w:rPr>
                      <w:rFonts w:hint="default" w:ascii="Times New Roman" w:hAnsi="Times New Roman" w:cs="Times New Roman"/>
                      <w:color w:val="auto"/>
                      <w:sz w:val="21"/>
                      <w:szCs w:val="21"/>
                      <w:highlight w:val="none"/>
                      <w:lang w:val="pt-BR"/>
                    </w:rPr>
                    <w:t xml:space="preserve"> Cu (n，r)</w:t>
                  </w:r>
                  <w:r>
                    <w:rPr>
                      <w:rFonts w:hint="default" w:ascii="Times New Roman" w:hAnsi="Times New Roman" w:cs="Times New Roman"/>
                      <w:color w:val="auto"/>
                      <w:sz w:val="21"/>
                      <w:szCs w:val="21"/>
                      <w:highlight w:val="none"/>
                      <w:vertAlign w:val="superscript"/>
                      <w:lang w:val="pt-BR"/>
                    </w:rPr>
                    <w:t xml:space="preserve"> 66</w:t>
                  </w:r>
                  <w:r>
                    <w:rPr>
                      <w:rFonts w:hint="default" w:ascii="Times New Roman" w:hAnsi="Times New Roman" w:cs="Times New Roman"/>
                      <w:color w:val="auto"/>
                      <w:sz w:val="21"/>
                      <w:szCs w:val="21"/>
                      <w:highlight w:val="none"/>
                      <w:lang w:val="pt-BR"/>
                    </w:rPr>
                    <w:t xml:space="preserve"> 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56</w:t>
                  </w:r>
                  <w:r>
                    <w:rPr>
                      <w:rFonts w:hint="default" w:ascii="Times New Roman" w:hAnsi="Times New Roman" w:cs="Times New Roman"/>
                      <w:color w:val="auto"/>
                      <w:sz w:val="21"/>
                      <w:szCs w:val="21"/>
                      <w:highlight w:val="none"/>
                      <w:lang w:val="pt-BR"/>
                    </w:rPr>
                    <w:t>Fe(n，p)</w:t>
                  </w:r>
                  <w:r>
                    <w:rPr>
                      <w:rFonts w:hint="default" w:ascii="Times New Roman" w:hAnsi="Times New Roman" w:cs="Times New Roman"/>
                      <w:color w:val="auto"/>
                      <w:sz w:val="21"/>
                      <w:szCs w:val="21"/>
                      <w:highlight w:val="none"/>
                      <w:vertAlign w:val="superscript"/>
                      <w:lang w:val="pt-BR"/>
                    </w:rPr>
                    <w:t xml:space="preserve"> 56</w:t>
                  </w:r>
                  <w:r>
                    <w:rPr>
                      <w:rFonts w:hint="default" w:ascii="Times New Roman" w:hAnsi="Times New Roman" w:cs="Times New Roman"/>
                      <w:color w:val="auto"/>
                      <w:sz w:val="21"/>
                      <w:szCs w:val="21"/>
                      <w:highlight w:val="none"/>
                      <w:lang w:val="pt-BR"/>
                    </w:rPr>
                    <w:t>Mn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superscript"/>
                    </w:rPr>
                    <w:t>64</w:t>
                  </w:r>
                  <w:r>
                    <w:rPr>
                      <w:rFonts w:hint="default" w:ascii="Times New Roman" w:hAnsi="Times New Roman" w:cs="Times New Roman"/>
                      <w:color w:val="auto"/>
                      <w:sz w:val="21"/>
                      <w:szCs w:val="21"/>
                      <w:highlight w:val="none"/>
                    </w:rPr>
                    <w:t>Ni(n，r)</w:t>
                  </w:r>
                  <w:r>
                    <w:rPr>
                      <w:rFonts w:hint="default" w:ascii="Times New Roman" w:hAnsi="Times New Roman" w:cs="Times New Roman"/>
                      <w:color w:val="auto"/>
                      <w:sz w:val="21"/>
                      <w:szCs w:val="21"/>
                      <w:highlight w:val="none"/>
                      <w:vertAlign w:val="superscript"/>
                    </w:rPr>
                    <w:t xml:space="preserve"> 65</w:t>
                  </w:r>
                  <w:r>
                    <w:rPr>
                      <w:rFonts w:hint="default" w:ascii="Times New Roman" w:hAnsi="Times New Roman" w:cs="Times New Roman"/>
                      <w:color w:val="auto"/>
                      <w:sz w:val="21"/>
                      <w:szCs w:val="21"/>
                      <w:highlight w:val="none"/>
                    </w:rPr>
                    <w:t>Ni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2" w:hRule="atLeast"/>
                <w:jc w:val="center"/>
              </w:trPr>
              <w:tc>
                <w:tcPr>
                  <w:tcW w:w="135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结构材料</w:t>
                  </w:r>
                </w:p>
              </w:tc>
              <w:tc>
                <w:tcPr>
                  <w:tcW w:w="92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铝</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不锈钢</w:t>
                  </w:r>
                </w:p>
              </w:tc>
              <w:tc>
                <w:tcPr>
                  <w:tcW w:w="146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27</w:t>
                  </w:r>
                  <w:r>
                    <w:rPr>
                      <w:rFonts w:hint="default" w:ascii="Times New Roman" w:hAnsi="Times New Roman" w:cs="Times New Roman"/>
                      <w:color w:val="auto"/>
                      <w:sz w:val="21"/>
                      <w:szCs w:val="21"/>
                      <w:highlight w:val="none"/>
                      <w:lang w:val="pt-BR"/>
                    </w:rPr>
                    <w:t>Mg</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24</w:t>
                  </w:r>
                  <w:r>
                    <w:rPr>
                      <w:rFonts w:hint="default" w:ascii="Times New Roman" w:hAnsi="Times New Roman" w:cs="Times New Roman"/>
                      <w:color w:val="auto"/>
                      <w:sz w:val="21"/>
                      <w:szCs w:val="21"/>
                      <w:highlight w:val="none"/>
                      <w:lang w:val="pt-BR"/>
                    </w:rPr>
                    <w:t>Na</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28</w:t>
                  </w:r>
                  <w:r>
                    <w:rPr>
                      <w:rFonts w:hint="default" w:ascii="Times New Roman" w:hAnsi="Times New Roman" w:cs="Times New Roman"/>
                      <w:color w:val="auto"/>
                      <w:sz w:val="21"/>
                      <w:szCs w:val="21"/>
                      <w:highlight w:val="none"/>
                      <w:lang w:val="pt-BR"/>
                    </w:rPr>
                    <w:t>Al</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62</w:t>
                  </w:r>
                  <w:r>
                    <w:rPr>
                      <w:rFonts w:hint="default" w:ascii="Times New Roman" w:hAnsi="Times New Roman" w:cs="Times New Roman"/>
                      <w:color w:val="auto"/>
                      <w:sz w:val="21"/>
                      <w:szCs w:val="21"/>
                      <w:highlight w:val="none"/>
                      <w:lang w:val="pt-BR"/>
                    </w:rPr>
                    <w:t>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 xml:space="preserve">64 </w:t>
                  </w:r>
                  <w:r>
                    <w:rPr>
                      <w:rFonts w:hint="default" w:ascii="Times New Roman" w:hAnsi="Times New Roman" w:cs="Times New Roman"/>
                      <w:color w:val="auto"/>
                      <w:sz w:val="21"/>
                      <w:szCs w:val="21"/>
                      <w:highlight w:val="none"/>
                      <w:lang w:val="pt-BR"/>
                    </w:rPr>
                    <w:t>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vertAlign w:val="superscript"/>
                      <w:lang w:val="pt-BR"/>
                    </w:rPr>
                    <w:t xml:space="preserve">66 </w:t>
                  </w:r>
                  <w:r>
                    <w:rPr>
                      <w:rFonts w:hint="default" w:ascii="Times New Roman" w:hAnsi="Times New Roman" w:cs="Times New Roman"/>
                      <w:color w:val="auto"/>
                      <w:sz w:val="21"/>
                      <w:szCs w:val="21"/>
                      <w:highlight w:val="none"/>
                      <w:lang w:val="pt-BR"/>
                    </w:rPr>
                    <w:t>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superscript"/>
                    </w:rPr>
                    <w:t>56</w:t>
                  </w:r>
                  <w:r>
                    <w:rPr>
                      <w:rFonts w:hint="default" w:ascii="Times New Roman" w:hAnsi="Times New Roman" w:cs="Times New Roman"/>
                      <w:color w:val="auto"/>
                      <w:sz w:val="21"/>
                      <w:szCs w:val="21"/>
                      <w:highlight w:val="none"/>
                    </w:rPr>
                    <w:t>Mn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superscript"/>
                    </w:rPr>
                    <w:t>65</w:t>
                  </w:r>
                  <w:r>
                    <w:rPr>
                      <w:rFonts w:hint="default" w:ascii="Times New Roman" w:hAnsi="Times New Roman" w:cs="Times New Roman"/>
                      <w:color w:val="auto"/>
                      <w:sz w:val="21"/>
                      <w:szCs w:val="21"/>
                      <w:highlight w:val="none"/>
                    </w:rPr>
                    <w:t>Ni</w:t>
                  </w:r>
                </w:p>
              </w:tc>
              <w:tc>
                <w:tcPr>
                  <w:tcW w:w="1428"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9.5min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14.9h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2.3min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9.7min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12.8h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5.1min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sz w:val="21"/>
                      <w:szCs w:val="21"/>
                      <w:highlight w:val="none"/>
                      <w:lang w:val="pt-BR"/>
                    </w:rPr>
                    <w:t>2.6h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38min</w:t>
                  </w:r>
                </w:p>
              </w:tc>
              <w:tc>
                <w:tcPr>
                  <w:tcW w:w="140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tc>
              <w:tc>
                <w:tcPr>
                  <w:tcW w:w="235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Al(n，p)</w:t>
                  </w:r>
                  <w:r>
                    <w:rPr>
                      <w:rFonts w:hint="default" w:ascii="Times New Roman" w:hAnsi="Times New Roman" w:cs="Times New Roman"/>
                      <w:color w:val="auto"/>
                      <w:sz w:val="21"/>
                      <w:szCs w:val="21"/>
                      <w:highlight w:val="none"/>
                      <w:vertAlign w:val="superscript"/>
                      <w:lang w:val="sv-SE"/>
                    </w:rPr>
                    <w:t xml:space="preserve"> 27</w:t>
                  </w:r>
                  <w:r>
                    <w:rPr>
                      <w:rFonts w:hint="default" w:ascii="Times New Roman" w:hAnsi="Times New Roman" w:cs="Times New Roman"/>
                      <w:color w:val="auto"/>
                      <w:sz w:val="21"/>
                      <w:szCs w:val="21"/>
                      <w:highlight w:val="none"/>
                      <w:lang w:val="sv-SE"/>
                    </w:rPr>
                    <w:t>Mg</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Al(n，a)</w:t>
                  </w:r>
                  <w:r>
                    <w:rPr>
                      <w:rFonts w:hint="default" w:ascii="Times New Roman" w:hAnsi="Times New Roman" w:cs="Times New Roman"/>
                      <w:color w:val="auto"/>
                      <w:sz w:val="21"/>
                      <w:szCs w:val="21"/>
                      <w:highlight w:val="none"/>
                      <w:vertAlign w:val="superscript"/>
                      <w:lang w:val="sv-SE"/>
                    </w:rPr>
                    <w:t xml:space="preserve"> 24</w:t>
                  </w:r>
                  <w:r>
                    <w:rPr>
                      <w:rFonts w:hint="default" w:ascii="Times New Roman" w:hAnsi="Times New Roman" w:cs="Times New Roman"/>
                      <w:color w:val="auto"/>
                      <w:sz w:val="21"/>
                      <w:szCs w:val="21"/>
                      <w:highlight w:val="none"/>
                      <w:lang w:val="sv-SE"/>
                    </w:rPr>
                    <w:t>Na</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Al(n，r)</w:t>
                  </w:r>
                  <w:r>
                    <w:rPr>
                      <w:rFonts w:hint="default" w:ascii="Times New Roman" w:hAnsi="Times New Roman" w:cs="Times New Roman"/>
                      <w:color w:val="auto"/>
                      <w:sz w:val="21"/>
                      <w:szCs w:val="21"/>
                      <w:highlight w:val="none"/>
                      <w:vertAlign w:val="superscript"/>
                      <w:lang w:val="sv-SE"/>
                    </w:rPr>
                    <w:t xml:space="preserve"> 28</w:t>
                  </w:r>
                  <w:r>
                    <w:rPr>
                      <w:rFonts w:hint="default" w:ascii="Times New Roman" w:hAnsi="Times New Roman" w:cs="Times New Roman"/>
                      <w:color w:val="auto"/>
                      <w:sz w:val="21"/>
                      <w:szCs w:val="21"/>
                      <w:highlight w:val="none"/>
                      <w:lang w:val="sv-SE"/>
                    </w:rPr>
                    <w:t xml:space="preserve"> Al</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63</w:t>
                  </w:r>
                  <w:r>
                    <w:rPr>
                      <w:rFonts w:hint="default" w:ascii="Times New Roman" w:hAnsi="Times New Roman" w:cs="Times New Roman"/>
                      <w:color w:val="auto"/>
                      <w:sz w:val="21"/>
                      <w:szCs w:val="21"/>
                      <w:highlight w:val="none"/>
                      <w:lang w:val="sv-SE"/>
                    </w:rPr>
                    <w:t xml:space="preserve"> Cu (n，2n)</w:t>
                  </w:r>
                  <w:r>
                    <w:rPr>
                      <w:rFonts w:hint="default" w:ascii="Times New Roman" w:hAnsi="Times New Roman" w:cs="Times New Roman"/>
                      <w:color w:val="auto"/>
                      <w:sz w:val="21"/>
                      <w:szCs w:val="21"/>
                      <w:highlight w:val="none"/>
                      <w:vertAlign w:val="superscript"/>
                      <w:lang w:val="sv-SE"/>
                    </w:rPr>
                    <w:t xml:space="preserve"> 62</w:t>
                  </w:r>
                  <w:r>
                    <w:rPr>
                      <w:rFonts w:hint="default" w:ascii="Times New Roman" w:hAnsi="Times New Roman" w:cs="Times New Roman"/>
                      <w:color w:val="auto"/>
                      <w:sz w:val="21"/>
                      <w:szCs w:val="21"/>
                      <w:highlight w:val="none"/>
                      <w:lang w:val="sv-SE"/>
                    </w:rPr>
                    <w:t xml:space="preserve"> 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65</w:t>
                  </w:r>
                  <w:r>
                    <w:rPr>
                      <w:rFonts w:hint="default" w:ascii="Times New Roman" w:hAnsi="Times New Roman" w:cs="Times New Roman"/>
                      <w:color w:val="auto"/>
                      <w:sz w:val="21"/>
                      <w:szCs w:val="21"/>
                      <w:highlight w:val="none"/>
                      <w:lang w:val="sv-SE"/>
                    </w:rPr>
                    <w:t xml:space="preserve"> Cu (n，2n)</w:t>
                  </w:r>
                  <w:r>
                    <w:rPr>
                      <w:rFonts w:hint="default" w:ascii="Times New Roman" w:hAnsi="Times New Roman" w:cs="Times New Roman"/>
                      <w:color w:val="auto"/>
                      <w:sz w:val="21"/>
                      <w:szCs w:val="21"/>
                      <w:highlight w:val="none"/>
                      <w:vertAlign w:val="superscript"/>
                      <w:lang w:val="sv-SE"/>
                    </w:rPr>
                    <w:t xml:space="preserve"> 64</w:t>
                  </w:r>
                  <w:r>
                    <w:rPr>
                      <w:rFonts w:hint="default" w:ascii="Times New Roman" w:hAnsi="Times New Roman" w:cs="Times New Roman"/>
                      <w:color w:val="auto"/>
                      <w:sz w:val="21"/>
                      <w:szCs w:val="21"/>
                      <w:highlight w:val="none"/>
                      <w:lang w:val="sv-SE"/>
                    </w:rPr>
                    <w:t xml:space="preserve"> 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65</w:t>
                  </w:r>
                  <w:r>
                    <w:rPr>
                      <w:rFonts w:hint="default" w:ascii="Times New Roman" w:hAnsi="Times New Roman" w:cs="Times New Roman"/>
                      <w:color w:val="auto"/>
                      <w:sz w:val="21"/>
                      <w:szCs w:val="21"/>
                      <w:highlight w:val="none"/>
                      <w:lang w:val="sv-SE"/>
                    </w:rPr>
                    <w:t xml:space="preserve"> Cu (n，r)</w:t>
                  </w:r>
                  <w:r>
                    <w:rPr>
                      <w:rFonts w:hint="default" w:ascii="Times New Roman" w:hAnsi="Times New Roman" w:cs="Times New Roman"/>
                      <w:color w:val="auto"/>
                      <w:sz w:val="21"/>
                      <w:szCs w:val="21"/>
                      <w:highlight w:val="none"/>
                      <w:vertAlign w:val="superscript"/>
                      <w:lang w:val="sv-SE"/>
                    </w:rPr>
                    <w:t xml:space="preserve"> 66</w:t>
                  </w:r>
                  <w:r>
                    <w:rPr>
                      <w:rFonts w:hint="default" w:ascii="Times New Roman" w:hAnsi="Times New Roman" w:cs="Times New Roman"/>
                      <w:color w:val="auto"/>
                      <w:sz w:val="21"/>
                      <w:szCs w:val="21"/>
                      <w:highlight w:val="none"/>
                      <w:lang w:val="sv-SE"/>
                    </w:rPr>
                    <w:t xml:space="preserve"> Cu</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56</w:t>
                  </w:r>
                  <w:r>
                    <w:rPr>
                      <w:rFonts w:hint="default" w:ascii="Times New Roman" w:hAnsi="Times New Roman" w:cs="Times New Roman"/>
                      <w:color w:val="auto"/>
                      <w:sz w:val="21"/>
                      <w:szCs w:val="21"/>
                      <w:highlight w:val="none"/>
                      <w:lang w:val="sv-SE"/>
                    </w:rPr>
                    <w:t>Fe(n，p)</w:t>
                  </w:r>
                  <w:r>
                    <w:rPr>
                      <w:rFonts w:hint="default" w:ascii="Times New Roman" w:hAnsi="Times New Roman" w:cs="Times New Roman"/>
                      <w:color w:val="auto"/>
                      <w:sz w:val="21"/>
                      <w:szCs w:val="21"/>
                      <w:highlight w:val="none"/>
                      <w:vertAlign w:val="superscript"/>
                      <w:lang w:val="sv-SE"/>
                    </w:rPr>
                    <w:t xml:space="preserve"> 56</w:t>
                  </w:r>
                  <w:r>
                    <w:rPr>
                      <w:rFonts w:hint="default" w:ascii="Times New Roman" w:hAnsi="Times New Roman" w:cs="Times New Roman"/>
                      <w:color w:val="auto"/>
                      <w:sz w:val="21"/>
                      <w:szCs w:val="21"/>
                      <w:highlight w:val="none"/>
                      <w:lang w:val="sv-SE"/>
                    </w:rPr>
                    <w:t>Mn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fr-FR"/>
                    </w:rPr>
                  </w:pPr>
                  <w:r>
                    <w:rPr>
                      <w:rFonts w:hint="default" w:ascii="Times New Roman" w:hAnsi="Times New Roman" w:cs="Times New Roman"/>
                      <w:color w:val="auto"/>
                      <w:sz w:val="21"/>
                      <w:szCs w:val="21"/>
                      <w:highlight w:val="none"/>
                      <w:vertAlign w:val="superscript"/>
                      <w:lang w:val="fr-FR"/>
                    </w:rPr>
                    <w:t>64</w:t>
                  </w:r>
                  <w:r>
                    <w:rPr>
                      <w:rFonts w:hint="default" w:ascii="Times New Roman" w:hAnsi="Times New Roman" w:cs="Times New Roman"/>
                      <w:color w:val="auto"/>
                      <w:sz w:val="21"/>
                      <w:szCs w:val="21"/>
                      <w:highlight w:val="none"/>
                      <w:lang w:val="fr-FR"/>
                    </w:rPr>
                    <w:t>Ni(n，r)</w:t>
                  </w:r>
                  <w:r>
                    <w:rPr>
                      <w:rFonts w:hint="default" w:ascii="Times New Roman" w:hAnsi="Times New Roman" w:cs="Times New Roman"/>
                      <w:color w:val="auto"/>
                      <w:sz w:val="21"/>
                      <w:szCs w:val="21"/>
                      <w:highlight w:val="none"/>
                      <w:vertAlign w:val="superscript"/>
                      <w:lang w:val="fr-FR"/>
                    </w:rPr>
                    <w:t xml:space="preserve"> 65</w:t>
                  </w:r>
                  <w:r>
                    <w:rPr>
                      <w:rFonts w:hint="default" w:ascii="Times New Roman" w:hAnsi="Times New Roman" w:cs="Times New Roman"/>
                      <w:color w:val="auto"/>
                      <w:sz w:val="21"/>
                      <w:szCs w:val="21"/>
                      <w:highlight w:val="none"/>
                      <w:lang w:val="fr-FR"/>
                    </w:rPr>
                    <w:t>Ni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35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混凝土材料</w:t>
                  </w:r>
                </w:p>
              </w:tc>
              <w:tc>
                <w:tcPr>
                  <w:tcW w:w="92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铝</w:t>
                  </w:r>
                </w:p>
              </w:tc>
              <w:tc>
                <w:tcPr>
                  <w:tcW w:w="146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superscript"/>
                    </w:rPr>
                    <w:t>27</w:t>
                  </w:r>
                  <w:r>
                    <w:rPr>
                      <w:rFonts w:hint="default" w:ascii="Times New Roman" w:hAnsi="Times New Roman" w:cs="Times New Roman"/>
                      <w:color w:val="auto"/>
                      <w:sz w:val="21"/>
                      <w:szCs w:val="21"/>
                      <w:highlight w:val="none"/>
                    </w:rPr>
                    <w:t>Mg</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superscript"/>
                    </w:rPr>
                    <w:t>24</w:t>
                  </w:r>
                  <w:r>
                    <w:rPr>
                      <w:rFonts w:hint="default" w:ascii="Times New Roman" w:hAnsi="Times New Roman" w:cs="Times New Roman"/>
                      <w:color w:val="auto"/>
                      <w:sz w:val="21"/>
                      <w:szCs w:val="21"/>
                      <w:highlight w:val="none"/>
                    </w:rPr>
                    <w:t>Na</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superscript"/>
                    </w:rPr>
                    <w:t>28</w:t>
                  </w:r>
                  <w:r>
                    <w:rPr>
                      <w:rFonts w:hint="default" w:ascii="Times New Roman" w:hAnsi="Times New Roman" w:cs="Times New Roman"/>
                      <w:color w:val="auto"/>
                      <w:sz w:val="21"/>
                      <w:szCs w:val="21"/>
                      <w:highlight w:val="none"/>
                    </w:rPr>
                    <w:t>Al</w:t>
                  </w:r>
                </w:p>
              </w:tc>
              <w:tc>
                <w:tcPr>
                  <w:tcW w:w="1428"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9.5min</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14.9h</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2.3min</w:t>
                  </w:r>
                </w:p>
              </w:tc>
              <w:tc>
                <w:tcPr>
                  <w:tcW w:w="140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、γ</w:t>
                  </w:r>
                </w:p>
              </w:tc>
              <w:tc>
                <w:tcPr>
                  <w:tcW w:w="235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Al(n，p)</w:t>
                  </w:r>
                  <w:r>
                    <w:rPr>
                      <w:rFonts w:hint="default" w:ascii="Times New Roman" w:hAnsi="Times New Roman" w:cs="Times New Roman"/>
                      <w:color w:val="auto"/>
                      <w:sz w:val="21"/>
                      <w:szCs w:val="21"/>
                      <w:highlight w:val="none"/>
                      <w:vertAlign w:val="superscript"/>
                      <w:lang w:val="sv-SE"/>
                    </w:rPr>
                    <w:t xml:space="preserve"> 27</w:t>
                  </w:r>
                  <w:r>
                    <w:rPr>
                      <w:rFonts w:hint="default" w:ascii="Times New Roman" w:hAnsi="Times New Roman" w:cs="Times New Roman"/>
                      <w:color w:val="auto"/>
                      <w:sz w:val="21"/>
                      <w:szCs w:val="21"/>
                      <w:highlight w:val="none"/>
                      <w:lang w:val="sv-SE"/>
                    </w:rPr>
                    <w:t>Mg</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Al(n，a)</w:t>
                  </w:r>
                  <w:r>
                    <w:rPr>
                      <w:rFonts w:hint="default" w:ascii="Times New Roman" w:hAnsi="Times New Roman" w:cs="Times New Roman"/>
                      <w:color w:val="auto"/>
                      <w:sz w:val="21"/>
                      <w:szCs w:val="21"/>
                      <w:highlight w:val="none"/>
                      <w:vertAlign w:val="superscript"/>
                      <w:lang w:val="sv-SE"/>
                    </w:rPr>
                    <w:t xml:space="preserve"> 24</w:t>
                  </w:r>
                  <w:r>
                    <w:rPr>
                      <w:rFonts w:hint="default" w:ascii="Times New Roman" w:hAnsi="Times New Roman" w:cs="Times New Roman"/>
                      <w:color w:val="auto"/>
                      <w:sz w:val="21"/>
                      <w:szCs w:val="21"/>
                      <w:highlight w:val="none"/>
                      <w:lang w:val="sv-SE"/>
                    </w:rPr>
                    <w:t>Na</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27</w:t>
                  </w:r>
                  <w:r>
                    <w:rPr>
                      <w:rFonts w:hint="default" w:ascii="Times New Roman" w:hAnsi="Times New Roman" w:cs="Times New Roman"/>
                      <w:color w:val="auto"/>
                      <w:sz w:val="21"/>
                      <w:szCs w:val="21"/>
                      <w:highlight w:val="none"/>
                      <w:lang w:val="sv-SE"/>
                    </w:rPr>
                    <w:t>Al(n，r)</w:t>
                  </w:r>
                  <w:r>
                    <w:rPr>
                      <w:rFonts w:hint="default" w:ascii="Times New Roman" w:hAnsi="Times New Roman" w:cs="Times New Roman"/>
                      <w:color w:val="auto"/>
                      <w:sz w:val="21"/>
                      <w:szCs w:val="21"/>
                      <w:highlight w:val="none"/>
                      <w:vertAlign w:val="superscript"/>
                      <w:lang w:val="sv-SE"/>
                    </w:rPr>
                    <w:t xml:space="preserve"> 28</w:t>
                  </w:r>
                  <w:r>
                    <w:rPr>
                      <w:rFonts w:hint="default" w:ascii="Times New Roman" w:hAnsi="Times New Roman" w:cs="Times New Roman"/>
                      <w:color w:val="auto"/>
                      <w:sz w:val="21"/>
                      <w:szCs w:val="21"/>
                      <w:highlight w:val="none"/>
                      <w:lang w:val="sv-SE"/>
                    </w:rPr>
                    <w:t>Al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35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冷却水</w:t>
                  </w:r>
                </w:p>
              </w:tc>
              <w:tc>
                <w:tcPr>
                  <w:tcW w:w="92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水</w:t>
                  </w:r>
                </w:p>
              </w:tc>
              <w:tc>
                <w:tcPr>
                  <w:tcW w:w="146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16</w:t>
                  </w:r>
                  <w:r>
                    <w:rPr>
                      <w:rFonts w:hint="default" w:ascii="Times New Roman" w:hAnsi="Times New Roman" w:cs="Times New Roman"/>
                      <w:color w:val="auto"/>
                      <w:sz w:val="21"/>
                      <w:szCs w:val="21"/>
                      <w:highlight w:val="none"/>
                      <w:lang w:val="sv-SE"/>
                    </w:rPr>
                    <w:t>N</w:t>
                  </w:r>
                </w:p>
              </w:tc>
              <w:tc>
                <w:tcPr>
                  <w:tcW w:w="1428"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7.35s</w:t>
                  </w:r>
                </w:p>
              </w:tc>
              <w:tc>
                <w:tcPr>
                  <w:tcW w:w="140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tc>
              <w:tc>
                <w:tcPr>
                  <w:tcW w:w="235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16</w:t>
                  </w:r>
                  <w:r>
                    <w:rPr>
                      <w:rFonts w:hint="default" w:ascii="Times New Roman" w:hAnsi="Times New Roman" w:cs="Times New Roman"/>
                      <w:color w:val="auto"/>
                      <w:sz w:val="21"/>
                      <w:szCs w:val="21"/>
                      <w:highlight w:val="none"/>
                      <w:lang w:val="sv-SE"/>
                    </w:rPr>
                    <w:t>O(n，p)</w:t>
                  </w:r>
                  <w:r>
                    <w:rPr>
                      <w:rFonts w:hint="default" w:ascii="Times New Roman" w:hAnsi="Times New Roman" w:cs="Times New Roman"/>
                      <w:color w:val="auto"/>
                      <w:sz w:val="21"/>
                      <w:szCs w:val="21"/>
                      <w:highlight w:val="none"/>
                      <w:vertAlign w:val="superscript"/>
                      <w:lang w:val="sv-SE"/>
                    </w:rPr>
                    <w:t xml:space="preserve"> 16</w:t>
                  </w:r>
                  <w:r>
                    <w:rPr>
                      <w:rFonts w:hint="default" w:ascii="Times New Roman" w:hAnsi="Times New Roman" w:cs="Times New Roman"/>
                      <w:color w:val="auto"/>
                      <w:sz w:val="21"/>
                      <w:szCs w:val="21"/>
                      <w:highlight w:val="none"/>
                      <w:lang w:val="sv-SE"/>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35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空气</w:t>
                  </w:r>
                </w:p>
              </w:tc>
              <w:tc>
                <w:tcPr>
                  <w:tcW w:w="929"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氮</w:t>
                  </w:r>
                </w:p>
              </w:tc>
              <w:tc>
                <w:tcPr>
                  <w:tcW w:w="146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13</w:t>
                  </w:r>
                  <w:r>
                    <w:rPr>
                      <w:rFonts w:hint="default" w:ascii="Times New Roman" w:hAnsi="Times New Roman" w:cs="Times New Roman"/>
                      <w:color w:val="auto"/>
                      <w:sz w:val="21"/>
                      <w:szCs w:val="21"/>
                      <w:highlight w:val="none"/>
                      <w:lang w:val="sv-SE"/>
                    </w:rPr>
                    <w:t>N</w:t>
                  </w:r>
                </w:p>
              </w:tc>
              <w:tc>
                <w:tcPr>
                  <w:tcW w:w="1428"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lang w:val="sv-SE"/>
                    </w:rPr>
                    <w:t>10min</w:t>
                  </w:r>
                </w:p>
              </w:tc>
              <w:tc>
                <w:tcPr>
                  <w:tcW w:w="140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rPr>
                    <w:t>β</w:t>
                  </w:r>
                  <w:r>
                    <w:rPr>
                      <w:rFonts w:hint="default" w:ascii="Times New Roman" w:hAnsi="Times New Roman" w:cs="Times New Roman"/>
                      <w:color w:val="auto"/>
                      <w:sz w:val="21"/>
                      <w:szCs w:val="21"/>
                      <w:highlight w:val="none"/>
                      <w:vertAlign w:val="superscript"/>
                      <w:lang w:val="sv-SE"/>
                    </w:rPr>
                    <w:t>+</w:t>
                  </w:r>
                  <w:r>
                    <w:rPr>
                      <w:rFonts w:hint="default" w:ascii="Times New Roman" w:hAnsi="Times New Roman" w:cs="Times New Roman"/>
                      <w:color w:val="auto"/>
                      <w:sz w:val="21"/>
                      <w:szCs w:val="21"/>
                      <w:highlight w:val="none"/>
                    </w:rPr>
                    <w:t>、γ</w:t>
                  </w:r>
                </w:p>
              </w:tc>
              <w:tc>
                <w:tcPr>
                  <w:tcW w:w="235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sv-SE"/>
                    </w:rPr>
                  </w:pPr>
                  <w:r>
                    <w:rPr>
                      <w:rFonts w:hint="default" w:ascii="Times New Roman" w:hAnsi="Times New Roman" w:cs="Times New Roman"/>
                      <w:color w:val="auto"/>
                      <w:sz w:val="21"/>
                      <w:szCs w:val="21"/>
                      <w:highlight w:val="none"/>
                      <w:vertAlign w:val="superscript"/>
                      <w:lang w:val="sv-SE"/>
                    </w:rPr>
                    <w:t>14</w:t>
                  </w:r>
                  <w:r>
                    <w:rPr>
                      <w:rFonts w:hint="default" w:ascii="Times New Roman" w:hAnsi="Times New Roman" w:cs="Times New Roman"/>
                      <w:color w:val="auto"/>
                      <w:sz w:val="21"/>
                      <w:szCs w:val="21"/>
                      <w:highlight w:val="none"/>
                      <w:lang w:val="sv-SE"/>
                    </w:rPr>
                    <w:t>N(r，n)</w:t>
                  </w:r>
                  <w:r>
                    <w:rPr>
                      <w:rFonts w:hint="default" w:ascii="Times New Roman" w:hAnsi="Times New Roman" w:cs="Times New Roman"/>
                      <w:color w:val="auto"/>
                      <w:sz w:val="21"/>
                      <w:szCs w:val="21"/>
                      <w:highlight w:val="none"/>
                      <w:vertAlign w:val="superscript"/>
                      <w:lang w:val="sv-SE"/>
                    </w:rPr>
                    <w:t xml:space="preserve"> 13</w:t>
                  </w:r>
                  <w:r>
                    <w:rPr>
                      <w:rFonts w:hint="default" w:ascii="Times New Roman" w:hAnsi="Times New Roman" w:cs="Times New Roman"/>
                      <w:color w:val="auto"/>
                      <w:sz w:val="21"/>
                      <w:szCs w:val="21"/>
                      <w:highlight w:val="none"/>
                      <w:lang w:val="sv-SE"/>
                    </w:rPr>
                    <w:t>N</w:t>
                  </w:r>
                </w:p>
              </w:tc>
            </w:tr>
          </w:tbl>
          <w:p>
            <w:pPr>
              <w:keepNext w:val="0"/>
              <w:keepLines w:val="0"/>
              <w:pageBreakBefore w:val="0"/>
              <w:widowControl w:val="0"/>
              <w:suppressLineNumbers w:val="0"/>
              <w:kinsoku/>
              <w:wordWrap/>
              <w:overflowPunct/>
              <w:topLinePunct w:val="0"/>
              <w:autoSpaceDE/>
              <w:autoSpaceDN/>
              <w:bidi w:val="0"/>
              <w:adjustRightInd/>
              <w:snapToGrid/>
              <w:spacing w:before="95" w:beforeLines="3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由表</w:t>
            </w:r>
            <w:r>
              <w:rPr>
                <w:rFonts w:hint="default"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可知</w:t>
            </w:r>
            <w:r>
              <w:rPr>
                <w:rFonts w:hint="default" w:ascii="Times New Roman" w:hAnsi="Times New Roman" w:cs="Times New Roman"/>
                <w:color w:val="auto"/>
                <w:sz w:val="24"/>
                <w:szCs w:val="24"/>
                <w:highlight w:val="none"/>
                <w:lang w:val="sv-SE"/>
              </w:rPr>
              <w:t>，</w:t>
            </w:r>
            <w:r>
              <w:rPr>
                <w:rFonts w:hint="default" w:ascii="Times New Roman" w:hAnsi="Times New Roman" w:cs="Times New Roman"/>
                <w:color w:val="auto"/>
                <w:sz w:val="24"/>
                <w:szCs w:val="24"/>
                <w:highlight w:val="none"/>
                <w:lang w:val="en-US" w:eastAsia="zh-CN"/>
              </w:rPr>
              <w:t>医用直线加速器</w:t>
            </w:r>
            <w:r>
              <w:rPr>
                <w:rFonts w:hint="default" w:ascii="Times New Roman" w:hAnsi="Times New Roman" w:cs="Times New Roman"/>
                <w:color w:val="auto"/>
                <w:sz w:val="24"/>
                <w:szCs w:val="24"/>
                <w:highlight w:val="none"/>
              </w:rPr>
              <w:t>运行中产生的感生放射性产物</w:t>
            </w:r>
            <w:r>
              <w:rPr>
                <w:rFonts w:hint="default" w:ascii="Times New Roman" w:hAnsi="Times New Roman" w:cs="Times New Roman"/>
                <w:color w:val="auto"/>
                <w:sz w:val="24"/>
                <w:szCs w:val="24"/>
                <w:highlight w:val="none"/>
                <w:lang w:val="sv-SE"/>
              </w:rPr>
              <w:t>，</w:t>
            </w:r>
            <w:r>
              <w:rPr>
                <w:rFonts w:hint="default" w:ascii="Times New Roman" w:hAnsi="Times New Roman" w:cs="Times New Roman"/>
                <w:color w:val="auto"/>
                <w:sz w:val="24"/>
                <w:szCs w:val="24"/>
                <w:highlight w:val="none"/>
              </w:rPr>
              <w:t>其辐射类型多数为β</w:t>
            </w:r>
            <w:r>
              <w:rPr>
                <w:rFonts w:hint="default" w:ascii="Times New Roman" w:hAnsi="Times New Roman" w:cs="Times New Roman"/>
                <w:color w:val="auto"/>
                <w:sz w:val="24"/>
                <w:szCs w:val="24"/>
                <w:highlight w:val="none"/>
                <w:vertAlign w:val="superscript"/>
                <w:lang w:val="sv-SE"/>
              </w:rPr>
              <w:t>-</w:t>
            </w:r>
            <w:r>
              <w:rPr>
                <w:rFonts w:hint="default" w:ascii="Times New Roman" w:hAnsi="Times New Roman" w:cs="Times New Roman"/>
                <w:color w:val="auto"/>
                <w:sz w:val="24"/>
                <w:szCs w:val="24"/>
                <w:highlight w:val="none"/>
              </w:rPr>
              <w:t>、γ辐射</w:t>
            </w:r>
            <w:r>
              <w:rPr>
                <w:rFonts w:hint="default" w:ascii="Times New Roman" w:hAnsi="Times New Roman" w:cs="Times New Roman"/>
                <w:color w:val="auto"/>
                <w:sz w:val="24"/>
                <w:szCs w:val="24"/>
                <w:highlight w:val="none"/>
                <w:lang w:val="sv-SE"/>
              </w:rPr>
              <w:t>，</w:t>
            </w:r>
            <w:r>
              <w:rPr>
                <w:rFonts w:hint="default" w:ascii="Times New Roman" w:hAnsi="Times New Roman" w:cs="Times New Roman"/>
                <w:color w:val="auto"/>
                <w:sz w:val="24"/>
                <w:szCs w:val="24"/>
                <w:highlight w:val="none"/>
              </w:rPr>
              <w:t>也有少量β</w:t>
            </w:r>
            <w:r>
              <w:rPr>
                <w:rFonts w:hint="default" w:ascii="Times New Roman" w:hAnsi="Times New Roman" w:cs="Times New Roman"/>
                <w:color w:val="auto"/>
                <w:sz w:val="24"/>
                <w:szCs w:val="24"/>
                <w:highlight w:val="none"/>
                <w:vertAlign w:val="superscript"/>
                <w:lang w:val="sv-SE"/>
              </w:rPr>
              <w:t>+</w:t>
            </w:r>
            <w:r>
              <w:rPr>
                <w:rFonts w:hint="default" w:ascii="Times New Roman" w:hAnsi="Times New Roman" w:cs="Times New Roman"/>
                <w:color w:val="auto"/>
                <w:sz w:val="24"/>
                <w:szCs w:val="24"/>
                <w:highlight w:val="none"/>
              </w:rPr>
              <w:t>、γ辐射</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其半衰期最长</w:t>
            </w:r>
            <w:r>
              <w:rPr>
                <w:rFonts w:hint="default"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为14.9h，而最短</w:t>
            </w:r>
            <w:r>
              <w:rPr>
                <w:rFonts w:hint="default"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仅有7.35s，均属短半衰期核素。对加速器部件、治疗室内设备、墙体和冷却水等固、液态物质产生的感生放射性，其β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和β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辐射经自吸收、设备屏蔽和距离及自然衰减后，对医生和接受治疗的患者已基本无影响。对于γ辐射由于穿透力较强，医生在治疗室内</w:t>
            </w:r>
            <w:r>
              <w:rPr>
                <w:rFonts w:hint="default" w:ascii="Times New Roman" w:hAnsi="Times New Roman" w:cs="Times New Roman"/>
                <w:color w:val="auto"/>
                <w:sz w:val="24"/>
                <w:szCs w:val="24"/>
                <w:highlight w:val="none"/>
                <w:lang w:val="en-US" w:eastAsia="zh-CN"/>
              </w:rPr>
              <w:t>进行</w:t>
            </w:r>
            <w:r>
              <w:rPr>
                <w:rFonts w:hint="default" w:ascii="Times New Roman" w:hAnsi="Times New Roman" w:cs="Times New Roman"/>
                <w:color w:val="auto"/>
                <w:sz w:val="24"/>
                <w:szCs w:val="24"/>
                <w:highlight w:val="none"/>
              </w:rPr>
              <w:t>病人摆位时，</w:t>
            </w:r>
            <w:r>
              <w:rPr>
                <w:rFonts w:hint="default" w:ascii="Times New Roman" w:hAnsi="Times New Roman" w:cs="Times New Roman"/>
                <w:color w:val="auto"/>
                <w:sz w:val="24"/>
                <w:szCs w:val="24"/>
                <w:highlight w:val="none"/>
                <w:lang w:val="en-US" w:eastAsia="zh-CN"/>
              </w:rPr>
              <w:t>应尽量缩短操作时间</w:t>
            </w:r>
            <w:r>
              <w:rPr>
                <w:rFonts w:hint="default" w:ascii="Times New Roman" w:hAnsi="Times New Roman" w:cs="Times New Roman"/>
                <w:color w:val="auto"/>
                <w:sz w:val="24"/>
                <w:szCs w:val="24"/>
                <w:highlight w:val="none"/>
              </w:rPr>
              <w:t>，并与感生放射性较强的设备（如照射头等）保持一定的距离，并佩戴好个人防护用品，以尽量减少感生放射性的影响。对于接受治疗的患者，由于治疗时间短、治疗频度小，无需对医用加速器的感生放射性</w:t>
            </w:r>
            <w:r>
              <w:rPr>
                <w:rFonts w:hint="default" w:ascii="Times New Roman" w:hAnsi="Times New Roman" w:cs="Times New Roman"/>
                <w:color w:val="auto"/>
                <w:sz w:val="24"/>
                <w:szCs w:val="24"/>
                <w:highlight w:val="none"/>
                <w:lang w:val="en-US" w:eastAsia="zh-CN"/>
              </w:rPr>
              <w:t>做</w:t>
            </w:r>
            <w:r>
              <w:rPr>
                <w:rFonts w:hint="default" w:ascii="Times New Roman" w:hAnsi="Times New Roman" w:cs="Times New Roman"/>
                <w:color w:val="auto"/>
                <w:sz w:val="24"/>
                <w:szCs w:val="24"/>
                <w:highlight w:val="none"/>
              </w:rPr>
              <w:t>专门防护。</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color w:val="auto"/>
                <w:sz w:val="24"/>
                <w:lang w:eastAsia="zh-CN"/>
              </w:rPr>
            </w:pPr>
            <w:r>
              <w:rPr>
                <w:rFonts w:hint="default" w:ascii="Times New Roman" w:hAnsi="Times New Roman" w:cs="Times New Roman"/>
                <w:b w:val="0"/>
                <w:color w:val="auto"/>
                <w:sz w:val="24"/>
              </w:rPr>
              <w:t>为防止感生放射性对医生、维修人员和患者的照射，医院采取的相应防护措施如下：</w:t>
            </w:r>
            <w:r>
              <w:rPr>
                <w:rFonts w:hint="default" w:ascii="Times New Roman" w:hAnsi="Times New Roman" w:cs="Times New Roman"/>
                <w:b w:val="0"/>
                <w:color w:val="auto"/>
                <w:sz w:val="24"/>
              </w:rPr>
              <w:fldChar w:fldCharType="begin"/>
            </w:r>
            <w:r>
              <w:rPr>
                <w:rFonts w:hint="default" w:ascii="Times New Roman" w:hAnsi="Times New Roman" w:cs="Times New Roman"/>
                <w:b w:val="0"/>
                <w:color w:val="auto"/>
                <w:sz w:val="24"/>
              </w:rPr>
              <w:instrText xml:space="preserve"> = 1 \* GB3 \* MERGEFORMAT </w:instrText>
            </w:r>
            <w:r>
              <w:rPr>
                <w:rFonts w:hint="default" w:ascii="Times New Roman" w:hAnsi="Times New Roman" w:cs="Times New Roman"/>
                <w:b w:val="0"/>
                <w:color w:val="auto"/>
                <w:sz w:val="24"/>
              </w:rPr>
              <w:fldChar w:fldCharType="separate"/>
            </w:r>
            <w:r>
              <w:rPr>
                <w:rFonts w:hint="default" w:ascii="Times New Roman" w:hAnsi="Times New Roman" w:cs="Times New Roman"/>
                <w:b w:val="0"/>
                <w:color w:val="auto"/>
                <w:sz w:val="24"/>
              </w:rPr>
              <w:t>①</w:t>
            </w:r>
            <w:r>
              <w:rPr>
                <w:rFonts w:hint="default" w:ascii="Times New Roman" w:hAnsi="Times New Roman" w:cs="Times New Roman"/>
                <w:b w:val="0"/>
                <w:color w:val="auto"/>
                <w:sz w:val="24"/>
              </w:rPr>
              <w:fldChar w:fldCharType="end"/>
            </w:r>
            <w:r>
              <w:rPr>
                <w:rFonts w:hint="default" w:ascii="Times New Roman" w:hAnsi="Times New Roman" w:cs="Times New Roman"/>
                <w:b w:val="0"/>
                <w:color w:val="auto"/>
                <w:sz w:val="24"/>
              </w:rPr>
              <w:t>利用感生放射性核素半衰期比较短的特点，待其衰变到环境本底辐射水平后，相关人员才能对感生放射性部件加以处置或与其接触；</w:t>
            </w:r>
            <w:r>
              <w:rPr>
                <w:rFonts w:hint="default" w:ascii="Times New Roman" w:hAnsi="Times New Roman" w:cs="Times New Roman"/>
                <w:b w:val="0"/>
                <w:color w:val="auto"/>
                <w:sz w:val="24"/>
              </w:rPr>
              <w:fldChar w:fldCharType="begin"/>
            </w:r>
            <w:r>
              <w:rPr>
                <w:rFonts w:hint="default" w:ascii="Times New Roman" w:hAnsi="Times New Roman" w:cs="Times New Roman"/>
                <w:b w:val="0"/>
                <w:color w:val="auto"/>
                <w:sz w:val="24"/>
              </w:rPr>
              <w:instrText xml:space="preserve"> = 2 \* GB3 \* MERGEFORMAT </w:instrText>
            </w:r>
            <w:r>
              <w:rPr>
                <w:rFonts w:hint="default" w:ascii="Times New Roman" w:hAnsi="Times New Roman" w:cs="Times New Roman"/>
                <w:b w:val="0"/>
                <w:color w:val="auto"/>
                <w:sz w:val="24"/>
              </w:rPr>
              <w:fldChar w:fldCharType="separate"/>
            </w:r>
            <w:r>
              <w:rPr>
                <w:rFonts w:hint="default" w:ascii="Times New Roman" w:hAnsi="Times New Roman" w:cs="Times New Roman"/>
                <w:b w:val="0"/>
                <w:color w:val="auto"/>
                <w:sz w:val="24"/>
              </w:rPr>
              <w:t>②</w:t>
            </w:r>
            <w:r>
              <w:rPr>
                <w:rFonts w:hint="default" w:ascii="Times New Roman" w:hAnsi="Times New Roman" w:cs="Times New Roman"/>
                <w:b w:val="0"/>
                <w:color w:val="auto"/>
                <w:sz w:val="24"/>
              </w:rPr>
              <w:fldChar w:fldCharType="end"/>
            </w:r>
            <w:r>
              <w:rPr>
                <w:rFonts w:hint="default" w:ascii="Times New Roman" w:hAnsi="Times New Roman" w:cs="Times New Roman"/>
                <w:b w:val="0"/>
                <w:color w:val="auto"/>
                <w:sz w:val="24"/>
              </w:rPr>
              <w:t>采用距离防护方法，利用与其间隔一段距离的办法加以防护；</w:t>
            </w:r>
            <w:r>
              <w:rPr>
                <w:rFonts w:hint="default" w:ascii="Times New Roman" w:hAnsi="Times New Roman" w:cs="Times New Roman"/>
                <w:b w:val="0"/>
                <w:color w:val="auto"/>
                <w:sz w:val="24"/>
              </w:rPr>
              <w:fldChar w:fldCharType="begin"/>
            </w:r>
            <w:r>
              <w:rPr>
                <w:rFonts w:hint="default" w:ascii="Times New Roman" w:hAnsi="Times New Roman" w:cs="Times New Roman"/>
                <w:b w:val="0"/>
                <w:color w:val="auto"/>
                <w:sz w:val="24"/>
              </w:rPr>
              <w:instrText xml:space="preserve"> = 3 \* GB3 \* MERGEFORMAT </w:instrText>
            </w:r>
            <w:r>
              <w:rPr>
                <w:rFonts w:hint="default" w:ascii="Times New Roman" w:hAnsi="Times New Roman" w:cs="Times New Roman"/>
                <w:b w:val="0"/>
                <w:color w:val="auto"/>
                <w:sz w:val="24"/>
              </w:rPr>
              <w:fldChar w:fldCharType="separate"/>
            </w:r>
            <w:r>
              <w:rPr>
                <w:rFonts w:hint="default" w:ascii="Times New Roman" w:hAnsi="Times New Roman" w:cs="Times New Roman"/>
                <w:b w:val="0"/>
                <w:color w:val="auto"/>
                <w:sz w:val="24"/>
              </w:rPr>
              <w:t>③</w:t>
            </w:r>
            <w:r>
              <w:rPr>
                <w:rFonts w:hint="default" w:ascii="Times New Roman" w:hAnsi="Times New Roman" w:cs="Times New Roman"/>
                <w:b w:val="0"/>
                <w:color w:val="auto"/>
                <w:sz w:val="24"/>
              </w:rPr>
              <w:fldChar w:fldCharType="end"/>
            </w:r>
            <w:r>
              <w:rPr>
                <w:rFonts w:hint="default" w:ascii="Times New Roman" w:hAnsi="Times New Roman" w:cs="Times New Roman"/>
                <w:b w:val="0"/>
                <w:color w:val="auto"/>
                <w:sz w:val="24"/>
              </w:rPr>
              <w:t>加速器退役时，应对加速器部件的感生放射性进行一次调查，测定辐射水平，高于豁免值的部件应作为放射性固体废物进行处理</w:t>
            </w:r>
            <w:r>
              <w:rPr>
                <w:rFonts w:hint="default" w:ascii="Times New Roman" w:hAnsi="Times New Roman" w:cs="Times New Roman"/>
                <w:b w:val="0"/>
                <w:color w:val="auto"/>
                <w:sz w:val="24"/>
                <w:lang w:eastAsia="zh-CN"/>
              </w:rPr>
              <w:t>；</w:t>
            </w:r>
            <w:r>
              <w:rPr>
                <w:rFonts w:hint="default" w:ascii="Times New Roman" w:hAnsi="Times New Roman" w:cs="Times New Roman"/>
                <w:b w:val="0"/>
                <w:color w:val="auto"/>
                <w:sz w:val="24"/>
                <w:lang w:eastAsia="zh-CN"/>
              </w:rPr>
              <w:fldChar w:fldCharType="begin"/>
            </w:r>
            <w:r>
              <w:rPr>
                <w:rFonts w:hint="default" w:ascii="Times New Roman" w:hAnsi="Times New Roman" w:cs="Times New Roman"/>
                <w:b w:val="0"/>
                <w:color w:val="auto"/>
                <w:sz w:val="24"/>
                <w:lang w:eastAsia="zh-CN"/>
              </w:rPr>
              <w:instrText xml:space="preserve"> = 4 \* GB3 \* MERGEFORMAT </w:instrText>
            </w:r>
            <w:r>
              <w:rPr>
                <w:rFonts w:hint="default" w:ascii="Times New Roman" w:hAnsi="Times New Roman" w:cs="Times New Roman"/>
                <w:b w:val="0"/>
                <w:color w:val="auto"/>
                <w:sz w:val="24"/>
                <w:lang w:eastAsia="zh-CN"/>
              </w:rPr>
              <w:fldChar w:fldCharType="separate"/>
            </w:r>
            <w:r>
              <w:rPr>
                <w:rFonts w:hint="default" w:ascii="Times New Roman" w:hAnsi="Times New Roman" w:cs="Times New Roman"/>
                <w:b w:val="0"/>
                <w:color w:val="auto"/>
                <w:sz w:val="24"/>
              </w:rPr>
              <w:t>④</w:t>
            </w:r>
            <w:r>
              <w:rPr>
                <w:rFonts w:hint="default" w:ascii="Times New Roman" w:hAnsi="Times New Roman" w:cs="Times New Roman"/>
                <w:b w:val="0"/>
                <w:color w:val="auto"/>
                <w:sz w:val="24"/>
                <w:lang w:eastAsia="zh-CN"/>
              </w:rPr>
              <w:fldChar w:fldCharType="end"/>
            </w:r>
            <w:r>
              <w:rPr>
                <w:rFonts w:hint="default" w:ascii="Times New Roman" w:hAnsi="Times New Roman" w:cs="Times New Roman"/>
                <w:b w:val="0"/>
                <w:color w:val="auto"/>
                <w:sz w:val="24"/>
              </w:rPr>
              <w:t>待空气中的感生放射性核素衰变到环境本底辐射水平后，人员才能进入</w:t>
            </w:r>
            <w:r>
              <w:rPr>
                <w:rFonts w:hint="default" w:ascii="Times New Roman" w:hAnsi="Times New Roman" w:cs="Times New Roman"/>
                <w:b w:val="0"/>
                <w:color w:val="auto"/>
                <w:sz w:val="24"/>
                <w:lang w:val="en-US" w:eastAsia="zh-CN"/>
              </w:rPr>
              <w:t>治疗室</w:t>
            </w:r>
            <w:r>
              <w:rPr>
                <w:rFonts w:hint="default" w:ascii="Times New Roman" w:hAnsi="Times New Roman" w:cs="Times New Roman"/>
                <w:b w:val="0"/>
                <w:color w:val="auto"/>
                <w:sz w:val="24"/>
              </w:rPr>
              <w:t>；</w:t>
            </w:r>
            <w:r>
              <w:rPr>
                <w:rFonts w:hint="default" w:ascii="Times New Roman" w:hAnsi="Times New Roman" w:cs="Times New Roman"/>
                <w:b w:val="0"/>
                <w:color w:val="auto"/>
                <w:sz w:val="24"/>
              </w:rPr>
              <w:fldChar w:fldCharType="begin"/>
            </w:r>
            <w:r>
              <w:rPr>
                <w:rFonts w:hint="default" w:ascii="Times New Roman" w:hAnsi="Times New Roman" w:cs="Times New Roman"/>
                <w:b w:val="0"/>
                <w:color w:val="auto"/>
                <w:sz w:val="24"/>
              </w:rPr>
              <w:instrText xml:space="preserve"> = 5 \* GB3 \* MERGEFORMAT </w:instrText>
            </w:r>
            <w:r>
              <w:rPr>
                <w:rFonts w:hint="default" w:ascii="Times New Roman" w:hAnsi="Times New Roman" w:cs="Times New Roman"/>
                <w:b w:val="0"/>
                <w:color w:val="auto"/>
                <w:sz w:val="24"/>
              </w:rPr>
              <w:fldChar w:fldCharType="separate"/>
            </w:r>
            <w:r>
              <w:rPr>
                <w:rFonts w:hint="default" w:ascii="Times New Roman" w:hAnsi="Times New Roman" w:cs="Times New Roman"/>
                <w:b w:val="0"/>
                <w:color w:val="auto"/>
                <w:sz w:val="24"/>
              </w:rPr>
              <w:t>⑤</w:t>
            </w:r>
            <w:r>
              <w:rPr>
                <w:rFonts w:hint="default" w:ascii="Times New Roman" w:hAnsi="Times New Roman" w:cs="Times New Roman"/>
                <w:b w:val="0"/>
                <w:color w:val="auto"/>
                <w:sz w:val="24"/>
              </w:rPr>
              <w:fldChar w:fldCharType="end"/>
            </w:r>
            <w:r>
              <w:rPr>
                <w:rFonts w:hint="default" w:ascii="Times New Roman" w:hAnsi="Times New Roman" w:cs="Times New Roman"/>
                <w:b w:val="0"/>
                <w:color w:val="auto"/>
                <w:sz w:val="24"/>
              </w:rPr>
              <w:t>用通风方式将空气中的感生放射性核素排出治疗室外</w:t>
            </w:r>
            <w:r>
              <w:rPr>
                <w:rFonts w:hint="default" w:ascii="Times New Roman" w:hAnsi="Times New Roman" w:cs="Times New Roman"/>
                <w:b w:val="0"/>
                <w:color w:val="auto"/>
                <w:sz w:val="24"/>
                <w:lang w:eastAsia="zh-CN"/>
              </w:rPr>
              <w:t>；</w:t>
            </w:r>
            <w:r>
              <w:rPr>
                <w:rFonts w:hint="default" w:ascii="Times New Roman" w:hAnsi="Times New Roman" w:cs="Times New Roman"/>
                <w:b w:val="0"/>
                <w:color w:val="auto"/>
                <w:sz w:val="24"/>
                <w:lang w:eastAsia="zh-CN"/>
              </w:rPr>
              <w:fldChar w:fldCharType="begin"/>
            </w:r>
            <w:r>
              <w:rPr>
                <w:rFonts w:hint="default" w:ascii="Times New Roman" w:hAnsi="Times New Roman" w:cs="Times New Roman"/>
                <w:b w:val="0"/>
                <w:color w:val="auto"/>
                <w:sz w:val="24"/>
                <w:lang w:eastAsia="zh-CN"/>
              </w:rPr>
              <w:instrText xml:space="preserve"> = 6 \* GB3 \* MERGEFORMAT </w:instrText>
            </w:r>
            <w:r>
              <w:rPr>
                <w:rFonts w:hint="default" w:ascii="Times New Roman" w:hAnsi="Times New Roman" w:cs="Times New Roman"/>
                <w:b w:val="0"/>
                <w:color w:val="auto"/>
                <w:sz w:val="24"/>
                <w:lang w:eastAsia="zh-CN"/>
              </w:rPr>
              <w:fldChar w:fldCharType="separate"/>
            </w:r>
            <w:r>
              <w:rPr>
                <w:rFonts w:hint="default" w:ascii="Times New Roman" w:hAnsi="Times New Roman" w:cs="Times New Roman"/>
                <w:b w:val="0"/>
                <w:color w:val="auto"/>
                <w:sz w:val="24"/>
              </w:rPr>
              <w:t>⑥</w:t>
            </w:r>
            <w:r>
              <w:rPr>
                <w:rFonts w:hint="default" w:ascii="Times New Roman" w:hAnsi="Times New Roman" w:cs="Times New Roman"/>
                <w:b w:val="0"/>
                <w:color w:val="auto"/>
                <w:sz w:val="24"/>
                <w:lang w:eastAsia="zh-CN"/>
              </w:rPr>
              <w:fldChar w:fldCharType="end"/>
            </w:r>
            <w:r>
              <w:rPr>
                <w:rFonts w:hint="default" w:ascii="Times New Roman" w:hAnsi="Times New Roman" w:cs="Times New Roman"/>
                <w:b w:val="0"/>
                <w:color w:val="auto"/>
                <w:sz w:val="24"/>
              </w:rPr>
              <w:t>加速器运行时，尽量减少人员进入水冷机房；</w:t>
            </w:r>
            <w:r>
              <w:rPr>
                <w:rFonts w:hint="default" w:ascii="Times New Roman" w:hAnsi="Times New Roman" w:cs="Times New Roman"/>
                <w:b w:val="0"/>
                <w:color w:val="auto"/>
                <w:sz w:val="24"/>
              </w:rPr>
              <w:fldChar w:fldCharType="begin"/>
            </w:r>
            <w:r>
              <w:rPr>
                <w:rFonts w:hint="default" w:ascii="Times New Roman" w:hAnsi="Times New Roman" w:cs="Times New Roman"/>
                <w:b w:val="0"/>
                <w:color w:val="auto"/>
                <w:sz w:val="24"/>
              </w:rPr>
              <w:instrText xml:space="preserve"> = 7 \* GB3 \* MERGEFORMAT </w:instrText>
            </w:r>
            <w:r>
              <w:rPr>
                <w:rFonts w:hint="default" w:ascii="Times New Roman" w:hAnsi="Times New Roman" w:cs="Times New Roman"/>
                <w:b w:val="0"/>
                <w:color w:val="auto"/>
                <w:sz w:val="24"/>
              </w:rPr>
              <w:fldChar w:fldCharType="separate"/>
            </w:r>
            <w:r>
              <w:rPr>
                <w:rFonts w:hint="default" w:ascii="Times New Roman" w:hAnsi="Times New Roman" w:cs="Times New Roman"/>
                <w:b w:val="0"/>
                <w:color w:val="auto"/>
                <w:sz w:val="24"/>
              </w:rPr>
              <w:t>⑦</w:t>
            </w:r>
            <w:r>
              <w:rPr>
                <w:rFonts w:hint="default" w:ascii="Times New Roman" w:hAnsi="Times New Roman" w:cs="Times New Roman"/>
                <w:b w:val="0"/>
                <w:color w:val="auto"/>
                <w:sz w:val="24"/>
              </w:rPr>
              <w:fldChar w:fldCharType="end"/>
            </w:r>
            <w:r>
              <w:rPr>
                <w:rFonts w:hint="default" w:ascii="Times New Roman" w:hAnsi="Times New Roman" w:cs="Times New Roman"/>
                <w:b w:val="0"/>
                <w:color w:val="auto"/>
                <w:sz w:val="24"/>
              </w:rPr>
              <w:t>冷却水系统需要检查、检修时，检修人员应在加速器运行停机一段时间后方可进入水冷机房，进入时应进行辐射监测。</w:t>
            </w:r>
          </w:p>
          <w:p>
            <w:pPr>
              <w:pStyle w:val="28"/>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lang w:eastAsia="zh-CN"/>
              </w:rPr>
            </w:pPr>
            <w:r>
              <w:rPr>
                <w:rFonts w:hint="default" w:ascii="Times New Roman" w:hAnsi="Times New Roman" w:eastAsia="宋体" w:cs="Times New Roman"/>
                <w:b/>
                <w:bCs w:val="0"/>
                <w:color w:val="auto"/>
                <w:sz w:val="24"/>
                <w:lang w:eastAsia="zh-CN"/>
              </w:rPr>
              <w:t>（</w:t>
            </w:r>
            <w:r>
              <w:rPr>
                <w:rFonts w:hint="eastAsia" w:ascii="Times New Roman" w:hAnsi="Times New Roman" w:cs="Times New Roman"/>
                <w:b/>
                <w:bCs w:val="0"/>
                <w:color w:val="auto"/>
                <w:sz w:val="24"/>
                <w:lang w:val="en-US" w:eastAsia="zh-CN"/>
              </w:rPr>
              <w:t>5</w:t>
            </w:r>
            <w:r>
              <w:rPr>
                <w:rFonts w:hint="default" w:ascii="Times New Roman" w:hAnsi="Times New Roman" w:eastAsia="宋体" w:cs="Times New Roman"/>
                <w:b/>
                <w:bCs w:val="0"/>
                <w:color w:val="auto"/>
                <w:sz w:val="24"/>
                <w:lang w:eastAsia="zh-CN"/>
              </w:rPr>
              <w:t>）辐射防护措施</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color w:val="auto"/>
                <w:sz w:val="24"/>
              </w:rPr>
            </w:pPr>
            <w:r>
              <w:rPr>
                <w:rFonts w:hint="default" w:ascii="Times New Roman" w:hAnsi="Times New Roman" w:cs="Times New Roman"/>
                <w:b w:val="0"/>
                <w:bCs/>
                <w:color w:val="auto"/>
                <w:sz w:val="24"/>
              </w:rPr>
              <w:t>①</w:t>
            </w:r>
            <w:r>
              <w:rPr>
                <w:rFonts w:hint="default" w:ascii="Times New Roman" w:hAnsi="Times New Roman" w:cs="Times New Roman"/>
                <w:b w:val="0"/>
                <w:color w:val="auto"/>
                <w:sz w:val="24"/>
              </w:rPr>
              <w:t>操作人员隔室操作：本项目直线加速器控制室与机房之间以墙体和过道隔开，</w:t>
            </w:r>
            <w:r>
              <w:rPr>
                <w:rFonts w:hint="eastAsia" w:ascii="Times New Roman" w:hAnsi="Times New Roman" w:cs="Times New Roman"/>
                <w:b w:val="0"/>
                <w:bCs/>
                <w:color w:val="auto"/>
                <w:sz w:val="24"/>
                <w:lang w:eastAsia="zh-CN"/>
              </w:rPr>
              <w:t>治疗室内</w:t>
            </w:r>
            <w:r>
              <w:rPr>
                <w:rFonts w:hint="default" w:ascii="Times New Roman" w:hAnsi="Times New Roman" w:cs="Times New Roman"/>
                <w:b w:val="0"/>
                <w:bCs/>
                <w:color w:val="auto"/>
                <w:sz w:val="24"/>
              </w:rPr>
              <w:t>拟安装电视监控、对讲装置，控制室能通过电视监控观察</w:t>
            </w:r>
            <w:r>
              <w:rPr>
                <w:rFonts w:hint="eastAsia" w:ascii="Times New Roman" w:hAnsi="Times New Roman" w:cs="Times New Roman"/>
                <w:b w:val="0"/>
                <w:bCs/>
                <w:color w:val="auto"/>
                <w:sz w:val="24"/>
                <w:lang w:eastAsia="zh-CN"/>
              </w:rPr>
              <w:t>治疗室内</w:t>
            </w:r>
            <w:r>
              <w:rPr>
                <w:rFonts w:hint="default" w:ascii="Times New Roman" w:hAnsi="Times New Roman" w:cs="Times New Roman"/>
                <w:b w:val="0"/>
                <w:bCs/>
                <w:color w:val="auto"/>
                <w:sz w:val="24"/>
              </w:rPr>
              <w:t>患者治疗的情况，并通过对讲机与</w:t>
            </w:r>
            <w:r>
              <w:rPr>
                <w:rFonts w:hint="eastAsia" w:ascii="Times New Roman" w:hAnsi="Times New Roman" w:cs="Times New Roman"/>
                <w:b w:val="0"/>
                <w:bCs/>
                <w:color w:val="auto"/>
                <w:sz w:val="24"/>
                <w:lang w:eastAsia="zh-CN"/>
              </w:rPr>
              <w:t>治疗室内</w:t>
            </w:r>
            <w:r>
              <w:rPr>
                <w:rFonts w:hint="default" w:ascii="Times New Roman" w:hAnsi="Times New Roman" w:cs="Times New Roman"/>
                <w:b w:val="0"/>
                <w:bCs/>
                <w:color w:val="auto"/>
                <w:sz w:val="24"/>
              </w:rPr>
              <w:t>患者</w:t>
            </w:r>
            <w:r>
              <w:rPr>
                <w:rFonts w:hint="default" w:ascii="Times New Roman" w:hAnsi="Times New Roman" w:cs="Times New Roman"/>
                <w:b w:val="0"/>
                <w:bCs/>
                <w:color w:val="auto"/>
                <w:sz w:val="24"/>
                <w:lang w:val="en-US" w:eastAsia="zh-CN"/>
              </w:rPr>
              <w:t>沟通</w:t>
            </w:r>
            <w:r>
              <w:rPr>
                <w:rFonts w:hint="default" w:ascii="Times New Roman" w:hAnsi="Times New Roman" w:cs="Times New Roman"/>
                <w:b w:val="0"/>
                <w:color w:val="auto"/>
                <w:sz w:val="24"/>
              </w:rPr>
              <w:t>。</w:t>
            </w:r>
            <w:r>
              <w:rPr>
                <w:rFonts w:hint="eastAsia" w:ascii="Times New Roman" w:hAnsi="Times New Roman" w:cs="Times New Roman"/>
                <w:b w:val="0"/>
                <w:color w:val="auto"/>
                <w:sz w:val="24"/>
                <w:lang w:eastAsia="zh-CN"/>
              </w:rPr>
              <w:t>治疗室内</w:t>
            </w:r>
            <w:r>
              <w:rPr>
                <w:rFonts w:hint="default" w:ascii="Times New Roman" w:hAnsi="Times New Roman" w:cs="Times New Roman"/>
                <w:b w:val="0"/>
                <w:color w:val="auto"/>
                <w:sz w:val="24"/>
              </w:rPr>
              <w:t>墙体交叉口、</w:t>
            </w:r>
            <w:r>
              <w:rPr>
                <w:rFonts w:hint="eastAsia" w:ascii="Times New Roman" w:hAnsi="Times New Roman" w:cs="Times New Roman"/>
                <w:b w:val="0"/>
                <w:color w:val="auto"/>
                <w:sz w:val="24"/>
                <w:lang w:eastAsia="zh-CN"/>
              </w:rPr>
              <w:t>迷路</w:t>
            </w:r>
            <w:r>
              <w:rPr>
                <w:rFonts w:hint="default" w:ascii="Times New Roman" w:hAnsi="Times New Roman" w:cs="Times New Roman"/>
                <w:b w:val="0"/>
                <w:color w:val="auto"/>
                <w:sz w:val="24"/>
              </w:rPr>
              <w:t>口处安装有监控装置，</w:t>
            </w:r>
            <w:r>
              <w:rPr>
                <w:rFonts w:hint="default" w:ascii="Times New Roman" w:hAnsi="Times New Roman" w:cs="Times New Roman"/>
                <w:b w:val="0"/>
                <w:color w:val="auto"/>
                <w:sz w:val="24"/>
                <w:lang w:val="en-US" w:eastAsia="zh-CN"/>
              </w:rPr>
              <w:t>确保</w:t>
            </w:r>
            <w:r>
              <w:rPr>
                <w:rFonts w:hint="eastAsia" w:ascii="Times New Roman" w:hAnsi="Times New Roman" w:cs="Times New Roman"/>
                <w:b w:val="0"/>
                <w:color w:val="auto"/>
                <w:sz w:val="24"/>
                <w:lang w:eastAsia="zh-CN"/>
              </w:rPr>
              <w:t>治疗室内</w:t>
            </w:r>
            <w:r>
              <w:rPr>
                <w:rFonts w:hint="default" w:ascii="Times New Roman" w:hAnsi="Times New Roman" w:cs="Times New Roman"/>
                <w:b w:val="0"/>
                <w:color w:val="auto"/>
                <w:sz w:val="24"/>
              </w:rPr>
              <w:t xml:space="preserve">监控全覆盖。 </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②</w:t>
            </w:r>
            <w:r>
              <w:rPr>
                <w:rFonts w:hint="default" w:ascii="Times New Roman" w:hAnsi="Times New Roman" w:cs="Times New Roman"/>
                <w:b w:val="0"/>
                <w:color w:val="auto"/>
                <w:sz w:val="24"/>
              </w:rPr>
              <w:t>门机</w:t>
            </w:r>
            <w:r>
              <w:rPr>
                <w:rFonts w:hint="eastAsia" w:ascii="Times New Roman" w:hAnsi="Times New Roman" w:cs="Times New Roman"/>
                <w:b w:val="0"/>
                <w:color w:val="auto"/>
                <w:sz w:val="24"/>
                <w:lang w:eastAsia="zh-CN"/>
              </w:rPr>
              <w:t>联锁</w:t>
            </w:r>
            <w:r>
              <w:rPr>
                <w:rFonts w:hint="default" w:ascii="Times New Roman" w:hAnsi="Times New Roman" w:cs="Times New Roman"/>
                <w:b w:val="0"/>
                <w:color w:val="auto"/>
                <w:sz w:val="24"/>
              </w:rPr>
              <w:t>装置：</w:t>
            </w:r>
            <w:r>
              <w:rPr>
                <w:rFonts w:hint="default" w:ascii="Times New Roman" w:hAnsi="Times New Roman" w:cs="Times New Roman"/>
                <w:b w:val="0"/>
                <w:bCs/>
                <w:color w:val="auto"/>
                <w:sz w:val="24"/>
              </w:rPr>
              <w:t>加速器与屏蔽门之间拟设联锁装置。屏蔽门未关好，加速器不能出束；加速器工作期间屏蔽门不能打开。</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rPr>
            </w:pPr>
            <w:r>
              <w:rPr>
                <w:rFonts w:hint="default" w:ascii="Times New Roman" w:hAnsi="Times New Roman" w:cs="Times New Roman"/>
                <w:b w:val="0"/>
                <w:color w:val="auto"/>
                <w:sz w:val="24"/>
              </w:rPr>
              <w:t>③紧急</w:t>
            </w:r>
            <w:r>
              <w:rPr>
                <w:rFonts w:hint="default" w:ascii="Times New Roman" w:hAnsi="Times New Roman" w:cs="Times New Roman"/>
                <w:b w:val="0"/>
                <w:color w:val="auto"/>
                <w:sz w:val="24"/>
                <w:lang w:val="en-US" w:eastAsia="zh-CN"/>
              </w:rPr>
              <w:t>停机</w:t>
            </w:r>
            <w:r>
              <w:rPr>
                <w:rFonts w:hint="default" w:ascii="Times New Roman" w:hAnsi="Times New Roman" w:cs="Times New Roman"/>
                <w:b w:val="0"/>
                <w:color w:val="auto"/>
                <w:sz w:val="24"/>
              </w:rPr>
              <w:t>装置和</w:t>
            </w:r>
            <w:r>
              <w:rPr>
                <w:rFonts w:hint="eastAsia" w:ascii="Times New Roman" w:hAnsi="Times New Roman" w:cs="Times New Roman"/>
                <w:b w:val="0"/>
                <w:color w:val="auto"/>
                <w:sz w:val="24"/>
                <w:lang w:eastAsia="zh-CN"/>
              </w:rPr>
              <w:t>有中文标识的紧急开门按钮</w:t>
            </w:r>
            <w:r>
              <w:rPr>
                <w:rFonts w:hint="default" w:ascii="Times New Roman" w:hAnsi="Times New Roman" w:cs="Times New Roman"/>
                <w:b w:val="0"/>
                <w:color w:val="auto"/>
                <w:sz w:val="24"/>
              </w:rPr>
              <w:t>：</w:t>
            </w:r>
            <w:r>
              <w:rPr>
                <w:rFonts w:hint="default" w:ascii="Times New Roman" w:hAnsi="Times New Roman" w:cs="Times New Roman"/>
                <w:b w:val="0"/>
                <w:bCs/>
                <w:color w:val="auto"/>
                <w:sz w:val="24"/>
              </w:rPr>
              <w:t>除了加速器治疗床、加速器主机上以及控制台上自带的</w:t>
            </w:r>
            <w:r>
              <w:rPr>
                <w:rFonts w:hint="default" w:ascii="Times New Roman" w:hAnsi="Times New Roman" w:cs="Times New Roman"/>
                <w:b w:val="0"/>
                <w:color w:val="auto"/>
                <w:sz w:val="24"/>
              </w:rPr>
              <w:t>紧急</w:t>
            </w:r>
            <w:r>
              <w:rPr>
                <w:rFonts w:hint="default" w:ascii="Times New Roman" w:hAnsi="Times New Roman" w:cs="Times New Roman"/>
                <w:b w:val="0"/>
                <w:color w:val="auto"/>
                <w:sz w:val="24"/>
                <w:lang w:val="en-US" w:eastAsia="zh-CN"/>
              </w:rPr>
              <w:t>停机</w:t>
            </w:r>
            <w:r>
              <w:rPr>
                <w:rFonts w:hint="default" w:ascii="Times New Roman" w:hAnsi="Times New Roman" w:cs="Times New Roman"/>
                <w:b w:val="0"/>
                <w:color w:val="auto"/>
                <w:sz w:val="24"/>
              </w:rPr>
              <w:t>按钮外，</w:t>
            </w:r>
            <w:r>
              <w:rPr>
                <w:rFonts w:hint="eastAsia" w:ascii="Times New Roman" w:hAnsi="Times New Roman" w:cs="Times New Roman"/>
                <w:b w:val="0"/>
                <w:bCs/>
                <w:color w:val="auto"/>
                <w:sz w:val="24"/>
                <w:lang w:eastAsia="zh-CN"/>
              </w:rPr>
              <w:t>治疗室内</w:t>
            </w:r>
            <w:r>
              <w:rPr>
                <w:rFonts w:hint="default" w:ascii="Times New Roman" w:hAnsi="Times New Roman" w:cs="Times New Roman"/>
                <w:b w:val="0"/>
                <w:bCs/>
                <w:color w:val="auto"/>
                <w:sz w:val="24"/>
              </w:rPr>
              <w:t>墙非主射线位置上设置有</w:t>
            </w:r>
            <w:r>
              <w:rPr>
                <w:rFonts w:hint="default" w:ascii="Times New Roman" w:hAnsi="Times New Roman" w:cs="Times New Roman"/>
                <w:b w:val="0"/>
                <w:color w:val="auto"/>
                <w:sz w:val="24"/>
              </w:rPr>
              <w:t>紧急</w:t>
            </w:r>
            <w:r>
              <w:rPr>
                <w:rFonts w:hint="default" w:ascii="Times New Roman" w:hAnsi="Times New Roman" w:cs="Times New Roman"/>
                <w:b w:val="0"/>
                <w:color w:val="auto"/>
                <w:sz w:val="24"/>
                <w:lang w:val="en-US" w:eastAsia="zh-CN"/>
              </w:rPr>
              <w:t>停机</w:t>
            </w:r>
            <w:r>
              <w:rPr>
                <w:rFonts w:hint="default" w:ascii="Times New Roman" w:hAnsi="Times New Roman" w:cs="Times New Roman"/>
                <w:b w:val="0"/>
                <w:color w:val="auto"/>
                <w:sz w:val="24"/>
              </w:rPr>
              <w:t>按钮</w:t>
            </w:r>
            <w:r>
              <w:rPr>
                <w:rFonts w:hint="default" w:ascii="Times New Roman" w:hAnsi="Times New Roman" w:cs="Times New Roman"/>
                <w:b w:val="0"/>
                <w:bCs/>
                <w:color w:val="auto"/>
                <w:sz w:val="24"/>
              </w:rPr>
              <w:t>，以使误入人员按动紧急</w:t>
            </w:r>
            <w:r>
              <w:rPr>
                <w:rFonts w:hint="default" w:ascii="Times New Roman" w:hAnsi="Times New Roman" w:cs="Times New Roman"/>
                <w:b w:val="0"/>
                <w:color w:val="auto"/>
                <w:sz w:val="24"/>
                <w:lang w:val="en-US" w:eastAsia="zh-CN"/>
              </w:rPr>
              <w:t>停机</w:t>
            </w:r>
            <w:r>
              <w:rPr>
                <w:rFonts w:hint="default" w:ascii="Times New Roman" w:hAnsi="Times New Roman" w:cs="Times New Roman"/>
                <w:b w:val="0"/>
                <w:color w:val="auto"/>
                <w:sz w:val="24"/>
              </w:rPr>
              <w:t>按钮</w:t>
            </w:r>
            <w:r>
              <w:rPr>
                <w:rFonts w:hint="default" w:ascii="Times New Roman" w:hAnsi="Times New Roman" w:cs="Times New Roman"/>
                <w:b w:val="0"/>
                <w:bCs/>
                <w:color w:val="auto"/>
                <w:sz w:val="24"/>
              </w:rPr>
              <w:t>就能使加速器停机；</w:t>
            </w:r>
            <w:r>
              <w:rPr>
                <w:rFonts w:hint="eastAsia" w:ascii="Times New Roman" w:hAnsi="Times New Roman" w:cs="Times New Roman"/>
                <w:b w:val="0"/>
                <w:bCs/>
                <w:color w:val="auto"/>
                <w:sz w:val="24"/>
                <w:lang w:eastAsia="zh-CN"/>
              </w:rPr>
              <w:t>迷路</w:t>
            </w:r>
            <w:r>
              <w:rPr>
                <w:rFonts w:hint="default" w:ascii="Times New Roman" w:hAnsi="Times New Roman" w:cs="Times New Roman"/>
                <w:b w:val="0"/>
                <w:bCs/>
                <w:color w:val="auto"/>
                <w:sz w:val="24"/>
              </w:rPr>
              <w:t>出口处设置了</w:t>
            </w:r>
            <w:r>
              <w:rPr>
                <w:rFonts w:hint="eastAsia" w:ascii="Times New Roman" w:hAnsi="Times New Roman" w:cs="Times New Roman"/>
                <w:b w:val="0"/>
                <w:bCs/>
                <w:color w:val="auto"/>
                <w:sz w:val="24"/>
                <w:lang w:eastAsia="zh-CN"/>
              </w:rPr>
              <w:t>有中文标识的紧急开门按钮</w:t>
            </w:r>
            <w:r>
              <w:rPr>
                <w:rFonts w:hint="default" w:ascii="Times New Roman" w:hAnsi="Times New Roman" w:cs="Times New Roman"/>
                <w:b w:val="0"/>
                <w:bCs/>
                <w:color w:val="auto"/>
                <w:sz w:val="24"/>
              </w:rPr>
              <w:t>。</w:t>
            </w:r>
          </w:p>
          <w:p>
            <w:pPr>
              <w:pStyle w:val="28"/>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color w:val="auto"/>
                <w:sz w:val="24"/>
              </w:rPr>
            </w:pPr>
            <w:r>
              <w:rPr>
                <w:rFonts w:hint="default" w:ascii="Times New Roman" w:hAnsi="Times New Roman" w:cs="Times New Roman"/>
                <w:b w:val="0"/>
                <w:color w:val="auto"/>
                <w:sz w:val="24"/>
              </w:rPr>
              <w:t>④工作状态显示及警示标识：</w:t>
            </w:r>
            <w:r>
              <w:rPr>
                <w:rFonts w:hint="default" w:ascii="Times New Roman" w:hAnsi="Times New Roman" w:cs="Times New Roman"/>
                <w:b w:val="0"/>
                <w:color w:val="auto"/>
                <w:sz w:val="24"/>
                <w:lang w:eastAsia="zh-CN"/>
              </w:rPr>
              <w:t>加速器治疗室</w:t>
            </w:r>
            <w:r>
              <w:rPr>
                <w:rFonts w:hint="default" w:ascii="Times New Roman" w:hAnsi="Times New Roman" w:cs="Times New Roman"/>
                <w:b w:val="0"/>
                <w:color w:val="auto"/>
                <w:sz w:val="24"/>
              </w:rPr>
              <w:t>防护门外顶部拟设置工作状态指示灯。加速器处于出束状态时，指示灯为红色，</w:t>
            </w:r>
            <w:r>
              <w:rPr>
                <w:rFonts w:hint="default" w:ascii="Times New Roman" w:hAnsi="Times New Roman" w:cs="Times New Roman"/>
                <w:b w:val="0"/>
                <w:bCs/>
                <w:color w:val="auto"/>
                <w:sz w:val="24"/>
              </w:rPr>
              <w:t>以警示人员注意安全</w:t>
            </w:r>
            <w:r>
              <w:rPr>
                <w:rFonts w:hint="default" w:ascii="Times New Roman" w:hAnsi="Times New Roman" w:cs="Times New Roman"/>
                <w:b w:val="0"/>
                <w:color w:val="auto"/>
                <w:sz w:val="24"/>
              </w:rPr>
              <w:t>；当加速器处于非出束状态，指示灯为绿色。</w:t>
            </w:r>
            <w:r>
              <w:rPr>
                <w:rFonts w:hint="default" w:ascii="Times New Roman" w:hAnsi="Times New Roman" w:cs="Times New Roman"/>
                <w:b w:val="0"/>
                <w:color w:val="auto"/>
                <w:sz w:val="24"/>
                <w:lang w:eastAsia="zh-CN"/>
              </w:rPr>
              <w:t>加速器治疗室</w:t>
            </w:r>
            <w:r>
              <w:rPr>
                <w:rFonts w:hint="default" w:ascii="Times New Roman" w:hAnsi="Times New Roman" w:cs="Times New Roman"/>
                <w:b w:val="0"/>
                <w:color w:val="auto"/>
                <w:sz w:val="24"/>
              </w:rPr>
              <w:t>屏蔽门上设置明显的电离辐射警告标志。</w:t>
            </w:r>
          </w:p>
          <w:p>
            <w:pPr>
              <w:pStyle w:val="28"/>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color w:val="auto"/>
                <w:sz w:val="24"/>
              </w:rPr>
            </w:pPr>
            <w:r>
              <w:rPr>
                <w:rFonts w:hint="default" w:ascii="Times New Roman" w:hAnsi="Times New Roman" w:cs="Times New Roman"/>
                <w:b w:val="0"/>
                <w:color w:val="auto"/>
                <w:sz w:val="24"/>
              </w:rPr>
              <w:t>⑤固定式剂量报警</w:t>
            </w:r>
            <w:r>
              <w:rPr>
                <w:rFonts w:hint="default" w:ascii="Times New Roman" w:hAnsi="Times New Roman" w:cs="Times New Roman"/>
                <w:b w:val="0"/>
                <w:color w:val="auto"/>
                <w:sz w:val="24"/>
                <w:lang w:val="en-US" w:eastAsia="zh-CN"/>
              </w:rPr>
              <w:t>仪</w:t>
            </w:r>
            <w:r>
              <w:rPr>
                <w:rFonts w:hint="default" w:ascii="Times New Roman" w:hAnsi="Times New Roman" w:cs="Times New Roman"/>
                <w:b w:val="0"/>
                <w:color w:val="auto"/>
                <w:sz w:val="24"/>
              </w:rPr>
              <w:t>（带剂量显示功能）</w:t>
            </w:r>
            <w:r>
              <w:rPr>
                <w:rFonts w:hint="eastAsia" w:ascii="Times New Roman" w:hAnsi="Times New Roman" w:cs="Times New Roman"/>
                <w:b w:val="0"/>
                <w:color w:val="auto"/>
                <w:sz w:val="24"/>
                <w:lang w:eastAsia="zh-CN"/>
              </w:rPr>
              <w:t>：</w:t>
            </w:r>
            <w:r>
              <w:rPr>
                <w:rFonts w:hint="default" w:ascii="Times New Roman" w:hAnsi="Times New Roman" w:cs="Times New Roman"/>
                <w:b w:val="0"/>
                <w:color w:val="auto"/>
                <w:sz w:val="24"/>
              </w:rPr>
              <w:t>探头安装在机房</w:t>
            </w:r>
            <w:r>
              <w:rPr>
                <w:rFonts w:hint="eastAsia" w:ascii="Times New Roman" w:hAnsi="Times New Roman" w:cs="Times New Roman"/>
                <w:b w:val="0"/>
                <w:color w:val="auto"/>
                <w:sz w:val="24"/>
                <w:lang w:eastAsia="zh-CN"/>
              </w:rPr>
              <w:t>迷路</w:t>
            </w:r>
            <w:r>
              <w:rPr>
                <w:rFonts w:hint="default" w:ascii="Times New Roman" w:hAnsi="Times New Roman" w:cs="Times New Roman"/>
                <w:b w:val="0"/>
                <w:color w:val="auto"/>
                <w:sz w:val="24"/>
              </w:rPr>
              <w:t>内墙上（靠近防护门），只要</w:t>
            </w:r>
            <w:r>
              <w:rPr>
                <w:rFonts w:hint="eastAsia" w:ascii="Times New Roman" w:hAnsi="Times New Roman" w:cs="Times New Roman"/>
                <w:b w:val="0"/>
                <w:color w:val="auto"/>
                <w:sz w:val="24"/>
                <w:lang w:eastAsia="zh-CN"/>
              </w:rPr>
              <w:t>迷路</w:t>
            </w:r>
            <w:r>
              <w:rPr>
                <w:rFonts w:hint="default" w:ascii="Times New Roman" w:hAnsi="Times New Roman" w:cs="Times New Roman"/>
                <w:b w:val="0"/>
                <w:color w:val="auto"/>
                <w:sz w:val="24"/>
              </w:rPr>
              <w:t>内的剂量超过预的剂量阈值，就会报警提示人员不能进入机房，以防人员误入。</w:t>
            </w:r>
          </w:p>
          <w:p>
            <w:pPr>
              <w:pStyle w:val="28"/>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sz w:val="24"/>
                <w:lang w:eastAsia="zh-CN"/>
              </w:rPr>
            </w:pPr>
            <w:r>
              <w:rPr>
                <w:rFonts w:hint="default" w:ascii="Times New Roman" w:hAnsi="Times New Roman" w:cs="Times New Roman"/>
                <w:b w:val="0"/>
                <w:color w:val="auto"/>
                <w:sz w:val="24"/>
              </w:rPr>
              <w:t>⑥</w:t>
            </w:r>
            <w:r>
              <w:rPr>
                <w:rFonts w:hint="default" w:ascii="Times New Roman" w:hAnsi="Times New Roman" w:cs="Times New Roman"/>
                <w:b w:val="0"/>
                <w:color w:val="auto"/>
                <w:sz w:val="24"/>
                <w:lang w:val="en-US" w:eastAsia="zh-CN"/>
              </w:rPr>
              <w:t>直线加速器治疗室配备</w:t>
            </w:r>
            <w:r>
              <w:rPr>
                <w:rFonts w:hint="default" w:ascii="Times New Roman" w:hAnsi="Times New Roman" w:cs="Times New Roman"/>
                <w:b w:val="0"/>
                <w:color w:val="auto"/>
                <w:sz w:val="24"/>
              </w:rPr>
              <w:t>有电视监控对讲</w:t>
            </w:r>
            <w:r>
              <w:rPr>
                <w:rFonts w:hint="default" w:ascii="Times New Roman" w:hAnsi="Times New Roman" w:cs="Times New Roman"/>
                <w:b w:val="0"/>
                <w:color w:val="auto"/>
                <w:sz w:val="24"/>
                <w:lang w:val="en-US" w:eastAsia="zh-CN"/>
              </w:rPr>
              <w:t>装置</w:t>
            </w:r>
            <w:r>
              <w:rPr>
                <w:rFonts w:hint="default" w:ascii="Times New Roman" w:hAnsi="Times New Roman" w:cs="Times New Roman"/>
                <w:b w:val="0"/>
                <w:color w:val="auto"/>
                <w:sz w:val="24"/>
                <w:lang w:eastAsia="zh-CN"/>
              </w:rPr>
              <w:t>。</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⑦个人防护：</w:t>
            </w:r>
            <w:r>
              <w:rPr>
                <w:rFonts w:hint="default" w:ascii="Times New Roman" w:hAnsi="Times New Roman" w:cs="Times New Roman"/>
                <w:b w:val="0"/>
                <w:color w:val="auto"/>
                <w:sz w:val="24"/>
                <w:lang w:eastAsia="zh-CN"/>
              </w:rPr>
              <w:t>加速器治疗室</w:t>
            </w:r>
            <w:r>
              <w:rPr>
                <w:rFonts w:hint="default" w:ascii="Times New Roman" w:hAnsi="Times New Roman" w:cs="Times New Roman"/>
                <w:b w:val="0"/>
                <w:color w:val="auto"/>
                <w:sz w:val="24"/>
              </w:rPr>
              <w:t>的辐射工作人员每人佩戴个人剂量计和预定剂量率</w:t>
            </w:r>
            <w:r>
              <w:rPr>
                <w:rFonts w:hint="eastAsia" w:ascii="Times New Roman" w:hAnsi="Times New Roman" w:cs="Times New Roman"/>
                <w:b w:val="0"/>
                <w:color w:val="auto"/>
                <w:sz w:val="24"/>
                <w:lang w:eastAsia="zh-CN"/>
              </w:rPr>
              <w:t>阈值</w:t>
            </w:r>
            <w:r>
              <w:rPr>
                <w:rFonts w:hint="default" w:ascii="Times New Roman" w:hAnsi="Times New Roman" w:cs="Times New Roman"/>
                <w:b w:val="0"/>
                <w:color w:val="auto"/>
                <w:sz w:val="24"/>
              </w:rPr>
              <w:t>自动报警仪。</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color w:val="auto"/>
                <w:sz w:val="24"/>
              </w:rPr>
            </w:pPr>
            <w:r>
              <w:rPr>
                <w:rFonts w:hint="default" w:ascii="Times New Roman" w:hAnsi="Times New Roman" w:cs="Times New Roman"/>
                <w:b w:val="0"/>
                <w:color w:val="auto"/>
                <w:sz w:val="24"/>
              </w:rPr>
              <w:t>⑧加速器将由生产厂家进行质保维修，医院设备科人员仅对加速器进行日常维护（如电路、开关、机电等维护）。</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color w:val="auto"/>
                <w:sz w:val="24"/>
              </w:rPr>
            </w:pPr>
            <w:r>
              <w:rPr>
                <w:rFonts w:hint="default" w:ascii="Times New Roman" w:hAnsi="Times New Roman" w:cs="Times New Roman"/>
                <w:b w:val="0"/>
                <w:bCs/>
                <w:color w:val="auto"/>
                <w:sz w:val="24"/>
              </w:rPr>
              <w:t>以上辐射防护措施合理可行，能够有效防止本项目对外环境的影响。</w:t>
            </w:r>
          </w:p>
          <w:p>
            <w:pPr>
              <w:pStyle w:val="28"/>
              <w:keepNext w:val="0"/>
              <w:keepLines w:val="0"/>
              <w:suppressLineNumbers w:val="0"/>
              <w:spacing w:before="0" w:beforeAutospacing="0" w:after="0" w:afterAutospacing="0" w:line="360" w:lineRule="auto"/>
              <w:ind w:left="0" w:leftChars="0" w:right="0" w:firstLine="482" w:firstLineChars="200"/>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4、直线加速器设备固有安全性分析</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b w:val="0"/>
                <w:bCs/>
                <w:color w:val="auto"/>
                <w:kern w:val="2"/>
                <w:sz w:val="24"/>
              </w:rPr>
              <w:t>加速器只有在通电开机时才有X射线</w:t>
            </w:r>
            <w:r>
              <w:rPr>
                <w:rFonts w:hint="default" w:ascii="Times New Roman" w:hAnsi="Times New Roman" w:cs="Times New Roman"/>
                <w:b w:val="0"/>
                <w:bCs/>
                <w:color w:val="auto"/>
                <w:kern w:val="2"/>
                <w:sz w:val="24"/>
                <w:lang w:eastAsia="zh-CN"/>
              </w:rPr>
              <w:t>、</w:t>
            </w:r>
            <w:r>
              <w:rPr>
                <w:rFonts w:hint="default" w:ascii="Times New Roman" w:hAnsi="Times New Roman" w:cs="Times New Roman"/>
                <w:b w:val="0"/>
                <w:bCs/>
                <w:color w:val="auto"/>
                <w:kern w:val="2"/>
                <w:sz w:val="24"/>
                <w:lang w:val="en-US" w:eastAsia="zh-CN"/>
              </w:rPr>
              <w:t>电子线</w:t>
            </w:r>
            <w:r>
              <w:rPr>
                <w:rFonts w:hint="default" w:ascii="Times New Roman" w:hAnsi="Times New Roman" w:cs="Times New Roman"/>
                <w:b w:val="0"/>
                <w:bCs/>
                <w:color w:val="auto"/>
                <w:kern w:val="2"/>
                <w:sz w:val="24"/>
              </w:rPr>
              <w:t>产生，断电停机即停止出束；通过多叶准直器定向出束，其他方向的射线被自带屏蔽材料所屏蔽</w:t>
            </w:r>
            <w:r>
              <w:rPr>
                <w:rFonts w:hint="default" w:ascii="Times New Roman" w:hAnsi="Times New Roman" w:cs="Times New Roman"/>
                <w:b w:val="0"/>
                <w:color w:val="auto"/>
                <w:kern w:val="2"/>
                <w:sz w:val="24"/>
              </w:rPr>
              <w:t>。</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color w:val="auto"/>
                <w:sz w:val="24"/>
              </w:rPr>
            </w:pPr>
            <w:r>
              <w:rPr>
                <w:rFonts w:hint="default" w:ascii="Times New Roman" w:hAnsi="Times New Roman" w:cs="Times New Roman"/>
                <w:b w:val="0"/>
                <w:color w:val="auto"/>
                <w:sz w:val="24"/>
              </w:rPr>
              <w:t>①</w:t>
            </w:r>
            <w:r>
              <w:rPr>
                <w:rFonts w:hint="default" w:ascii="Times New Roman" w:hAnsi="Times New Roman" w:cs="Times New Roman"/>
                <w:b w:val="0"/>
                <w:bCs/>
                <w:color w:val="auto"/>
                <w:sz w:val="24"/>
              </w:rPr>
              <w:t>加速器只有在通电开机时才有X射线</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lang w:val="en-US" w:eastAsia="zh-CN"/>
              </w:rPr>
              <w:t>电子线</w:t>
            </w:r>
            <w:r>
              <w:rPr>
                <w:rFonts w:hint="default" w:ascii="Times New Roman" w:hAnsi="Times New Roman" w:cs="Times New Roman"/>
                <w:b w:val="0"/>
                <w:bCs/>
                <w:color w:val="auto"/>
                <w:sz w:val="24"/>
              </w:rPr>
              <w:t>产生，断电停机即停止出束；通过多叶准直器定向出束，其他方向的射线被自带屏蔽材料所屏蔽</w:t>
            </w:r>
            <w:r>
              <w:rPr>
                <w:rFonts w:hint="default" w:ascii="Times New Roman" w:hAnsi="Times New Roman" w:cs="Times New Roman"/>
                <w:b w:val="0"/>
                <w:color w:val="auto"/>
                <w:sz w:val="24"/>
              </w:rPr>
              <w:t>。</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color w:val="auto"/>
                <w:sz w:val="24"/>
              </w:rPr>
            </w:pPr>
            <w:r>
              <w:rPr>
                <w:rFonts w:hint="default" w:ascii="Times New Roman" w:hAnsi="Times New Roman" w:cs="Times New Roman"/>
                <w:b w:val="0"/>
                <w:color w:val="auto"/>
                <w:sz w:val="24"/>
              </w:rPr>
              <w:t>②</w:t>
            </w:r>
            <w:r>
              <w:rPr>
                <w:rFonts w:hint="default" w:ascii="Times New Roman" w:hAnsi="Times New Roman" w:cs="Times New Roman"/>
                <w:b w:val="0"/>
                <w:bCs/>
                <w:color w:val="auto"/>
                <w:sz w:val="24"/>
              </w:rPr>
              <w:t>条件显示</w:t>
            </w:r>
            <w:r>
              <w:rPr>
                <w:rFonts w:hint="eastAsia" w:ascii="Times New Roman" w:hAnsi="Times New Roman" w:cs="Times New Roman"/>
                <w:b w:val="0"/>
                <w:bCs/>
                <w:color w:val="auto"/>
                <w:sz w:val="24"/>
                <w:lang w:eastAsia="zh-CN"/>
              </w:rPr>
              <w:t>联锁</w:t>
            </w:r>
            <w:r>
              <w:rPr>
                <w:rFonts w:hint="default" w:ascii="Times New Roman" w:hAnsi="Times New Roman" w:cs="Times New Roman"/>
                <w:b w:val="0"/>
                <w:bCs/>
                <w:color w:val="auto"/>
                <w:sz w:val="24"/>
              </w:rPr>
              <w:t>：当射线能量、吸收剂量选值、照射方式和过滤器的规格等参数选定，并当机房与控制台等均满足预选条件后，照射才能进行。</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color w:val="auto"/>
                <w:sz w:val="24"/>
              </w:rPr>
            </w:pPr>
            <w:r>
              <w:rPr>
                <w:rFonts w:hint="default" w:ascii="Times New Roman" w:hAnsi="Times New Roman" w:cs="Times New Roman"/>
                <w:b w:val="0"/>
                <w:color w:val="auto"/>
                <w:sz w:val="24"/>
              </w:rPr>
              <w:t>③</w:t>
            </w:r>
            <w:r>
              <w:rPr>
                <w:rFonts w:hint="default" w:ascii="Times New Roman" w:hAnsi="Times New Roman" w:cs="Times New Roman"/>
                <w:b w:val="0"/>
                <w:bCs/>
                <w:color w:val="auto"/>
                <w:sz w:val="24"/>
              </w:rPr>
              <w:t>控制台上有蜂鸣器，在加速器工作时发出声音以警示人员防止误入。</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color w:val="auto"/>
                <w:sz w:val="24"/>
              </w:rPr>
            </w:pPr>
            <w:r>
              <w:rPr>
                <w:rFonts w:hint="default" w:ascii="Times New Roman" w:hAnsi="Times New Roman" w:cs="Times New Roman"/>
                <w:b w:val="0"/>
                <w:color w:val="auto"/>
                <w:sz w:val="24"/>
              </w:rPr>
              <w:t>④治疗床旁、加速器</w:t>
            </w:r>
            <w:r>
              <w:rPr>
                <w:rFonts w:hint="default" w:ascii="Times New Roman" w:hAnsi="Times New Roman" w:cs="Times New Roman"/>
                <w:b w:val="0"/>
                <w:bCs/>
                <w:color w:val="auto"/>
                <w:sz w:val="24"/>
              </w:rPr>
              <w:t>主机和控制台上</w:t>
            </w:r>
            <w:r>
              <w:rPr>
                <w:rFonts w:hint="default" w:ascii="Times New Roman" w:hAnsi="Times New Roman" w:cs="Times New Roman"/>
                <w:b w:val="0"/>
                <w:color w:val="auto"/>
                <w:sz w:val="24"/>
              </w:rPr>
              <w:t>安装紧急制动按钮。</w:t>
            </w:r>
          </w:p>
          <w:p>
            <w:pPr>
              <w:pStyle w:val="28"/>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color w:val="auto"/>
                <w:sz w:val="24"/>
              </w:rPr>
            </w:pPr>
            <w:r>
              <w:rPr>
                <w:rFonts w:hint="default" w:ascii="Times New Roman" w:hAnsi="Times New Roman" w:cs="Times New Roman"/>
                <w:b w:val="0"/>
                <w:color w:val="auto"/>
                <w:sz w:val="24"/>
              </w:rPr>
              <w:t>⑤有时间控制联锁，当预选照射时间定时，定时器能独立地使照射停止。</w:t>
            </w:r>
          </w:p>
          <w:p>
            <w:pPr>
              <w:pStyle w:val="28"/>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color w:val="auto"/>
                <w:sz w:val="24"/>
              </w:rPr>
            </w:pPr>
            <w:r>
              <w:rPr>
                <w:rFonts w:hint="default" w:ascii="Times New Roman" w:hAnsi="Times New Roman" w:cs="Times New Roman"/>
                <w:b w:val="0"/>
                <w:color w:val="auto"/>
                <w:sz w:val="24"/>
              </w:rPr>
              <w:t>⑥</w:t>
            </w:r>
            <w:r>
              <w:rPr>
                <w:rFonts w:hint="default" w:ascii="Times New Roman" w:hAnsi="Times New Roman" w:cs="Times New Roman"/>
                <w:b w:val="0"/>
                <w:bCs/>
                <w:color w:val="auto"/>
                <w:sz w:val="24"/>
                <w:lang w:val="en-US" w:eastAsia="zh-CN"/>
              </w:rPr>
              <w:t>有防止非工作人员操作的锁定开关。</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rPr>
            </w:pPr>
            <w:r>
              <w:rPr>
                <w:rFonts w:hint="default" w:ascii="Times New Roman" w:hAnsi="Times New Roman" w:cs="Times New Roman"/>
                <w:b w:val="0"/>
                <w:color w:val="auto"/>
                <w:sz w:val="24"/>
              </w:rPr>
              <w:t>从加速器</w:t>
            </w:r>
            <w:r>
              <w:rPr>
                <w:rFonts w:hint="default" w:ascii="Times New Roman" w:hAnsi="Times New Roman" w:cs="Times New Roman"/>
                <w:b w:val="0"/>
                <w:bCs/>
                <w:color w:val="auto"/>
                <w:sz w:val="24"/>
              </w:rPr>
              <w:t>固有安全性能可以看出，</w:t>
            </w:r>
            <w:r>
              <w:rPr>
                <w:rFonts w:hint="default" w:ascii="Times New Roman" w:hAnsi="Times New Roman" w:cs="Times New Roman"/>
                <w:b w:val="0"/>
                <w:color w:val="auto"/>
                <w:sz w:val="24"/>
              </w:rPr>
              <w:t>加速器</w:t>
            </w:r>
            <w:r>
              <w:rPr>
                <w:rFonts w:hint="default" w:ascii="Times New Roman" w:hAnsi="Times New Roman" w:cs="Times New Roman"/>
                <w:b w:val="0"/>
                <w:bCs/>
                <w:color w:val="auto"/>
                <w:sz w:val="24"/>
              </w:rPr>
              <w:t>在防止事故发生方面，设有相应措施。只要操作人员按照</w:t>
            </w:r>
            <w:r>
              <w:rPr>
                <w:rFonts w:hint="default" w:ascii="Times New Roman" w:hAnsi="Times New Roman" w:cs="Times New Roman"/>
                <w:b w:val="0"/>
                <w:color w:val="auto"/>
                <w:sz w:val="24"/>
              </w:rPr>
              <w:t>加速器</w:t>
            </w:r>
            <w:r>
              <w:rPr>
                <w:rFonts w:hint="default" w:ascii="Times New Roman" w:hAnsi="Times New Roman" w:cs="Times New Roman"/>
                <w:b w:val="0"/>
                <w:bCs/>
                <w:color w:val="auto"/>
                <w:sz w:val="24"/>
              </w:rPr>
              <w:t>说明书要求严格执行，就能够减少</w:t>
            </w:r>
            <w:r>
              <w:rPr>
                <w:rFonts w:hint="default" w:ascii="Times New Roman" w:hAnsi="Times New Roman" w:cs="Times New Roman"/>
                <w:b w:val="0"/>
                <w:color w:val="auto"/>
                <w:sz w:val="24"/>
              </w:rPr>
              <w:t>X</w:t>
            </w:r>
            <w:r>
              <w:rPr>
                <w:rFonts w:hint="default" w:ascii="Times New Roman" w:hAnsi="Times New Roman" w:cs="Times New Roman"/>
                <w:b w:val="0"/>
                <w:bCs/>
                <w:color w:val="auto"/>
                <w:sz w:val="24"/>
              </w:rPr>
              <w:t>射线</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lang w:val="en-US" w:eastAsia="zh-CN"/>
              </w:rPr>
              <w:t>电子线</w:t>
            </w:r>
            <w:r>
              <w:rPr>
                <w:rFonts w:hint="default" w:ascii="Times New Roman" w:hAnsi="Times New Roman" w:cs="Times New Roman"/>
                <w:b w:val="0"/>
                <w:bCs/>
                <w:color w:val="auto"/>
                <w:sz w:val="24"/>
              </w:rPr>
              <w:t>对人员的辐射危害和降低辐射事故的发生率。</w:t>
            </w:r>
          </w:p>
          <w:p>
            <w:pPr>
              <w:pStyle w:val="28"/>
              <w:keepNext w:val="0"/>
              <w:keepLines w:val="0"/>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、射线装置报废处理</w:t>
            </w:r>
          </w:p>
          <w:p>
            <w:pPr>
              <w:pStyle w:val="28"/>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b/>
                <w:bCs/>
                <w:color w:val="auto"/>
                <w:sz w:val="28"/>
                <w:szCs w:val="28"/>
              </w:rPr>
            </w:pPr>
            <w:r>
              <w:rPr>
                <w:rFonts w:hint="default" w:ascii="Times New Roman" w:hAnsi="Times New Roman" w:cs="Times New Roman"/>
                <w:b w:val="0"/>
                <w:bCs/>
                <w:color w:val="auto"/>
                <w:sz w:val="24"/>
              </w:rPr>
              <w:t>根据《四川省辐射污染防治条例》“射线装置在报废处置时，使用单位应当对射线装置内的高压射线管进行拆解和去功能化”。本项目医用电子直线加速器在进行报废处理时，应将射线装置的高压射线管进行拆卸，使其丧失功能。同时将装置主机的电源线绞断，使其不能正常通电，防止二次通电使用，造成误照射。</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二、后装机的安全与防护</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1、</w:t>
            </w:r>
            <w:r>
              <w:rPr>
                <w:rFonts w:hint="eastAsia" w:ascii="Times New Roman" w:hAnsi="Times New Roman" w:cs="Times New Roman"/>
                <w:b/>
                <w:color w:val="auto"/>
                <w:sz w:val="24"/>
                <w:szCs w:val="24"/>
                <w:lang w:eastAsia="zh-CN"/>
              </w:rPr>
              <w:t>后装治疗室</w:t>
            </w:r>
            <w:r>
              <w:rPr>
                <w:rFonts w:hint="default" w:ascii="Times New Roman" w:hAnsi="Times New Roman" w:cs="Times New Roman"/>
                <w:b/>
                <w:color w:val="auto"/>
                <w:sz w:val="24"/>
                <w:szCs w:val="24"/>
              </w:rPr>
              <w:t>实体防护</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pacing w:val="20"/>
                <w:sz w:val="21"/>
                <w:szCs w:val="21"/>
              </w:rPr>
            </w:pPr>
            <w:r>
              <w:rPr>
                <w:rFonts w:hint="default" w:ascii="Times New Roman" w:hAnsi="Times New Roman" w:cs="Times New Roman"/>
                <w:b/>
                <w:bCs/>
                <w:color w:val="auto"/>
                <w:spacing w:val="20"/>
                <w:sz w:val="21"/>
                <w:szCs w:val="21"/>
              </w:rPr>
              <w:t>表10-</w:t>
            </w:r>
            <w:r>
              <w:rPr>
                <w:rFonts w:hint="eastAsia" w:ascii="Times New Roman" w:hAnsi="Times New Roman" w:cs="Times New Roman"/>
                <w:b/>
                <w:bCs/>
                <w:color w:val="auto"/>
                <w:spacing w:val="20"/>
                <w:sz w:val="21"/>
                <w:szCs w:val="21"/>
                <w:lang w:val="en-US" w:eastAsia="zh-CN"/>
              </w:rPr>
              <w:t>4</w:t>
            </w:r>
            <w:r>
              <w:rPr>
                <w:rFonts w:hint="default" w:ascii="Times New Roman" w:hAnsi="Times New Roman" w:cs="Times New Roman"/>
                <w:b/>
                <w:bCs/>
                <w:color w:val="auto"/>
                <w:spacing w:val="20"/>
                <w:sz w:val="21"/>
                <w:szCs w:val="21"/>
              </w:rPr>
              <w:t xml:space="preserve"> </w:t>
            </w:r>
            <w:r>
              <w:rPr>
                <w:rFonts w:hint="eastAsia" w:ascii="Times New Roman" w:hAnsi="Times New Roman" w:cs="Times New Roman"/>
                <w:b/>
                <w:bCs/>
                <w:color w:val="auto"/>
                <w:sz w:val="21"/>
                <w:szCs w:val="21"/>
                <w:lang w:eastAsia="zh-CN"/>
              </w:rPr>
              <w:t>后装治疗室</w:t>
            </w:r>
            <w:r>
              <w:rPr>
                <w:rFonts w:hint="default" w:ascii="Times New Roman" w:hAnsi="Times New Roman" w:cs="Times New Roman"/>
                <w:b/>
                <w:bCs/>
                <w:color w:val="auto"/>
                <w:spacing w:val="20"/>
                <w:sz w:val="21"/>
                <w:szCs w:val="21"/>
              </w:rPr>
              <w:t>实体防护设施表</w:t>
            </w:r>
          </w:p>
          <w:tbl>
            <w:tblPr>
              <w:tblStyle w:val="17"/>
              <w:tblW w:w="89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75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pacing w:val="20"/>
                      <w:szCs w:val="21"/>
                    </w:rPr>
                  </w:pPr>
                  <w:r>
                    <w:rPr>
                      <w:rFonts w:hint="default" w:ascii="Times New Roman" w:hAnsi="Times New Roman" w:cs="Times New Roman"/>
                      <w:color w:val="auto"/>
                      <w:spacing w:val="20"/>
                      <w:szCs w:val="21"/>
                      <w:lang w:val="en-US" w:eastAsia="zh-CN"/>
                    </w:rPr>
                    <w:t>场所</w:t>
                  </w:r>
                  <w:r>
                    <w:rPr>
                      <w:rFonts w:hint="default" w:ascii="Times New Roman" w:hAnsi="Times New Roman" w:cs="Times New Roman"/>
                      <w:color w:val="auto"/>
                      <w:spacing w:val="20"/>
                      <w:szCs w:val="21"/>
                    </w:rPr>
                    <w:t>名称</w:t>
                  </w:r>
                </w:p>
              </w:tc>
              <w:tc>
                <w:tcPr>
                  <w:tcW w:w="75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auto"/>
                      <w:spacing w:val="20"/>
                      <w:szCs w:val="21"/>
                      <w:lang w:val="en-US" w:eastAsia="zh-CN"/>
                    </w:rPr>
                  </w:pPr>
                  <w:r>
                    <w:rPr>
                      <w:rFonts w:hint="default" w:ascii="Times New Roman" w:hAnsi="Times New Roman" w:cs="Times New Roman"/>
                      <w:color w:val="auto"/>
                      <w:spacing w:val="20"/>
                      <w:szCs w:val="21"/>
                    </w:rPr>
                    <w:t>辐射防护设计</w:t>
                  </w:r>
                  <w:r>
                    <w:rPr>
                      <w:rFonts w:hint="default" w:ascii="Times New Roman" w:hAnsi="Times New Roman" w:cs="Times New Roman"/>
                      <w:color w:val="auto"/>
                      <w:spacing w:val="20"/>
                      <w:szCs w:val="21"/>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366" w:type="dxa"/>
                  <w:tcBorders>
                    <w:tl2br w:val="nil"/>
                    <w:tr2bl w:val="nil"/>
                  </w:tcBorders>
                  <w:vAlign w:val="center"/>
                </w:tcPr>
                <w:p>
                  <w:pPr>
                    <w:keepNext w:val="0"/>
                    <w:keepLines w:val="0"/>
                    <w:suppressLineNumbers w:val="0"/>
                    <w:snapToGrid w:val="0"/>
                    <w:spacing w:before="0" w:beforeLines="50" w:beforeAutospacing="0" w:after="0" w:afterAutospacing="0"/>
                    <w:ind w:left="0" w:right="0"/>
                    <w:jc w:val="center"/>
                    <w:rPr>
                      <w:rFonts w:hint="eastAsia" w:ascii="Times New Roman" w:hAnsi="Times New Roman" w:eastAsia="宋体" w:cs="Times New Roman"/>
                      <w:color w:val="auto"/>
                      <w:spacing w:val="20"/>
                      <w:szCs w:val="21"/>
                      <w:lang w:val="en-US" w:eastAsia="zh-CN"/>
                    </w:rPr>
                  </w:pPr>
                  <w:r>
                    <w:rPr>
                      <w:rFonts w:hint="eastAsia" w:ascii="Times New Roman" w:hAnsi="Times New Roman" w:cs="Times New Roman"/>
                      <w:color w:val="auto"/>
                      <w:spacing w:val="20"/>
                      <w:szCs w:val="21"/>
                      <w:lang w:eastAsia="zh-CN"/>
                    </w:rPr>
                    <w:t>后装治疗室</w:t>
                  </w:r>
                </w:p>
              </w:tc>
              <w:tc>
                <w:tcPr>
                  <w:tcW w:w="7573" w:type="dxa"/>
                  <w:tcBorders>
                    <w:tl2br w:val="nil"/>
                    <w:tr2bl w:val="nil"/>
                  </w:tcBorders>
                  <w:vAlign w:val="center"/>
                </w:tcPr>
                <w:p>
                  <w:pPr>
                    <w:keepNext w:val="0"/>
                    <w:keepLines w:val="0"/>
                    <w:suppressLineNumbers w:val="0"/>
                    <w:snapToGrid w:val="0"/>
                    <w:spacing w:before="0" w:beforeLines="50" w:beforeAutospacing="0" w:after="0" w:afterAutospacing="0"/>
                    <w:ind w:left="0" w:right="0"/>
                    <w:jc w:val="center"/>
                    <w:rPr>
                      <w:rFonts w:hint="default" w:ascii="Times New Roman" w:hAnsi="Times New Roman" w:cs="Times New Roman"/>
                      <w:color w:val="auto"/>
                      <w:spacing w:val="20"/>
                      <w:sz w:val="21"/>
                      <w:szCs w:val="21"/>
                    </w:rPr>
                  </w:pPr>
                  <w:r>
                    <w:rPr>
                      <w:rFonts w:hint="eastAsia" w:ascii="Times New Roman" w:hAnsi="Times New Roman" w:cs="Times New Roman"/>
                      <w:color w:val="auto"/>
                      <w:kern w:val="2"/>
                      <w:sz w:val="21"/>
                      <w:szCs w:val="21"/>
                      <w:highlight w:val="none"/>
                      <w:lang w:val="en-US" w:eastAsia="zh-CN" w:bidi="ar-SA"/>
                    </w:rPr>
                    <w:t>后装治疗室</w:t>
                  </w:r>
                  <w:r>
                    <w:rPr>
                      <w:rFonts w:hint="default" w:ascii="Times New Roman" w:hAnsi="Times New Roman" w:cs="Times New Roman"/>
                      <w:color w:val="auto"/>
                      <w:spacing w:val="20"/>
                      <w:szCs w:val="21"/>
                      <w:lang w:val="en-US" w:eastAsia="zh-CN"/>
                    </w:rPr>
                    <w:t>四面</w:t>
                  </w:r>
                  <w:r>
                    <w:rPr>
                      <w:rFonts w:hint="default" w:ascii="Times New Roman" w:hAnsi="Times New Roman" w:eastAsia="宋体" w:cs="Times New Roman"/>
                      <w:color w:val="auto"/>
                      <w:kern w:val="2"/>
                      <w:sz w:val="21"/>
                      <w:szCs w:val="21"/>
                      <w:highlight w:val="none"/>
                      <w:lang w:val="en-US" w:eastAsia="zh-CN" w:bidi="ar-SA"/>
                    </w:rPr>
                    <w:t>墙体、</w:t>
                  </w:r>
                  <w:r>
                    <w:rPr>
                      <w:rFonts w:hint="eastAsia" w:ascii="Times New Roman" w:hAnsi="Times New Roman" w:cs="Times New Roman"/>
                      <w:color w:val="auto"/>
                      <w:kern w:val="2"/>
                      <w:sz w:val="21"/>
                      <w:szCs w:val="21"/>
                      <w:highlight w:val="none"/>
                      <w:lang w:val="en-US" w:eastAsia="zh-CN" w:bidi="ar-SA"/>
                    </w:rPr>
                    <w:t>迷路</w:t>
                  </w:r>
                  <w:r>
                    <w:rPr>
                      <w:rFonts w:hint="default" w:ascii="Times New Roman" w:hAnsi="Times New Roman" w:eastAsia="宋体" w:cs="Times New Roman"/>
                      <w:color w:val="auto"/>
                      <w:kern w:val="2"/>
                      <w:sz w:val="21"/>
                      <w:szCs w:val="21"/>
                      <w:highlight w:val="none"/>
                      <w:lang w:val="en-US" w:eastAsia="zh-CN" w:bidi="ar-SA"/>
                    </w:rPr>
                    <w:t>和顶部均为钢筋混凝土</w:t>
                  </w:r>
                  <w:r>
                    <w:rPr>
                      <w:rFonts w:hint="eastAsia" w:ascii="Times New Roman" w:hAnsi="Times New Roman" w:eastAsia="宋体" w:cs="Times New Roman"/>
                      <w:color w:val="auto"/>
                      <w:kern w:val="2"/>
                      <w:sz w:val="21"/>
                      <w:szCs w:val="21"/>
                      <w:highlight w:val="none"/>
                      <w:lang w:val="en-US" w:eastAsia="zh-CN" w:bidi="ar-SA"/>
                    </w:rPr>
                    <w:t>，其西侧</w:t>
                  </w:r>
                  <w:r>
                    <w:rPr>
                      <w:rFonts w:hint="default" w:ascii="Times New Roman" w:hAnsi="Times New Roman" w:eastAsia="宋体" w:cs="Times New Roman"/>
                      <w:color w:val="auto"/>
                      <w:kern w:val="2"/>
                      <w:sz w:val="21"/>
                      <w:szCs w:val="21"/>
                      <w:highlight w:val="none"/>
                      <w:lang w:val="en-US" w:eastAsia="zh-CN" w:bidi="ar-SA"/>
                    </w:rPr>
                    <w:t>“L”型</w:t>
                  </w:r>
                  <w:r>
                    <w:rPr>
                      <w:rFonts w:hint="eastAsia" w:ascii="Times New Roman" w:hAnsi="Times New Roman" w:cs="Times New Roman"/>
                      <w:color w:val="auto"/>
                      <w:kern w:val="2"/>
                      <w:sz w:val="21"/>
                      <w:szCs w:val="21"/>
                      <w:highlight w:val="none"/>
                      <w:lang w:val="en-US" w:eastAsia="zh-CN" w:bidi="ar-SA"/>
                    </w:rPr>
                    <w:t>迷路</w:t>
                  </w:r>
                  <w:r>
                    <w:rPr>
                      <w:rFonts w:hint="default" w:ascii="Times New Roman" w:hAnsi="Times New Roman" w:eastAsia="宋体" w:cs="Times New Roman"/>
                      <w:color w:val="auto"/>
                      <w:kern w:val="2"/>
                      <w:sz w:val="21"/>
                      <w:szCs w:val="21"/>
                      <w:highlight w:val="none"/>
                      <w:lang w:val="en-US" w:eastAsia="zh-CN" w:bidi="ar-SA"/>
                    </w:rPr>
                    <w:t>内墙和外墙</w:t>
                  </w:r>
                  <w:r>
                    <w:rPr>
                      <w:rFonts w:hint="eastAsia" w:ascii="Times New Roman" w:hAnsi="Times New Roman" w:eastAsia="宋体" w:cs="Times New Roman"/>
                      <w:color w:val="auto"/>
                      <w:kern w:val="2"/>
                      <w:sz w:val="21"/>
                      <w:szCs w:val="21"/>
                      <w:highlight w:val="none"/>
                      <w:lang w:val="en-US" w:eastAsia="zh-CN" w:bidi="ar-SA"/>
                    </w:rPr>
                    <w:t>厚</w:t>
                  </w:r>
                  <w:r>
                    <w:rPr>
                      <w:rFonts w:hint="eastAsia" w:ascii="Times New Roman" w:cs="Times New Roman"/>
                      <w:color w:val="auto"/>
                      <w:kern w:val="2"/>
                      <w:sz w:val="21"/>
                      <w:szCs w:val="21"/>
                      <w:highlight w:val="none"/>
                      <w:lang w:val="en-US" w:eastAsia="zh-CN" w:bidi="ar-SA"/>
                    </w:rPr>
                    <w:t>均</w:t>
                  </w:r>
                  <w:r>
                    <w:rPr>
                      <w:rFonts w:hint="eastAsia" w:ascii="Times New Roman" w:hAnsi="Times New Roman" w:eastAsia="宋体" w:cs="Times New Roman"/>
                      <w:color w:val="auto"/>
                      <w:kern w:val="2"/>
                      <w:sz w:val="21"/>
                      <w:szCs w:val="21"/>
                      <w:highlight w:val="none"/>
                      <w:lang w:val="en-US" w:eastAsia="zh-CN" w:bidi="ar-SA"/>
                    </w:rPr>
                    <w:t>为</w:t>
                  </w:r>
                  <w:r>
                    <w:rPr>
                      <w:rFonts w:hint="eastAsia" w:ascii="Times New Roman" w:cs="Times New Roman"/>
                      <w:color w:val="auto"/>
                      <w:kern w:val="2"/>
                      <w:sz w:val="21"/>
                      <w:szCs w:val="21"/>
                      <w:highlight w:val="none"/>
                      <w:lang w:val="en-US" w:eastAsia="zh-CN" w:bidi="ar-SA"/>
                    </w:rPr>
                    <w:t>8</w:t>
                  </w:r>
                  <w:r>
                    <w:rPr>
                      <w:rFonts w:hint="eastAsia" w:ascii="Times New Roman" w:hAnsi="Times New Roman" w:eastAsia="宋体" w:cs="Times New Roman"/>
                      <w:color w:val="auto"/>
                      <w:kern w:val="2"/>
                      <w:sz w:val="21"/>
                      <w:szCs w:val="21"/>
                      <w:highlight w:val="none"/>
                      <w:lang w:val="en-US" w:eastAsia="zh-CN" w:bidi="ar-SA"/>
                    </w:rPr>
                    <w:t>00mm，东</w:t>
                  </w:r>
                  <w:r>
                    <w:rPr>
                      <w:rFonts w:hint="eastAsia" w:ascii="Times New Roman" w:cs="Times New Roman"/>
                      <w:color w:val="auto"/>
                      <w:kern w:val="2"/>
                      <w:sz w:val="21"/>
                      <w:szCs w:val="21"/>
                      <w:highlight w:val="none"/>
                      <w:lang w:val="en-US" w:eastAsia="zh-CN" w:bidi="ar-SA"/>
                    </w:rPr>
                    <w:t>北部</w:t>
                  </w:r>
                  <w:r>
                    <w:rPr>
                      <w:rFonts w:hint="eastAsia" w:ascii="Times New Roman" w:hAnsi="Times New Roman" w:eastAsia="宋体" w:cs="Times New Roman"/>
                      <w:color w:val="auto"/>
                      <w:kern w:val="2"/>
                      <w:sz w:val="21"/>
                      <w:szCs w:val="21"/>
                      <w:highlight w:val="none"/>
                      <w:lang w:val="en-US" w:eastAsia="zh-CN" w:bidi="ar-SA"/>
                    </w:rPr>
                    <w:t>墙体、</w:t>
                  </w:r>
                  <w:r>
                    <w:rPr>
                      <w:rFonts w:hint="eastAsia" w:ascii="Times New Roman" w:cs="Times New Roman"/>
                      <w:color w:val="auto"/>
                      <w:kern w:val="2"/>
                      <w:sz w:val="21"/>
                      <w:szCs w:val="21"/>
                      <w:highlight w:val="none"/>
                      <w:lang w:val="en-US" w:eastAsia="zh-CN" w:bidi="ar-SA"/>
                    </w:rPr>
                    <w:t>西北部</w:t>
                  </w:r>
                  <w:r>
                    <w:rPr>
                      <w:rFonts w:hint="eastAsia" w:ascii="Times New Roman" w:hAnsi="Times New Roman" w:eastAsia="宋体" w:cs="Times New Roman"/>
                      <w:color w:val="auto"/>
                      <w:kern w:val="2"/>
                      <w:sz w:val="21"/>
                      <w:szCs w:val="21"/>
                      <w:highlight w:val="none"/>
                      <w:lang w:val="en-US" w:eastAsia="zh-CN" w:bidi="ar-SA"/>
                    </w:rPr>
                    <w:t>墙体、</w:t>
                  </w:r>
                  <w:r>
                    <w:rPr>
                      <w:rFonts w:hint="eastAsia" w:ascii="Times New Roman" w:cs="Times New Roman"/>
                      <w:color w:val="auto"/>
                      <w:kern w:val="2"/>
                      <w:sz w:val="21"/>
                      <w:szCs w:val="21"/>
                      <w:highlight w:val="none"/>
                      <w:lang w:val="en-US" w:eastAsia="zh-CN" w:bidi="ar-SA"/>
                    </w:rPr>
                    <w:t>西南部</w:t>
                  </w:r>
                  <w:r>
                    <w:rPr>
                      <w:rFonts w:hint="eastAsia" w:ascii="Times New Roman" w:hAnsi="Times New Roman" w:eastAsia="宋体" w:cs="Times New Roman"/>
                      <w:color w:val="auto"/>
                      <w:kern w:val="2"/>
                      <w:sz w:val="21"/>
                      <w:szCs w:val="21"/>
                      <w:highlight w:val="none"/>
                      <w:lang w:val="en-US" w:eastAsia="zh-CN" w:bidi="ar-SA"/>
                    </w:rPr>
                    <w:t>墙体和顶部厚均为800mm，</w:t>
                  </w:r>
                  <w:r>
                    <w:rPr>
                      <w:rFonts w:hint="default" w:ascii="Times New Roman" w:hAnsi="Times New Roman" w:eastAsia="宋体" w:cs="Times New Roman"/>
                      <w:color w:val="auto"/>
                      <w:kern w:val="2"/>
                      <w:sz w:val="21"/>
                      <w:szCs w:val="21"/>
                      <w:highlight w:val="none"/>
                      <w:lang w:val="en-US" w:eastAsia="zh-CN" w:bidi="ar-SA"/>
                    </w:rPr>
                    <w:t>防护门为</w:t>
                  </w:r>
                  <w:r>
                    <w:rPr>
                      <w:rFonts w:hint="eastAsia" w:ascii="Times New Roman" w:cs="Times New Roman"/>
                      <w:color w:val="auto"/>
                      <w:kern w:val="2"/>
                      <w:sz w:val="21"/>
                      <w:szCs w:val="21"/>
                      <w:highlight w:val="none"/>
                      <w:lang w:val="en-US" w:eastAsia="zh-CN" w:bidi="ar-SA"/>
                    </w:rPr>
                    <w:t>8</w:t>
                  </w:r>
                  <w:r>
                    <w:rPr>
                      <w:rFonts w:hint="default" w:ascii="Times New Roman" w:hAnsi="Times New Roman" w:eastAsia="宋体" w:cs="Times New Roman"/>
                      <w:color w:val="auto"/>
                      <w:kern w:val="2"/>
                      <w:sz w:val="21"/>
                      <w:szCs w:val="21"/>
                      <w:highlight w:val="none"/>
                      <w:lang w:val="en-US" w:eastAsia="zh-CN" w:bidi="ar-SA"/>
                    </w:rPr>
                    <w:t>mm铅当量单扇电动推拉门。</w:t>
                  </w:r>
                </w:p>
              </w:tc>
            </w:tr>
          </w:tbl>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auto"/>
                <w:sz w:val="18"/>
                <w:szCs w:val="18"/>
                <w:vertAlign w:val="baseline"/>
                <w:lang w:val="en-US" w:eastAsia="zh-CN"/>
              </w:rPr>
            </w:pPr>
            <w:r>
              <w:rPr>
                <w:rFonts w:hint="eastAsia" w:ascii="Times New Roman" w:hAnsi="Times New Roman"/>
                <w:color w:val="auto"/>
                <w:sz w:val="18"/>
                <w:szCs w:val="18"/>
                <w:lang w:val="en-US" w:eastAsia="zh-CN"/>
              </w:rPr>
              <w:t>注：混凝土密度为2.35g/cm</w:t>
            </w:r>
            <w:r>
              <w:rPr>
                <w:rFonts w:hint="eastAsia" w:ascii="Times New Roman" w:hAnsi="Times New Roman"/>
                <w:color w:val="auto"/>
                <w:sz w:val="18"/>
                <w:szCs w:val="18"/>
                <w:vertAlign w:val="superscript"/>
                <w:lang w:val="en-US" w:eastAsia="zh-CN"/>
              </w:rPr>
              <w:t>3</w:t>
            </w:r>
            <w:r>
              <w:rPr>
                <w:rFonts w:hint="eastAsia" w:ascii="Times New Roman" w:hAnsi="Times New Roman"/>
                <w:color w:val="auto"/>
                <w:sz w:val="18"/>
                <w:szCs w:val="18"/>
                <w:vertAlign w:val="baseline"/>
                <w:lang w:val="en-US" w:eastAsia="zh-CN"/>
              </w:rPr>
              <w:t>。</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b/>
                <w:bCs/>
                <w:color w:val="auto"/>
                <w:sz w:val="24"/>
                <w:szCs w:val="24"/>
              </w:rPr>
              <w:t>通风系统</w:t>
            </w:r>
          </w:p>
          <w:p>
            <w:pPr>
              <w:keepNext w:val="0"/>
              <w:keepLines w:val="0"/>
              <w:suppressLineNumbers w:val="0"/>
              <w:spacing w:before="0" w:beforeAutospacing="0" w:after="0" w:afterAutospacing="0" w:line="360" w:lineRule="auto"/>
              <w:ind w:left="0" w:right="0" w:firstLine="480" w:firstLineChars="200"/>
              <w:rPr>
                <w:rFonts w:hint="default"/>
                <w:color w:val="auto"/>
              </w:rPr>
            </w:pPr>
            <w:r>
              <w:rPr>
                <w:rFonts w:hint="eastAsia" w:ascii="Times New Roman" w:hAnsi="Times New Roman" w:cs="Times New Roman"/>
                <w:color w:val="auto"/>
                <w:sz w:val="24"/>
                <w:lang w:eastAsia="zh-CN"/>
              </w:rPr>
              <w:t>后装治疗室</w:t>
            </w:r>
            <w:r>
              <w:rPr>
                <w:rFonts w:hint="default" w:ascii="Times New Roman" w:hAnsi="Times New Roman" w:cs="Times New Roman"/>
                <w:color w:val="auto"/>
                <w:sz w:val="24"/>
              </w:rPr>
              <w:t>排风系统采用全新风直流式送风形式</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通排风</w:t>
            </w:r>
            <w:r>
              <w:rPr>
                <w:rFonts w:hint="default" w:ascii="Times New Roman" w:hAnsi="Times New Roman" w:cs="Times New Roman"/>
                <w:color w:val="auto"/>
                <w:sz w:val="24"/>
              </w:rPr>
              <w:t>管道</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320</w:t>
            </w:r>
            <w:r>
              <w:rPr>
                <w:rFonts w:hint="default" w:ascii="Times New Roman" w:hAnsi="Times New Roman" w:cs="Times New Roman"/>
                <w:color w:val="auto"/>
                <w:sz w:val="24"/>
                <w:highlight w:val="none"/>
              </w:rPr>
              <w:t>×2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0mm</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设置</w:t>
            </w:r>
            <w:r>
              <w:rPr>
                <w:rFonts w:hint="default" w:ascii="Times New Roman" w:hAnsi="Times New Roman" w:cs="Times New Roman"/>
                <w:color w:val="auto"/>
                <w:sz w:val="24"/>
              </w:rPr>
              <w:t>在</w:t>
            </w:r>
            <w:r>
              <w:rPr>
                <w:rFonts w:hint="eastAsia" w:ascii="Times New Roman" w:hAnsi="Times New Roman" w:cs="Times New Roman"/>
                <w:color w:val="auto"/>
                <w:sz w:val="24"/>
                <w:lang w:val="en-US" w:eastAsia="zh-CN"/>
              </w:rPr>
              <w:t>治疗室</w:t>
            </w:r>
            <w:r>
              <w:rPr>
                <w:rFonts w:hint="default" w:ascii="Times New Roman" w:hAnsi="Times New Roman" w:cs="Times New Roman"/>
                <w:color w:val="auto"/>
                <w:sz w:val="24"/>
              </w:rPr>
              <w:t>门上方</w:t>
            </w:r>
            <w:r>
              <w:rPr>
                <w:rFonts w:hint="default" w:ascii="Times New Roman" w:hAnsi="Times New Roman" w:cs="Times New Roman"/>
                <w:color w:val="auto"/>
                <w:sz w:val="24"/>
                <w:lang w:val="en-US" w:eastAsia="zh-CN"/>
              </w:rPr>
              <w:t>并采用</w:t>
            </w:r>
            <w:r>
              <w:rPr>
                <w:rFonts w:hint="default" w:ascii="Times New Roman" w:hAnsi="Times New Roman" w:cs="Times New Roman"/>
                <w:color w:val="auto"/>
                <w:sz w:val="24"/>
              </w:rPr>
              <w:t>穿墙</w:t>
            </w:r>
            <w:r>
              <w:rPr>
                <w:rFonts w:hint="default" w:ascii="Times New Roman" w:hAnsi="Times New Roman" w:cs="Times New Roman"/>
                <w:color w:val="auto"/>
                <w:kern w:val="2"/>
                <w:sz w:val="24"/>
                <w:highlight w:val="none"/>
                <w:lang w:val="en-US" w:eastAsia="zh-CN"/>
              </w:rPr>
              <w:t>连接</w:t>
            </w:r>
            <w:r>
              <w:rPr>
                <w:rFonts w:hint="eastAsia" w:ascii="Times New Roman" w:hAnsi="Times New Roman" w:cs="Times New Roman"/>
                <w:color w:val="auto"/>
                <w:kern w:val="2"/>
                <w:sz w:val="24"/>
                <w:highlight w:val="none"/>
                <w:lang w:val="en-US" w:eastAsia="zh-CN"/>
              </w:rPr>
              <w:t>至西北部的空调机房</w:t>
            </w:r>
            <w:r>
              <w:rPr>
                <w:rFonts w:hint="default" w:ascii="Times New Roman" w:hAnsi="Times New Roman" w:cs="Times New Roman"/>
                <w:color w:val="auto"/>
                <w:kern w:val="2"/>
                <w:sz w:val="24"/>
              </w:rPr>
              <w:t>，</w:t>
            </w:r>
            <w:r>
              <w:rPr>
                <w:rFonts w:hint="eastAsia" w:ascii="Times New Roman" w:hAnsi="Times New Roman" w:cs="Times New Roman"/>
                <w:color w:val="auto"/>
                <w:kern w:val="2"/>
                <w:sz w:val="24"/>
                <w:lang w:val="en-US" w:eastAsia="zh-CN"/>
              </w:rPr>
              <w:t>后输送</w:t>
            </w:r>
            <w:r>
              <w:rPr>
                <w:rFonts w:hint="default" w:ascii="Times New Roman" w:hAnsi="Times New Roman" w:cs="Times New Roman"/>
                <w:color w:val="auto"/>
                <w:kern w:val="2"/>
                <w:sz w:val="24"/>
                <w:lang w:val="en-US" w:eastAsia="zh-CN"/>
              </w:rPr>
              <w:t>至楼顶朝西南方向排放</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气流组织为上送风、下排风。</w:t>
            </w:r>
            <w:r>
              <w:rPr>
                <w:rFonts w:hint="default" w:ascii="Times New Roman" w:hAnsi="Times New Roman" w:cs="Times New Roman"/>
                <w:color w:val="auto"/>
                <w:sz w:val="24"/>
                <w:lang w:val="en-US" w:eastAsia="zh-CN"/>
              </w:rPr>
              <w:t>进排风管道均采用镀锌钢</w:t>
            </w:r>
            <w:r>
              <w:rPr>
                <w:rFonts w:hint="default" w:ascii="Times New Roman" w:hAnsi="Times New Roman" w:cs="Times New Roman"/>
                <w:color w:val="auto"/>
                <w:sz w:val="24"/>
              </w:rPr>
              <w:t>管道</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eastAsia="zh-CN"/>
              </w:rPr>
              <w:t>后装治疗室</w:t>
            </w:r>
            <w:r>
              <w:rPr>
                <w:rFonts w:hint="default" w:ascii="Times New Roman" w:hAnsi="Times New Roman" w:cs="Times New Roman"/>
                <w:color w:val="auto"/>
                <w:sz w:val="24"/>
              </w:rPr>
              <w:t>每小时换气</w:t>
            </w:r>
            <w:r>
              <w:rPr>
                <w:rFonts w:hint="default" w:ascii="Times New Roman" w:hAnsi="Times New Roman" w:cs="Times New Roman"/>
                <w:color w:val="auto"/>
                <w:sz w:val="24"/>
                <w:lang w:val="en-US" w:eastAsia="zh-CN"/>
              </w:rPr>
              <w:t>约10</w:t>
            </w:r>
            <w:r>
              <w:rPr>
                <w:rFonts w:hint="default" w:ascii="Times New Roman" w:hAnsi="Times New Roman" w:cs="Times New Roman"/>
                <w:color w:val="auto"/>
                <w:sz w:val="24"/>
              </w:rPr>
              <w:t>次，</w:t>
            </w:r>
            <w:r>
              <w:rPr>
                <w:rFonts w:hint="default" w:ascii="Times New Roman" w:hAnsi="Times New Roman" w:cs="Times New Roman"/>
                <w:color w:val="auto"/>
                <w:sz w:val="24"/>
                <w:lang w:val="en-US" w:eastAsia="zh-CN"/>
              </w:rPr>
              <w:t>排</w:t>
            </w:r>
            <w:r>
              <w:rPr>
                <w:rFonts w:hint="default" w:ascii="Times New Roman" w:hAnsi="Times New Roman" w:cs="Times New Roman"/>
                <w:color w:val="auto"/>
                <w:sz w:val="24"/>
              </w:rPr>
              <w:t>风量约</w:t>
            </w:r>
            <w:r>
              <w:rPr>
                <w:rFonts w:hint="eastAsia" w:ascii="Times New Roman" w:hAnsi="Times New Roman" w:cs="Times New Roman"/>
                <w:color w:val="auto"/>
                <w:sz w:val="24"/>
                <w:lang w:val="en-US" w:eastAsia="zh-CN"/>
              </w:rPr>
              <w:t>2000m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r>
              <w:rPr>
                <w:rFonts w:hint="eastAsia" w:ascii="Times New Roman" w:hAnsi="Times New Roman" w:cs="Times New Roman"/>
                <w:color w:val="auto"/>
                <w:kern w:val="2"/>
                <w:sz w:val="24"/>
                <w:lang w:eastAsia="zh-CN"/>
              </w:rPr>
              <w:t>（</w:t>
            </w:r>
            <w:r>
              <w:rPr>
                <w:rFonts w:hint="eastAsia" w:ascii="Times New Roman" w:hAnsi="Times New Roman" w:cs="Times New Roman"/>
                <w:color w:val="auto"/>
                <w:kern w:val="2"/>
                <w:sz w:val="24"/>
                <w:lang w:val="en-US" w:eastAsia="zh-CN"/>
              </w:rPr>
              <w:t>见附图15</w:t>
            </w:r>
            <w:r>
              <w:rPr>
                <w:rFonts w:hint="eastAsia" w:ascii="Times New Roman" w:hAnsi="Times New Roman" w:cs="Times New Roman"/>
                <w:color w:val="auto"/>
                <w:kern w:val="2"/>
                <w:sz w:val="24"/>
                <w:lang w:eastAsia="zh-CN"/>
              </w:rPr>
              <w:t>）</w:t>
            </w:r>
            <w:r>
              <w:rPr>
                <w:rFonts w:hint="default" w:ascii="Times New Roman" w:hAnsi="Times New Roman" w:cs="Times New Roman"/>
                <w:color w:val="auto"/>
                <w:sz w:val="24"/>
              </w:rPr>
              <w:t>。</w:t>
            </w:r>
          </w:p>
          <w:p>
            <w:pPr>
              <w:keepNext w:val="0"/>
              <w:keepLines w:val="0"/>
              <w:numPr>
                <w:ilvl w:val="0"/>
                <w:numId w:val="0"/>
              </w:numPr>
              <w:suppressLineNumbers w:val="0"/>
              <w:spacing w:before="0" w:beforeAutospacing="0" w:after="0" w:afterAutospacing="0" w:line="360" w:lineRule="auto"/>
              <w:ind w:right="0" w:rightChars="0" w:firstLine="482" w:firstLineChars="200"/>
              <w:rPr>
                <w:rFonts w:hint="default"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lang w:val="en-US" w:eastAsia="zh-CN"/>
              </w:rPr>
              <w:t>辐射防护措施</w:t>
            </w:r>
          </w:p>
          <w:p>
            <w:pPr>
              <w:keepNext w:val="0"/>
              <w:keepLines w:val="0"/>
              <w:numPr>
                <w:ilvl w:val="0"/>
                <w:numId w:val="0"/>
              </w:numPr>
              <w:suppressLineNumbers w:val="0"/>
              <w:spacing w:before="0" w:beforeAutospacing="0" w:after="0" w:afterAutospacing="0" w:line="360" w:lineRule="auto"/>
              <w:ind w:left="0" w:right="0" w:rightChars="0" w:firstLine="482"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bCs w:val="0"/>
                <w:color w:val="auto"/>
                <w:kern w:val="2"/>
                <w:sz w:val="24"/>
                <w:szCs w:val="24"/>
                <w:lang w:val="en-US" w:eastAsia="zh-CN" w:bidi="ar-SA"/>
              </w:rPr>
              <w:t>（1）除墙体和防护门外，具有以下辐射防护措施：</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rPr>
              <w:t xml:space="preserve">  </w:t>
            </w:r>
            <w:r>
              <w:rPr>
                <w:rFonts w:hint="default" w:ascii="Times New Roman" w:hAnsi="Times New Roman" w:eastAsia="宋体" w:cs="Times New Roman"/>
                <w:b w:val="0"/>
                <w:bCs w:val="0"/>
                <w:color w:val="auto"/>
                <w:sz w:val="24"/>
                <w:szCs w:val="24"/>
              </w:rPr>
              <w:t xml:space="preserve">  </w:t>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 1 \* GB3 \* MERGEFORMAT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①</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cs="Times New Roman"/>
                <w:b w:val="0"/>
                <w:color w:val="auto"/>
                <w:sz w:val="24"/>
              </w:rPr>
              <w:t>隔室操作：本项目</w:t>
            </w:r>
            <w:r>
              <w:rPr>
                <w:rFonts w:hint="default" w:ascii="Times New Roman" w:hAnsi="Times New Roman" w:cs="Times New Roman"/>
                <w:b w:val="0"/>
                <w:color w:val="auto"/>
                <w:sz w:val="24"/>
                <w:lang w:val="en-US" w:eastAsia="zh-CN"/>
              </w:rPr>
              <w:t>后装机</w:t>
            </w:r>
            <w:r>
              <w:rPr>
                <w:rFonts w:hint="default" w:ascii="Times New Roman" w:hAnsi="Times New Roman" w:cs="Times New Roman"/>
                <w:b w:val="0"/>
                <w:color w:val="auto"/>
                <w:sz w:val="24"/>
              </w:rPr>
              <w:t>控制室与机房之间以墙体和过道隔开，</w:t>
            </w:r>
            <w:r>
              <w:rPr>
                <w:rFonts w:hint="eastAsia" w:ascii="Times New Roman" w:hAnsi="Times New Roman" w:cs="Times New Roman"/>
                <w:b w:val="0"/>
                <w:bCs/>
                <w:color w:val="auto"/>
                <w:sz w:val="24"/>
                <w:lang w:eastAsia="zh-CN"/>
              </w:rPr>
              <w:t>治疗室内</w:t>
            </w:r>
            <w:r>
              <w:rPr>
                <w:rFonts w:hint="default" w:ascii="Times New Roman" w:hAnsi="Times New Roman" w:cs="Times New Roman"/>
                <w:b w:val="0"/>
                <w:bCs/>
                <w:color w:val="auto"/>
                <w:sz w:val="24"/>
              </w:rPr>
              <w:t>拟安装电视监控、对讲装置，控制室能通过电视监控观察</w:t>
            </w:r>
            <w:r>
              <w:rPr>
                <w:rFonts w:hint="eastAsia" w:ascii="Times New Roman" w:hAnsi="Times New Roman" w:cs="Times New Roman"/>
                <w:b w:val="0"/>
                <w:bCs/>
                <w:color w:val="auto"/>
                <w:sz w:val="24"/>
                <w:lang w:eastAsia="zh-CN"/>
              </w:rPr>
              <w:t>治疗室内</w:t>
            </w:r>
            <w:r>
              <w:rPr>
                <w:rFonts w:hint="default" w:ascii="Times New Roman" w:hAnsi="Times New Roman" w:cs="Times New Roman"/>
                <w:b w:val="0"/>
                <w:bCs/>
                <w:color w:val="auto"/>
                <w:sz w:val="24"/>
              </w:rPr>
              <w:t>患者治疗的情况，并通过对讲机与</w:t>
            </w:r>
            <w:r>
              <w:rPr>
                <w:rFonts w:hint="eastAsia" w:ascii="Times New Roman" w:hAnsi="Times New Roman" w:cs="Times New Roman"/>
                <w:b w:val="0"/>
                <w:bCs/>
                <w:color w:val="auto"/>
                <w:sz w:val="24"/>
                <w:lang w:eastAsia="zh-CN"/>
              </w:rPr>
              <w:t>治疗室内</w:t>
            </w:r>
            <w:r>
              <w:rPr>
                <w:rFonts w:hint="default" w:ascii="Times New Roman" w:hAnsi="Times New Roman" w:cs="Times New Roman"/>
                <w:b w:val="0"/>
                <w:bCs/>
                <w:color w:val="auto"/>
                <w:sz w:val="24"/>
              </w:rPr>
              <w:t>患者</w:t>
            </w:r>
            <w:r>
              <w:rPr>
                <w:rFonts w:hint="default" w:ascii="Times New Roman" w:hAnsi="Times New Roman" w:cs="Times New Roman"/>
                <w:b w:val="0"/>
                <w:bCs/>
                <w:color w:val="auto"/>
                <w:sz w:val="24"/>
                <w:lang w:val="en-US" w:eastAsia="zh-CN"/>
              </w:rPr>
              <w:t>沟通</w:t>
            </w:r>
            <w:r>
              <w:rPr>
                <w:rFonts w:hint="default" w:ascii="Times New Roman" w:hAnsi="Times New Roman" w:cs="Times New Roman"/>
                <w:b w:val="0"/>
                <w:color w:val="auto"/>
                <w:sz w:val="24"/>
              </w:rPr>
              <w:t>。</w:t>
            </w:r>
            <w:r>
              <w:rPr>
                <w:rFonts w:hint="eastAsia" w:ascii="Times New Roman" w:hAnsi="Times New Roman" w:cs="Times New Roman"/>
                <w:b w:val="0"/>
                <w:color w:val="auto"/>
                <w:sz w:val="24"/>
                <w:lang w:eastAsia="zh-CN"/>
              </w:rPr>
              <w:t>治疗室内</w:t>
            </w:r>
            <w:r>
              <w:rPr>
                <w:rFonts w:hint="default" w:ascii="Times New Roman" w:hAnsi="Times New Roman" w:cs="Times New Roman"/>
                <w:b w:val="0"/>
                <w:color w:val="auto"/>
                <w:sz w:val="24"/>
              </w:rPr>
              <w:t>墙体交叉口、</w:t>
            </w:r>
            <w:r>
              <w:rPr>
                <w:rFonts w:hint="eastAsia" w:ascii="Times New Roman" w:hAnsi="Times New Roman" w:cs="Times New Roman"/>
                <w:b w:val="0"/>
                <w:color w:val="auto"/>
                <w:sz w:val="24"/>
                <w:lang w:eastAsia="zh-CN"/>
              </w:rPr>
              <w:t>迷路</w:t>
            </w:r>
            <w:r>
              <w:rPr>
                <w:rFonts w:hint="default" w:ascii="Times New Roman" w:hAnsi="Times New Roman" w:cs="Times New Roman"/>
                <w:b w:val="0"/>
                <w:color w:val="auto"/>
                <w:sz w:val="24"/>
              </w:rPr>
              <w:t>口处安装有监控装置，</w:t>
            </w:r>
            <w:r>
              <w:rPr>
                <w:rFonts w:hint="default" w:ascii="Times New Roman" w:hAnsi="Times New Roman" w:cs="Times New Roman"/>
                <w:b w:val="0"/>
                <w:color w:val="auto"/>
                <w:sz w:val="24"/>
                <w:lang w:val="en-US" w:eastAsia="zh-CN"/>
              </w:rPr>
              <w:t>确保</w:t>
            </w:r>
            <w:r>
              <w:rPr>
                <w:rFonts w:hint="eastAsia" w:ascii="Times New Roman" w:hAnsi="Times New Roman" w:cs="Times New Roman"/>
                <w:b w:val="0"/>
                <w:color w:val="auto"/>
                <w:sz w:val="24"/>
                <w:lang w:eastAsia="zh-CN"/>
              </w:rPr>
              <w:t>治疗室内</w:t>
            </w:r>
            <w:r>
              <w:rPr>
                <w:rFonts w:hint="default" w:ascii="Times New Roman" w:hAnsi="Times New Roman" w:cs="Times New Roman"/>
                <w:b w:val="0"/>
                <w:color w:val="auto"/>
                <w:sz w:val="24"/>
              </w:rPr>
              <w:t xml:space="preserve">监控全覆盖。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②</w:t>
            </w:r>
            <w:r>
              <w:rPr>
                <w:rFonts w:hint="eastAsia" w:ascii="Times New Roman" w:hAnsi="Times New Roman" w:cs="Times New Roman"/>
                <w:b w:val="0"/>
                <w:bCs w:val="0"/>
                <w:color w:val="auto"/>
                <w:sz w:val="24"/>
                <w:szCs w:val="24"/>
                <w:lang w:eastAsia="zh-CN"/>
              </w:rPr>
              <w:t>后装治疗室</w:t>
            </w:r>
            <w:r>
              <w:rPr>
                <w:rFonts w:hint="default" w:ascii="Times New Roman" w:hAnsi="Times New Roman" w:eastAsia="宋体" w:cs="Times New Roman"/>
                <w:b w:val="0"/>
                <w:bCs w:val="0"/>
                <w:color w:val="auto"/>
                <w:sz w:val="24"/>
                <w:szCs w:val="24"/>
              </w:rPr>
              <w:t>门上有显示工作状态的指示灯，辐射工作场所有电离辐射警示标志；主机外表电离辐射警示标志</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配备有</w:t>
            </w:r>
            <w:r>
              <w:rPr>
                <w:rFonts w:hint="default" w:ascii="Times New Roman" w:hAnsi="Times New Roman" w:eastAsia="宋体" w:cs="Times New Roman"/>
                <w:b w:val="0"/>
                <w:bCs w:val="0"/>
                <w:color w:val="auto"/>
                <w:sz w:val="24"/>
                <w:szCs w:val="24"/>
              </w:rPr>
              <w:t>停电或意外中断照射时</w:t>
            </w:r>
            <w:r>
              <w:rPr>
                <w:rFonts w:hint="default" w:ascii="Times New Roman" w:hAnsi="Times New Roman" w:eastAsia="宋体" w:cs="Times New Roman"/>
                <w:b w:val="0"/>
                <w:bCs w:val="0"/>
                <w:color w:val="auto"/>
                <w:sz w:val="24"/>
                <w:szCs w:val="24"/>
                <w:lang w:val="en-US" w:eastAsia="zh-CN"/>
              </w:rPr>
              <w:t>声光报警</w:t>
            </w:r>
            <w:r>
              <w:rPr>
                <w:rFonts w:hint="default" w:ascii="Times New Roman" w:hAnsi="Times New Roman" w:cs="Times New Roman"/>
                <w:b w:val="0"/>
                <w:bCs w:val="0"/>
                <w:color w:val="auto"/>
                <w:sz w:val="24"/>
                <w:szCs w:val="24"/>
                <w:lang w:val="en-US" w:eastAsia="zh-CN"/>
              </w:rPr>
              <w:t>。</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 xml:space="preserve">    </w:t>
            </w:r>
            <w:r>
              <w:rPr>
                <w:rFonts w:hint="default" w:ascii="Times New Roman" w:hAnsi="Times New Roman" w:cs="Times New Roman"/>
                <w:b w:val="0"/>
                <w:bCs w:val="0"/>
                <w:color w:val="auto"/>
                <w:sz w:val="24"/>
                <w:szCs w:val="24"/>
                <w:lang w:eastAsia="zh-CN"/>
              </w:rPr>
              <w:t>③</w:t>
            </w:r>
            <w:r>
              <w:rPr>
                <w:rFonts w:hint="default" w:ascii="Times New Roman" w:hAnsi="Times New Roman" w:eastAsia="宋体" w:cs="Times New Roman"/>
                <w:b w:val="0"/>
                <w:bCs w:val="0"/>
                <w:color w:val="auto"/>
                <w:sz w:val="24"/>
                <w:szCs w:val="24"/>
              </w:rPr>
              <w:t>施源器与源联锁</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施源器</w:t>
            </w:r>
            <w:r>
              <w:rPr>
                <w:rFonts w:hint="default" w:ascii="Times New Roman" w:hAnsi="Times New Roman" w:eastAsia="宋体" w:cs="Times New Roman"/>
                <w:b w:val="0"/>
                <w:bCs w:val="0"/>
                <w:color w:val="auto"/>
                <w:sz w:val="24"/>
                <w:szCs w:val="24"/>
                <w:lang w:val="en-US" w:eastAsia="zh-CN"/>
              </w:rPr>
              <w:t>连接好后，才能出源治疗</w:t>
            </w:r>
            <w:r>
              <w:rPr>
                <w:rFonts w:hint="default" w:ascii="Times New Roman" w:hAnsi="Times New Roman" w:cs="Times New Roman"/>
                <w:b w:val="0"/>
                <w:bCs w:val="0"/>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eastAsia="zh-CN"/>
              </w:rPr>
              <w:t>④</w:t>
            </w:r>
            <w:r>
              <w:rPr>
                <w:rFonts w:hint="default" w:ascii="Times New Roman" w:hAnsi="Times New Roman" w:eastAsia="宋体" w:cs="Times New Roman"/>
                <w:b w:val="0"/>
                <w:bCs w:val="0"/>
                <w:color w:val="auto"/>
                <w:sz w:val="24"/>
                <w:szCs w:val="24"/>
              </w:rPr>
              <w:t>有门源</w:t>
            </w:r>
            <w:r>
              <w:rPr>
                <w:rFonts w:hint="eastAsia" w:ascii="Times New Roman" w:hAnsi="Times New Roman" w:cs="Times New Roman"/>
                <w:b w:val="0"/>
                <w:bCs w:val="0"/>
                <w:color w:val="auto"/>
                <w:sz w:val="24"/>
                <w:szCs w:val="24"/>
                <w:lang w:eastAsia="zh-CN"/>
              </w:rPr>
              <w:t>联锁</w:t>
            </w:r>
            <w:r>
              <w:rPr>
                <w:rFonts w:hint="default" w:ascii="Times New Roman" w:hAnsi="Times New Roman" w:eastAsia="宋体" w:cs="Times New Roman"/>
                <w:b w:val="0"/>
                <w:bCs w:val="0"/>
                <w:color w:val="auto"/>
                <w:sz w:val="24"/>
                <w:szCs w:val="24"/>
              </w:rPr>
              <w:t>，出源时</w:t>
            </w:r>
            <w:r>
              <w:rPr>
                <w:rFonts w:hint="eastAsia" w:ascii="Times New Roman" w:hAnsi="Times New Roman" w:cs="Times New Roman"/>
                <w:b w:val="0"/>
                <w:bCs w:val="0"/>
                <w:color w:val="auto"/>
                <w:sz w:val="24"/>
                <w:szCs w:val="24"/>
                <w:lang w:val="en-US" w:eastAsia="zh-CN"/>
              </w:rPr>
              <w:t>后装治疗室</w:t>
            </w:r>
            <w:r>
              <w:rPr>
                <w:rFonts w:hint="default" w:ascii="Times New Roman" w:hAnsi="Times New Roman" w:eastAsia="宋体" w:cs="Times New Roman"/>
                <w:b w:val="0"/>
                <w:bCs w:val="0"/>
                <w:color w:val="auto"/>
                <w:sz w:val="24"/>
                <w:szCs w:val="24"/>
              </w:rPr>
              <w:t>门关闭，源回到贮存位后才能开启，但</w:t>
            </w:r>
            <w:r>
              <w:rPr>
                <w:rFonts w:hint="default" w:ascii="Times New Roman" w:hAnsi="Times New Roman" w:cs="Times New Roman"/>
                <w:b w:val="0"/>
                <w:bCs w:val="0"/>
                <w:color w:val="auto"/>
                <w:sz w:val="24"/>
                <w:szCs w:val="24"/>
                <w:lang w:val="en-US" w:eastAsia="zh-CN"/>
              </w:rPr>
              <w:t>可</w:t>
            </w:r>
            <w:r>
              <w:rPr>
                <w:rFonts w:hint="default" w:ascii="Times New Roman" w:hAnsi="Times New Roman" w:eastAsia="宋体" w:cs="Times New Roman"/>
                <w:b w:val="0"/>
                <w:bCs w:val="0"/>
                <w:color w:val="auto"/>
                <w:sz w:val="24"/>
                <w:szCs w:val="24"/>
              </w:rPr>
              <w:t>从</w:t>
            </w:r>
            <w:r>
              <w:rPr>
                <w:rFonts w:hint="eastAsia" w:ascii="Times New Roman" w:hAnsi="Times New Roman" w:cs="Times New Roman"/>
                <w:b w:val="0"/>
                <w:bCs w:val="0"/>
                <w:color w:val="auto"/>
                <w:sz w:val="24"/>
                <w:szCs w:val="24"/>
                <w:lang w:val="en-US" w:eastAsia="zh-CN"/>
              </w:rPr>
              <w:t>后装治疗室</w:t>
            </w:r>
            <w:r>
              <w:rPr>
                <w:rFonts w:hint="default" w:ascii="Times New Roman" w:hAnsi="Times New Roman" w:eastAsia="宋体" w:cs="Times New Roman"/>
                <w:b w:val="0"/>
                <w:bCs w:val="0"/>
                <w:color w:val="auto"/>
                <w:sz w:val="24"/>
                <w:szCs w:val="24"/>
              </w:rPr>
              <w:t>内可开启；</w:t>
            </w:r>
            <w:r>
              <w:rPr>
                <w:rFonts w:hint="default" w:ascii="Times New Roman" w:hAnsi="Times New Roman" w:cs="Times New Roman"/>
                <w:b w:val="0"/>
                <w:bCs w:val="0"/>
                <w:color w:val="auto"/>
                <w:sz w:val="24"/>
                <w:szCs w:val="24"/>
                <w:lang w:val="en-US" w:eastAsia="zh-CN"/>
              </w:rPr>
              <w:t>配备有后装源</w:t>
            </w:r>
            <w:r>
              <w:rPr>
                <w:rFonts w:hint="default" w:ascii="Times New Roman" w:hAnsi="Times New Roman" w:cs="Times New Roman"/>
                <w:b w:val="0"/>
                <w:bCs/>
                <w:color w:val="auto"/>
                <w:sz w:val="24"/>
                <w:szCs w:val="24"/>
              </w:rPr>
              <w:t>专用贮存柜</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实行双人双锁，配备防盗门窗。</w:t>
            </w:r>
          </w:p>
          <w:p>
            <w:pPr>
              <w:pStyle w:val="28"/>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eastAsia="zh-CN"/>
              </w:rPr>
              <w:t>⑤</w:t>
            </w:r>
            <w:r>
              <w:rPr>
                <w:rFonts w:hint="default" w:ascii="Times New Roman" w:hAnsi="Times New Roman" w:eastAsia="宋体" w:cs="Times New Roman"/>
                <w:b w:val="0"/>
                <w:bCs w:val="0"/>
                <w:color w:val="auto"/>
                <w:sz w:val="24"/>
                <w:szCs w:val="24"/>
              </w:rPr>
              <w:t>控制台上有放射源位置显示，并与治疗机上显示同步；控制台</w:t>
            </w:r>
            <w:r>
              <w:rPr>
                <w:rFonts w:hint="default" w:ascii="Times New Roman" w:hAnsi="Times New Roman" w:eastAsia="宋体" w:cs="Times New Roman"/>
                <w:b w:val="0"/>
                <w:bCs w:val="0"/>
                <w:color w:val="auto"/>
                <w:sz w:val="24"/>
                <w:szCs w:val="24"/>
                <w:lang w:val="en-US" w:eastAsia="zh-CN"/>
              </w:rPr>
              <w:t>紧急停止照射按钮；</w:t>
            </w:r>
            <w:r>
              <w:rPr>
                <w:rFonts w:hint="default" w:ascii="Times New Roman" w:hAnsi="Times New Roman" w:eastAsia="宋体" w:cs="Times New Roman"/>
                <w:b w:val="0"/>
                <w:bCs w:val="0"/>
                <w:color w:val="auto"/>
                <w:sz w:val="24"/>
                <w:szCs w:val="24"/>
              </w:rPr>
              <w:t>控制台上</w:t>
            </w:r>
            <w:r>
              <w:rPr>
                <w:rFonts w:hint="default" w:ascii="Times New Roman" w:hAnsi="Times New Roman" w:eastAsia="宋体" w:cs="Times New Roman"/>
                <w:b w:val="0"/>
                <w:bCs w:val="0"/>
                <w:color w:val="auto"/>
                <w:sz w:val="24"/>
                <w:szCs w:val="24"/>
                <w:lang w:val="en-US" w:eastAsia="zh-CN"/>
              </w:rPr>
              <w:t>有防止工作人员操作的锁定开关</w:t>
            </w:r>
            <w:r>
              <w:rPr>
                <w:rFonts w:hint="default" w:ascii="Times New Roman" w:hAnsi="Times New Roman" w:eastAsia="宋体" w:cs="Times New Roman"/>
                <w:b w:val="0"/>
                <w:bCs w:val="0"/>
                <w:color w:val="auto"/>
                <w:sz w:val="24"/>
                <w:szCs w:val="24"/>
              </w:rPr>
              <w:t>；仿真源模拟运行系统</w:t>
            </w:r>
            <w:r>
              <w:rPr>
                <w:rFonts w:hint="default" w:ascii="Times New Roman" w:hAnsi="Times New Roman" w:cs="Times New Roman"/>
                <w:b w:val="0"/>
                <w:bCs w:val="0"/>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⑥</w:t>
            </w:r>
            <w:r>
              <w:rPr>
                <w:rFonts w:hint="eastAsia" w:ascii="Times New Roman" w:hAnsi="Times New Roman" w:cs="Times New Roman"/>
                <w:b w:val="0"/>
                <w:bCs w:val="0"/>
                <w:color w:val="auto"/>
                <w:sz w:val="24"/>
                <w:szCs w:val="24"/>
                <w:lang w:val="en-US" w:eastAsia="zh-CN"/>
              </w:rPr>
              <w:t>后装治疗室</w:t>
            </w:r>
            <w:r>
              <w:rPr>
                <w:rFonts w:hint="default" w:ascii="Times New Roman" w:hAnsi="Times New Roman" w:eastAsia="宋体" w:cs="Times New Roman"/>
                <w:b w:val="0"/>
                <w:bCs w:val="0"/>
                <w:color w:val="auto"/>
                <w:sz w:val="24"/>
                <w:szCs w:val="24"/>
                <w:lang w:val="en-US" w:eastAsia="zh-CN"/>
              </w:rPr>
              <w:t>配备</w:t>
            </w:r>
            <w:r>
              <w:rPr>
                <w:rFonts w:hint="default" w:ascii="Times New Roman" w:hAnsi="Times New Roman" w:eastAsia="宋体" w:cs="Times New Roman"/>
                <w:b w:val="0"/>
                <w:bCs w:val="0"/>
                <w:color w:val="auto"/>
                <w:sz w:val="24"/>
                <w:szCs w:val="24"/>
              </w:rPr>
              <w:t>有电视监控对讲</w:t>
            </w:r>
            <w:r>
              <w:rPr>
                <w:rFonts w:hint="default" w:ascii="Times New Roman" w:hAnsi="Times New Roman" w:eastAsia="宋体" w:cs="Times New Roman"/>
                <w:b w:val="0"/>
                <w:bCs w:val="0"/>
                <w:color w:val="auto"/>
                <w:sz w:val="24"/>
                <w:szCs w:val="24"/>
                <w:lang w:val="en-US" w:eastAsia="zh-CN"/>
              </w:rPr>
              <w:t>装置</w:t>
            </w:r>
            <w:r>
              <w:rPr>
                <w:rFonts w:hint="default" w:ascii="Times New Roman" w:hAnsi="Times New Roman" w:eastAsia="宋体" w:cs="Times New Roman"/>
                <w:b w:val="0"/>
                <w:bCs w:val="0"/>
                <w:color w:val="auto"/>
                <w:sz w:val="24"/>
                <w:szCs w:val="24"/>
              </w:rPr>
              <w:t>；</w:t>
            </w:r>
            <w:r>
              <w:rPr>
                <w:rFonts w:hint="eastAsia" w:ascii="Times New Roman" w:hAnsi="Times New Roman" w:cs="Times New Roman"/>
                <w:b w:val="0"/>
                <w:bCs w:val="0"/>
                <w:color w:val="auto"/>
                <w:sz w:val="24"/>
                <w:szCs w:val="24"/>
                <w:lang w:val="en-US" w:eastAsia="zh-CN"/>
              </w:rPr>
              <w:t>后装治疗室</w:t>
            </w:r>
            <w:r>
              <w:rPr>
                <w:rFonts w:hint="default" w:ascii="Times New Roman" w:hAnsi="Times New Roman" w:eastAsia="宋体" w:cs="Times New Roman"/>
                <w:b w:val="0"/>
                <w:bCs w:val="0"/>
                <w:color w:val="auto"/>
                <w:sz w:val="24"/>
                <w:szCs w:val="24"/>
              </w:rPr>
              <w:t>内固定式剂量</w:t>
            </w:r>
            <w:r>
              <w:rPr>
                <w:rFonts w:hint="default" w:ascii="Times New Roman" w:hAnsi="Times New Roman" w:eastAsia="宋体" w:cs="Times New Roman"/>
                <w:b w:val="0"/>
                <w:bCs w:val="0"/>
                <w:color w:val="auto"/>
                <w:sz w:val="24"/>
                <w:szCs w:val="24"/>
                <w:lang w:val="en-US" w:eastAsia="zh-CN"/>
              </w:rPr>
              <w:t>监测</w:t>
            </w:r>
            <w:r>
              <w:rPr>
                <w:rFonts w:hint="default" w:ascii="Times New Roman" w:hAnsi="Times New Roman" w:eastAsia="宋体" w:cs="Times New Roman"/>
                <w:b w:val="0"/>
                <w:bCs w:val="0"/>
                <w:color w:val="auto"/>
                <w:sz w:val="24"/>
                <w:szCs w:val="24"/>
              </w:rPr>
              <w:t>仪</w:t>
            </w:r>
            <w:r>
              <w:rPr>
                <w:rFonts w:hint="default" w:ascii="Times New Roman" w:hAnsi="Times New Roman" w:cs="Times New Roman"/>
                <w:b w:val="0"/>
                <w:bCs w:val="0"/>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eastAsia="zh-CN"/>
              </w:rPr>
              <w:t>⑦</w:t>
            </w:r>
            <w:r>
              <w:rPr>
                <w:rFonts w:hint="eastAsia" w:ascii="Times New Roman" w:hAnsi="Times New Roman" w:cs="Times New Roman"/>
                <w:b w:val="0"/>
                <w:bCs w:val="0"/>
                <w:color w:val="auto"/>
                <w:sz w:val="24"/>
                <w:szCs w:val="24"/>
                <w:lang w:val="en-US" w:eastAsia="zh-CN"/>
              </w:rPr>
              <w:t>后装治疗室</w:t>
            </w:r>
            <w:r>
              <w:rPr>
                <w:rFonts w:hint="default" w:ascii="Times New Roman" w:hAnsi="Times New Roman" w:eastAsia="宋体" w:cs="Times New Roman"/>
                <w:b w:val="0"/>
                <w:bCs w:val="0"/>
                <w:color w:val="auto"/>
                <w:sz w:val="24"/>
                <w:szCs w:val="24"/>
              </w:rPr>
              <w:t>内有紧急回源开关；放射源返回储源器的应急开关</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管道遇堵自动回源</w:t>
            </w:r>
            <w:r>
              <w:rPr>
                <w:rFonts w:hint="default" w:ascii="Times New Roman" w:hAnsi="Times New Roman" w:eastAsia="宋体" w:cs="Times New Roman"/>
                <w:b w:val="0"/>
                <w:bCs w:val="0"/>
                <w:color w:val="auto"/>
                <w:sz w:val="24"/>
                <w:szCs w:val="24"/>
                <w:lang w:val="en-US" w:eastAsia="zh-CN"/>
              </w:rPr>
              <w:t>装置；</w:t>
            </w:r>
            <w:r>
              <w:rPr>
                <w:rFonts w:hint="default" w:ascii="Times New Roman" w:hAnsi="Times New Roman" w:eastAsia="宋体" w:cs="Times New Roman"/>
                <w:b w:val="0"/>
                <w:bCs w:val="0"/>
                <w:color w:val="auto"/>
                <w:sz w:val="24"/>
                <w:szCs w:val="24"/>
              </w:rPr>
              <w:t>手动回源装置</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停电或意外中断照射时自动回源装置</w:t>
            </w:r>
            <w:r>
              <w:rPr>
                <w:rFonts w:hint="default" w:ascii="Times New Roman" w:hAnsi="Times New Roman" w:cs="Times New Roman"/>
                <w:b w:val="0"/>
                <w:bCs w:val="0"/>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cs="Times New Roman"/>
                <w:b w:val="0"/>
                <w:bCs w:val="0"/>
                <w:color w:val="auto"/>
                <w:sz w:val="24"/>
                <w:szCs w:val="24"/>
                <w:lang w:eastAsia="zh-CN"/>
              </w:rPr>
              <w:t>⑧</w:t>
            </w:r>
            <w:r>
              <w:rPr>
                <w:rFonts w:hint="default" w:ascii="Times New Roman" w:hAnsi="Times New Roman" w:eastAsia="宋体" w:cs="Times New Roman"/>
                <w:b w:val="0"/>
                <w:bCs w:val="0"/>
                <w:color w:val="auto"/>
                <w:sz w:val="24"/>
                <w:szCs w:val="24"/>
              </w:rPr>
              <w:t>个人防护：辐射工作人员每人佩戴个人剂量计和预定剂量率</w:t>
            </w:r>
            <w:r>
              <w:rPr>
                <w:rFonts w:hint="eastAsia" w:ascii="Times New Roman" w:hAnsi="Times New Roman" w:cs="Times New Roman"/>
                <w:b w:val="0"/>
                <w:bCs w:val="0"/>
                <w:color w:val="auto"/>
                <w:sz w:val="24"/>
                <w:szCs w:val="24"/>
                <w:lang w:eastAsia="zh-CN"/>
              </w:rPr>
              <w:t>阈值</w:t>
            </w:r>
            <w:r>
              <w:rPr>
                <w:rFonts w:hint="default" w:ascii="Times New Roman" w:hAnsi="Times New Roman" w:eastAsia="宋体" w:cs="Times New Roman"/>
                <w:b w:val="0"/>
                <w:bCs w:val="0"/>
                <w:color w:val="auto"/>
                <w:sz w:val="24"/>
                <w:szCs w:val="24"/>
              </w:rPr>
              <w:t>自动报警仪。</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sz w:val="24"/>
                <w:szCs w:val="24"/>
                <w:lang w:eastAsia="zh-CN"/>
              </w:rPr>
            </w:pPr>
            <w:r>
              <w:rPr>
                <w:rFonts w:hint="default" w:ascii="Times New Roman" w:hAnsi="Times New Roman" w:cs="Times New Roman"/>
                <w:b w:val="0"/>
                <w:bCs w:val="0"/>
                <w:color w:val="auto"/>
                <w:sz w:val="24"/>
                <w:szCs w:val="24"/>
                <w:lang w:eastAsia="zh-CN"/>
              </w:rPr>
              <w:t>⑨</w:t>
            </w:r>
            <w:r>
              <w:rPr>
                <w:rFonts w:hint="default" w:ascii="Times New Roman" w:hAnsi="Times New Roman" w:eastAsia="宋体" w:cs="Times New Roman"/>
                <w:b w:val="0"/>
                <w:bCs w:val="0"/>
                <w:color w:val="auto"/>
                <w:sz w:val="24"/>
                <w:szCs w:val="24"/>
                <w:lang w:val="en-US" w:eastAsia="zh-CN"/>
              </w:rPr>
              <w:t>后装机</w:t>
            </w:r>
            <w:r>
              <w:rPr>
                <w:rFonts w:hint="default" w:ascii="Times New Roman" w:hAnsi="Times New Roman" w:eastAsia="宋体" w:cs="Times New Roman"/>
                <w:b w:val="0"/>
                <w:bCs w:val="0"/>
                <w:color w:val="auto"/>
                <w:sz w:val="24"/>
                <w:szCs w:val="24"/>
              </w:rPr>
              <w:t>将由生产厂家进行质保维修，医院设备科人员仅对</w:t>
            </w:r>
            <w:r>
              <w:rPr>
                <w:rFonts w:hint="default" w:ascii="Times New Roman" w:hAnsi="Times New Roman" w:eastAsia="宋体" w:cs="Times New Roman"/>
                <w:b w:val="0"/>
                <w:bCs w:val="0"/>
                <w:color w:val="auto"/>
                <w:sz w:val="24"/>
                <w:szCs w:val="24"/>
                <w:lang w:val="en-US" w:eastAsia="zh-CN"/>
              </w:rPr>
              <w:t>后装机</w:t>
            </w:r>
            <w:r>
              <w:rPr>
                <w:rFonts w:hint="default" w:ascii="Times New Roman" w:hAnsi="Times New Roman" w:eastAsia="宋体" w:cs="Times New Roman"/>
                <w:b w:val="0"/>
                <w:bCs w:val="0"/>
                <w:color w:val="auto"/>
                <w:sz w:val="24"/>
                <w:szCs w:val="24"/>
              </w:rPr>
              <w:t>进行日常维护</w:t>
            </w:r>
            <w:r>
              <w:rPr>
                <w:rFonts w:hint="default" w:ascii="Times New Roman" w:hAnsi="Times New Roman" w:eastAsia="宋体" w:cs="Times New Roman"/>
                <w:b w:val="0"/>
                <w:bCs w:val="0"/>
                <w:color w:val="auto"/>
                <w:sz w:val="24"/>
                <w:szCs w:val="24"/>
                <w:lang w:eastAsia="zh-CN"/>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val="0"/>
                <w:color w:val="auto"/>
                <w:sz w:val="24"/>
                <w:szCs w:val="24"/>
              </w:rPr>
            </w:pPr>
            <w:r>
              <w:rPr>
                <w:rFonts w:hint="default" w:ascii="Times New Roman" w:hAnsi="Times New Roman" w:eastAsia="宋体" w:cs="Times New Roman"/>
                <w:b/>
                <w:bCs w:val="0"/>
                <w:color w:val="auto"/>
                <w:kern w:val="2"/>
                <w:sz w:val="24"/>
                <w:szCs w:val="24"/>
                <w:lang w:val="en-US" w:eastAsia="zh-CN" w:bidi="ar-SA"/>
              </w:rPr>
              <w:t>（2）后装机固有安全措施</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olor w:val="auto"/>
                <w:sz w:val="24"/>
                <w:szCs w:val="24"/>
              </w:rPr>
            </w:pPr>
            <w:r>
              <w:rPr>
                <w:rFonts w:hint="default" w:ascii="Times New Roman" w:hAnsi="Times New Roman"/>
                <w:color w:val="auto"/>
                <w:sz w:val="24"/>
                <w:szCs w:val="24"/>
              </w:rPr>
              <w:t>本项目</w:t>
            </w:r>
            <w:r>
              <w:rPr>
                <w:rFonts w:hint="eastAsia" w:ascii="Times New Roman" w:hAnsi="Times New Roman"/>
                <w:color w:val="auto"/>
                <w:sz w:val="24"/>
                <w:szCs w:val="24"/>
                <w:vertAlign w:val="superscript"/>
                <w:lang w:val="en-US" w:eastAsia="zh-CN"/>
              </w:rPr>
              <w:t>192</w:t>
            </w:r>
            <w:r>
              <w:rPr>
                <w:rFonts w:hint="eastAsia" w:ascii="Times New Roman" w:hAnsi="Times New Roman"/>
                <w:color w:val="auto"/>
                <w:sz w:val="24"/>
                <w:szCs w:val="24"/>
                <w:lang w:val="en-US" w:eastAsia="zh-CN"/>
              </w:rPr>
              <w:t>Ir</w:t>
            </w:r>
            <w:r>
              <w:rPr>
                <w:rFonts w:hint="default" w:ascii="Times New Roman" w:hAnsi="Times New Roman"/>
                <w:color w:val="auto"/>
                <w:sz w:val="24"/>
                <w:szCs w:val="24"/>
              </w:rPr>
              <w:t>后装机贮源装置设置</w:t>
            </w:r>
            <w:r>
              <w:rPr>
                <w:rFonts w:hint="eastAsia" w:ascii="Times New Roman" w:hAnsi="Times New Roman"/>
                <w:color w:val="auto"/>
                <w:sz w:val="24"/>
                <w:szCs w:val="24"/>
                <w:lang w:val="en-US" w:eastAsia="zh-CN"/>
              </w:rPr>
              <w:t>了</w:t>
            </w:r>
            <w:r>
              <w:rPr>
                <w:rFonts w:hint="default" w:ascii="Times New Roman" w:hAnsi="Times New Roman"/>
                <w:color w:val="auto"/>
                <w:sz w:val="24"/>
                <w:szCs w:val="24"/>
              </w:rPr>
              <w:t>铅屏蔽体，铅屏蔽体外为特制的防护钢壳，不易损坏。机器本身设有如下安全保护措施：</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olor w:val="auto"/>
                <w:sz w:val="24"/>
                <w:szCs w:val="24"/>
              </w:rPr>
            </w:pPr>
            <w:r>
              <w:rPr>
                <w:rFonts w:hint="default" w:ascii="Times New Roman" w:hAnsi="Times New Roman"/>
                <w:color w:val="auto"/>
                <w:sz w:val="24"/>
                <w:szCs w:val="24"/>
              </w:rPr>
              <w:fldChar w:fldCharType="begin"/>
            </w:r>
            <w:r>
              <w:rPr>
                <w:rFonts w:hint="default" w:ascii="Times New Roman" w:hAnsi="Times New Roman"/>
                <w:color w:val="auto"/>
                <w:sz w:val="24"/>
                <w:szCs w:val="24"/>
              </w:rPr>
              <w:instrText xml:space="preserve"> = 1 \* GB3 \* MERGEFORMAT </w:instrText>
            </w:r>
            <w:r>
              <w:rPr>
                <w:rFonts w:hint="default" w:ascii="Times New Roman" w:hAnsi="Times New Roman"/>
                <w:color w:val="auto"/>
                <w:sz w:val="24"/>
                <w:szCs w:val="24"/>
              </w:rPr>
              <w:fldChar w:fldCharType="separate"/>
            </w:r>
            <w:r>
              <w:rPr>
                <w:rFonts w:hint="eastAsia" w:ascii="宋体" w:hAnsi="宋体" w:cs="宋体"/>
                <w:color w:val="auto"/>
                <w:sz w:val="24"/>
                <w:szCs w:val="24"/>
              </w:rPr>
              <w:t>①</w:t>
            </w:r>
            <w:r>
              <w:rPr>
                <w:rFonts w:hint="default" w:ascii="Times New Roman" w:hAnsi="Times New Roman"/>
                <w:color w:val="auto"/>
                <w:sz w:val="24"/>
                <w:szCs w:val="24"/>
              </w:rPr>
              <w:fldChar w:fldCharType="end"/>
            </w:r>
            <w:r>
              <w:rPr>
                <w:rFonts w:hint="default" w:ascii="Times New Roman" w:hAnsi="Times New Roman"/>
                <w:color w:val="auto"/>
                <w:sz w:val="24"/>
                <w:szCs w:val="24"/>
              </w:rPr>
              <w:t>内置检测器验证源每次进出的完整性：采用固定治疗方式驱动装置、步进治疗方式驱动装置，在控制源辫的运动中，同时备有闭环检测的轴编码器监控工作电机的运动状态，另设置通道检测光电编码器、出源检测光电开关、源辫到位碰撞开关，通过后装治疗控制程序的控制，保证源每次进出的完整性。</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olor w:val="auto"/>
                <w:sz w:val="24"/>
                <w:szCs w:val="24"/>
              </w:rPr>
            </w:pPr>
            <w:r>
              <w:rPr>
                <w:rFonts w:hint="default" w:ascii="Times New Roman" w:hAnsi="Times New Roman"/>
                <w:color w:val="auto"/>
                <w:sz w:val="24"/>
                <w:szCs w:val="24"/>
              </w:rPr>
              <w:fldChar w:fldCharType="begin"/>
            </w:r>
            <w:r>
              <w:rPr>
                <w:rFonts w:hint="default" w:ascii="Times New Roman" w:hAnsi="Times New Roman"/>
                <w:color w:val="auto"/>
                <w:sz w:val="24"/>
                <w:szCs w:val="24"/>
              </w:rPr>
              <w:instrText xml:space="preserve"> = 2 \* GB3 \* MERGEFORMAT </w:instrText>
            </w:r>
            <w:r>
              <w:rPr>
                <w:rFonts w:hint="default" w:ascii="Times New Roman" w:hAnsi="Times New Roman"/>
                <w:color w:val="auto"/>
                <w:sz w:val="24"/>
                <w:szCs w:val="24"/>
              </w:rPr>
              <w:fldChar w:fldCharType="separate"/>
            </w:r>
            <w:r>
              <w:rPr>
                <w:rFonts w:hint="eastAsia" w:ascii="宋体" w:hAnsi="宋体" w:cs="宋体"/>
                <w:color w:val="auto"/>
                <w:sz w:val="24"/>
                <w:szCs w:val="24"/>
              </w:rPr>
              <w:t>②</w:t>
            </w:r>
            <w:r>
              <w:rPr>
                <w:rFonts w:hint="default" w:ascii="Times New Roman" w:hAnsi="Times New Roman"/>
                <w:color w:val="auto"/>
                <w:sz w:val="24"/>
                <w:szCs w:val="24"/>
              </w:rPr>
              <w:fldChar w:fldCharType="end"/>
            </w:r>
            <w:r>
              <w:rPr>
                <w:rFonts w:hint="default" w:ascii="Times New Roman" w:hAnsi="Times New Roman"/>
                <w:color w:val="auto"/>
                <w:sz w:val="24"/>
                <w:szCs w:val="24"/>
              </w:rPr>
              <w:t>导管未被正确连接时，放射源不能送出：在正式治疗前，系统通过通道检测光电编码器、施源器导管接头检测光电开关，检查各放射源导管的连接情况，未按治疗参数文件要求连接施源器导管时，放射源不能送出。</w:t>
            </w:r>
          </w:p>
          <w:p>
            <w:pPr>
              <w:keepNext w:val="0"/>
              <w:keepLines w:val="0"/>
              <w:widowControl/>
              <w:suppressLineNumbers w:val="0"/>
              <w:spacing w:before="0" w:beforeAutospacing="0" w:after="0" w:afterAutospacing="0" w:line="360" w:lineRule="auto"/>
              <w:ind w:left="0" w:right="0" w:firstLine="482" w:firstLineChars="200"/>
              <w:jc w:val="left"/>
              <w:rPr>
                <w:rFonts w:hint="default"/>
                <w:color w:val="auto"/>
                <w:sz w:val="24"/>
                <w:szCs w:val="24"/>
              </w:rPr>
            </w:pPr>
            <w:r>
              <w:rPr>
                <w:rFonts w:hint="eastAsia" w:ascii="Times New Roman" w:hAnsi="Times New Roman" w:eastAsia="宋体" w:cs="Times New Roman"/>
                <w:b/>
                <w:bCs w:val="0"/>
                <w:color w:val="auto"/>
                <w:kern w:val="2"/>
                <w:sz w:val="24"/>
                <w:szCs w:val="24"/>
                <w:lang w:val="en-US" w:eastAsia="zh-CN" w:bidi="ar-SA"/>
              </w:rPr>
              <w:t>（3）放射源的贮存及处理</w:t>
            </w:r>
            <w:r>
              <w:rPr>
                <w:rFonts w:hint="eastAsia" w:ascii="宋体" w:hAnsi="宋体" w:eastAsia="宋体" w:cs="宋体"/>
                <w:color w:val="auto"/>
                <w:kern w:val="0"/>
                <w:sz w:val="24"/>
                <w:szCs w:val="24"/>
                <w:lang w:val="en-US" w:eastAsia="zh-CN" w:bidi="ar"/>
              </w:rPr>
              <w:t xml:space="preserve"> </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olor w:val="auto"/>
                <w:sz w:val="24"/>
                <w:szCs w:val="24"/>
                <w:lang w:val="en-US" w:eastAsia="zh-CN"/>
              </w:rPr>
            </w:pPr>
            <w:r>
              <w:rPr>
                <w:rFonts w:hint="default" w:ascii="Times New Roman" w:hAnsi="Times New Roman"/>
                <w:color w:val="auto"/>
                <w:sz w:val="24"/>
                <w:szCs w:val="24"/>
              </w:rPr>
              <w:fldChar w:fldCharType="begin"/>
            </w:r>
            <w:r>
              <w:rPr>
                <w:rFonts w:hint="default" w:ascii="Times New Roman" w:hAnsi="Times New Roman"/>
                <w:color w:val="auto"/>
                <w:sz w:val="24"/>
                <w:szCs w:val="24"/>
              </w:rPr>
              <w:instrText xml:space="preserve"> = 1 \* GB3 \* MERGEFORMAT </w:instrText>
            </w:r>
            <w:r>
              <w:rPr>
                <w:rFonts w:hint="default" w:ascii="Times New Roman" w:hAnsi="Times New Roman"/>
                <w:color w:val="auto"/>
                <w:sz w:val="24"/>
                <w:szCs w:val="24"/>
              </w:rPr>
              <w:fldChar w:fldCharType="separate"/>
            </w:r>
            <w:r>
              <w:rPr>
                <w:rFonts w:hint="eastAsia" w:ascii="宋体" w:hAnsi="宋体" w:cs="宋体"/>
                <w:color w:val="auto"/>
                <w:sz w:val="24"/>
                <w:szCs w:val="24"/>
              </w:rPr>
              <w:t>①</w:t>
            </w:r>
            <w:r>
              <w:rPr>
                <w:rFonts w:hint="default" w:ascii="Times New Roman" w:hAnsi="Times New Roman"/>
                <w:color w:val="auto"/>
                <w:sz w:val="24"/>
                <w:szCs w:val="24"/>
              </w:rPr>
              <w:fldChar w:fldCharType="end"/>
            </w:r>
            <w:r>
              <w:rPr>
                <w:rFonts w:hint="default" w:ascii="Symbol" w:hAnsi="Symbol" w:eastAsia="宋体" w:cs="Symbol"/>
                <w:color w:val="auto"/>
                <w:kern w:val="0"/>
                <w:sz w:val="24"/>
                <w:szCs w:val="24"/>
                <w:lang w:val="en-US" w:eastAsia="zh-CN" w:bidi="ar"/>
              </w:rPr>
              <w:t xml:space="preserve"> </w:t>
            </w:r>
            <w:r>
              <w:rPr>
                <w:rFonts w:hint="eastAsia" w:ascii="Times New Roman" w:hAnsi="Times New Roman"/>
                <w:color w:val="auto"/>
                <w:sz w:val="24"/>
                <w:szCs w:val="24"/>
                <w:lang w:val="en-US" w:eastAsia="zh-CN"/>
              </w:rPr>
              <w:t>放射源的贮存：放射源在非使用期间贮存在后装治疗机储源容器内，储源器位于后装治疗室内。同时在后装治疗室内配置</w:t>
            </w:r>
            <w:r>
              <w:rPr>
                <w:rFonts w:hint="default" w:ascii="Times New Roman" w:hAnsi="Times New Roman"/>
                <w:color w:val="auto"/>
                <w:sz w:val="24"/>
                <w:szCs w:val="24"/>
                <w:lang w:val="en-US" w:eastAsia="zh-CN"/>
              </w:rPr>
              <w:t>1</w:t>
            </w:r>
            <w:r>
              <w:rPr>
                <w:rFonts w:hint="eastAsia" w:ascii="Times New Roman" w:hAnsi="Times New Roman"/>
                <w:color w:val="auto"/>
                <w:sz w:val="24"/>
                <w:szCs w:val="24"/>
                <w:lang w:val="en-US" w:eastAsia="zh-CN"/>
              </w:rPr>
              <w:t xml:space="preserve">个备用应急贮源罐，用于非正常状况下放射源的贮存。 </w:t>
            </w:r>
          </w:p>
          <w:p>
            <w:pPr>
              <w:pStyle w:val="2"/>
              <w:keepNext w:val="0"/>
              <w:keepLines w:val="0"/>
              <w:suppressLineNumbers w:val="0"/>
              <w:spacing w:before="0" w:beforeAutospacing="0" w:after="0" w:afterAutospacing="0" w:line="360" w:lineRule="auto"/>
              <w:ind w:left="0" w:right="0" w:firstLine="480" w:firstLineChars="200"/>
              <w:rPr>
                <w:rFonts w:hint="default"/>
                <w:color w:val="auto"/>
                <w:kern w:val="2"/>
              </w:rPr>
            </w:pPr>
            <w:r>
              <w:rPr>
                <w:rFonts w:hint="default" w:ascii="Times New Roman" w:hAnsi="Times New Roman"/>
                <w:color w:val="auto"/>
                <w:kern w:val="2"/>
                <w:sz w:val="24"/>
                <w:szCs w:val="24"/>
              </w:rPr>
              <w:fldChar w:fldCharType="begin"/>
            </w:r>
            <w:r>
              <w:rPr>
                <w:rFonts w:hint="default" w:ascii="Times New Roman" w:hAnsi="Times New Roman"/>
                <w:color w:val="auto"/>
                <w:kern w:val="2"/>
                <w:sz w:val="24"/>
                <w:szCs w:val="24"/>
              </w:rPr>
              <w:instrText xml:space="preserve"> = 2 \* GB3 \* MERGEFORMAT </w:instrText>
            </w:r>
            <w:r>
              <w:rPr>
                <w:rFonts w:hint="default" w:ascii="Times New Roman" w:hAnsi="Times New Roman"/>
                <w:color w:val="auto"/>
                <w:kern w:val="2"/>
                <w:sz w:val="24"/>
                <w:szCs w:val="24"/>
              </w:rPr>
              <w:fldChar w:fldCharType="separate"/>
            </w:r>
            <w:r>
              <w:rPr>
                <w:rFonts w:hint="eastAsia" w:ascii="宋体" w:hAnsi="宋体" w:cs="宋体"/>
                <w:color w:val="auto"/>
                <w:kern w:val="2"/>
                <w:sz w:val="24"/>
                <w:szCs w:val="24"/>
              </w:rPr>
              <w:t>②</w:t>
            </w:r>
            <w:r>
              <w:rPr>
                <w:rFonts w:hint="default" w:ascii="Times New Roman" w:hAnsi="Times New Roman"/>
                <w:color w:val="auto"/>
                <w:kern w:val="2"/>
                <w:sz w:val="24"/>
                <w:szCs w:val="24"/>
              </w:rPr>
              <w:fldChar w:fldCharType="end"/>
            </w:r>
            <w:r>
              <w:rPr>
                <w:rFonts w:hint="eastAsia"/>
                <w:color w:val="auto"/>
                <w:kern w:val="2"/>
                <w:sz w:val="24"/>
                <w:szCs w:val="24"/>
                <w:lang w:val="en-US" w:eastAsia="zh-CN"/>
              </w:rPr>
              <w:t>后装治疗室不得存放</w:t>
            </w:r>
            <w:r>
              <w:rPr>
                <w:rFonts w:hint="eastAsia"/>
                <w:color w:val="auto"/>
                <w:kern w:val="2"/>
                <w:sz w:val="24"/>
                <w:szCs w:val="24"/>
                <w:lang w:eastAsia="zh-CN"/>
              </w:rPr>
              <w:t>易燃、易爆物品，配备专门的灭火器材。一旦发生火灾，应优先对放射源进行灭火并抢离火灾现场，防止放射源屏蔽体破坏，</w:t>
            </w:r>
            <w:r>
              <w:rPr>
                <w:rFonts w:hint="eastAsia"/>
                <w:color w:val="auto"/>
                <w:kern w:val="2"/>
                <w:sz w:val="24"/>
                <w:szCs w:val="24"/>
                <w:lang w:val="en-US" w:eastAsia="zh-CN"/>
              </w:rPr>
              <w:t>防止放射源失控</w:t>
            </w:r>
            <w:r>
              <w:rPr>
                <w:rFonts w:hint="eastAsia"/>
                <w:color w:val="auto"/>
                <w:kern w:val="2"/>
                <w:sz w:val="24"/>
                <w:szCs w:val="24"/>
                <w:lang w:eastAsia="zh-CN"/>
              </w:rPr>
              <w:t>。</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fldChar w:fldCharType="begin"/>
            </w:r>
            <w:r>
              <w:rPr>
                <w:rFonts w:hint="default" w:ascii="Times New Roman" w:hAnsi="Times New Roman" w:eastAsia="宋体" w:cs="Times New Roman"/>
                <w:color w:val="auto"/>
                <w:kern w:val="0"/>
                <w:sz w:val="24"/>
                <w:szCs w:val="24"/>
                <w:lang w:val="en-US" w:eastAsia="zh-CN" w:bidi="ar"/>
              </w:rPr>
              <w:instrText xml:space="preserve"> = 3 \* GB3 \* MERGEFORMAT </w:instrText>
            </w:r>
            <w:r>
              <w:rPr>
                <w:rFonts w:hint="default" w:ascii="Times New Roman" w:hAnsi="Times New Roman" w:eastAsia="宋体" w:cs="Times New Roman"/>
                <w:color w:val="auto"/>
                <w:kern w:val="0"/>
                <w:sz w:val="24"/>
                <w:szCs w:val="24"/>
                <w:lang w:val="en-US" w:eastAsia="zh-CN" w:bidi="ar"/>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kern w:val="0"/>
                <w:sz w:val="24"/>
                <w:szCs w:val="24"/>
                <w:lang w:val="en-US" w:eastAsia="zh-CN" w:bidi="ar"/>
              </w:rPr>
              <w:fldChar w:fldCharType="end"/>
            </w:r>
            <w:r>
              <w:rPr>
                <w:rFonts w:hint="default" w:ascii="Times New Roman" w:hAnsi="Times New Roman" w:eastAsia="宋体" w:cs="Times New Roman"/>
                <w:color w:val="auto"/>
                <w:sz w:val="24"/>
                <w:szCs w:val="24"/>
                <w:lang w:val="en-US" w:eastAsia="zh-CN"/>
              </w:rPr>
              <w:t xml:space="preserve">放射源的实体保卫：后装治疗室的防护门应具有防盗功能，并实施“双人双锁”管理。在后装治疗室的防护门外的适当位置安装实时摄像装置，由医院保安人员24h 视频监控以防放射源被盗。 </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fldChar w:fldCharType="begin"/>
            </w:r>
            <w:r>
              <w:rPr>
                <w:rFonts w:hint="default" w:ascii="Times New Roman" w:hAnsi="Times New Roman" w:eastAsia="宋体" w:cs="Times New Roman"/>
                <w:color w:val="auto"/>
                <w:kern w:val="0"/>
                <w:sz w:val="24"/>
                <w:szCs w:val="24"/>
                <w:lang w:val="en-US" w:eastAsia="zh-CN" w:bidi="ar"/>
              </w:rPr>
              <w:instrText xml:space="preserve"> = 4 \* GB3 \* MERGEFORMAT </w:instrText>
            </w:r>
            <w:r>
              <w:rPr>
                <w:rFonts w:hint="default" w:ascii="Times New Roman" w:hAnsi="Times New Roman" w:eastAsia="宋体" w:cs="Times New Roman"/>
                <w:color w:val="auto"/>
                <w:kern w:val="0"/>
                <w:sz w:val="24"/>
                <w:szCs w:val="24"/>
                <w:lang w:val="en-US" w:eastAsia="zh-CN" w:bidi="ar"/>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color w:val="auto"/>
                <w:kern w:val="0"/>
                <w:sz w:val="24"/>
                <w:szCs w:val="24"/>
                <w:lang w:val="en-US" w:eastAsia="zh-CN" w:bidi="ar"/>
              </w:rPr>
              <w:fldChar w:fldCharType="end"/>
            </w:r>
            <w:r>
              <w:rPr>
                <w:rFonts w:hint="default" w:ascii="Times New Roman" w:hAnsi="Times New Roman" w:eastAsia="宋体" w:cs="Times New Roman"/>
                <w:color w:val="auto"/>
                <w:sz w:val="24"/>
                <w:szCs w:val="24"/>
                <w:lang w:val="en-US" w:eastAsia="zh-CN"/>
              </w:rPr>
              <w:t>换源、倒源：由放射源生产厂家或有相应辐射安全资质单位负责。放射源生产厂家派专车、专业技术员将新的放射源运到现场。在</w:t>
            </w:r>
            <w:r>
              <w:rPr>
                <w:rFonts w:hint="default" w:ascii="Times New Roman" w:hAnsi="Times New Roman" w:cs="Times New Roman"/>
                <w:color w:val="auto"/>
                <w:sz w:val="24"/>
                <w:szCs w:val="24"/>
                <w:lang w:val="en-US" w:eastAsia="zh-CN"/>
              </w:rPr>
              <w:t>后装治疗室</w:t>
            </w:r>
            <w:r>
              <w:rPr>
                <w:rFonts w:hint="default" w:ascii="Times New Roman" w:hAnsi="Times New Roman" w:eastAsia="宋体" w:cs="Times New Roman"/>
                <w:color w:val="auto"/>
                <w:sz w:val="24"/>
                <w:szCs w:val="24"/>
                <w:lang w:val="en-US" w:eastAsia="zh-CN"/>
              </w:rPr>
              <w:t xml:space="preserve">内将储源器内的废旧放射源倒出并装入新的放射源。换源应通过专用换源导管，以免误操作造成卡源。换源、倒源过程中应加强放射源的安全保卫工作。 </w:t>
            </w:r>
          </w:p>
          <w:p>
            <w:pPr>
              <w:keepNext/>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szCs w:val="24"/>
                <w:lang w:val="en-US" w:eastAsia="zh-CN"/>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 = 5 \* GB3 \* MERGEFORMAT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sz w:val="24"/>
                <w:szCs w:val="24"/>
              </w:rPr>
              <w:t>⑤</w:t>
            </w:r>
            <w:r>
              <w:rPr>
                <w:rFonts w:hint="eastAsia" w:ascii="宋体" w:hAnsi="宋体" w:eastAsia="宋体" w:cs="宋体"/>
                <w:color w:val="auto"/>
                <w:kern w:val="0"/>
                <w:sz w:val="24"/>
                <w:szCs w:val="24"/>
                <w:lang w:val="en-US" w:eastAsia="zh-CN" w:bidi="ar"/>
              </w:rPr>
              <w:fldChar w:fldCharType="end"/>
            </w:r>
            <w:r>
              <w:rPr>
                <w:rFonts w:hint="eastAsia" w:ascii="Times New Roman" w:hAnsi="Times New Roman"/>
                <w:color w:val="auto"/>
                <w:sz w:val="24"/>
                <w:szCs w:val="24"/>
                <w:lang w:val="en-US" w:eastAsia="zh-CN"/>
              </w:rPr>
              <w:t>废旧放射源处理：由放射源生产厂家负责。放射源生产厂家的专业技术员在后装治疗室内将储源器内的废旧放射源倒出之后，装入铅罐并运回，按废旧源处理规定进行相应处理；若放射源生产厂家无法回收废源，则应联系有收贮废旧放射源辐射安全许可证的单位现场收贮。</w:t>
            </w:r>
          </w:p>
          <w:p>
            <w:pPr>
              <w:keepNext/>
              <w:keepLines w:val="0"/>
              <w:suppressLineNumbers w:val="0"/>
              <w:spacing w:before="0" w:beforeAutospacing="0" w:after="0" w:afterAutospacing="0" w:line="360" w:lineRule="auto"/>
              <w:ind w:left="0" w:right="0"/>
              <w:rPr>
                <w:rFonts w:hint="default" w:ascii="Times New Roman" w:hAnsi="Times New Roman" w:eastAsia="宋体" w:cs="Times New Roman"/>
                <w:color w:val="auto"/>
                <w:kern w:val="0"/>
                <w:sz w:val="28"/>
                <w:szCs w:val="28"/>
                <w:lang w:val="en-US" w:eastAsia="zh-CN"/>
              </w:rPr>
            </w:pPr>
            <w:r>
              <w:rPr>
                <w:rFonts w:hint="eastAsia" w:ascii="Times New Roman" w:hAnsi="Times New Roman" w:cs="Times New Roman"/>
                <w:b/>
                <w:bCs/>
                <w:color w:val="auto"/>
                <w:sz w:val="28"/>
                <w:szCs w:val="28"/>
                <w:lang w:val="en-US" w:eastAsia="zh-CN"/>
              </w:rPr>
              <w:t>四</w:t>
            </w:r>
            <w:r>
              <w:rPr>
                <w:rFonts w:hint="default" w:ascii="Times New Roman" w:hAnsi="Times New Roman" w:cs="Times New Roman"/>
                <w:b/>
                <w:bCs/>
                <w:color w:val="auto"/>
                <w:sz w:val="28"/>
                <w:szCs w:val="28"/>
              </w:rPr>
              <w:t>、</w:t>
            </w:r>
            <w:r>
              <w:rPr>
                <w:rFonts w:hint="default" w:ascii="Times New Roman" w:hAnsi="Times New Roman" w:cs="Times New Roman"/>
                <w:b/>
                <w:bCs/>
                <w:color w:val="auto"/>
                <w:sz w:val="28"/>
                <w:szCs w:val="28"/>
                <w:lang w:val="en-US" w:eastAsia="zh-CN"/>
              </w:rPr>
              <w:t>其他辐射</w:t>
            </w:r>
            <w:r>
              <w:rPr>
                <w:rFonts w:hint="default" w:ascii="Times New Roman" w:hAnsi="Times New Roman" w:cs="Times New Roman"/>
                <w:b/>
                <w:bCs/>
                <w:color w:val="auto"/>
                <w:sz w:val="28"/>
                <w:szCs w:val="28"/>
              </w:rPr>
              <w:t>安全与防护</w:t>
            </w:r>
            <w:r>
              <w:rPr>
                <w:rFonts w:hint="default" w:ascii="Times New Roman" w:hAnsi="Times New Roman" w:cs="Times New Roman"/>
                <w:b/>
                <w:bCs/>
                <w:color w:val="auto"/>
                <w:sz w:val="28"/>
                <w:szCs w:val="28"/>
                <w:lang w:val="en-US" w:eastAsia="zh-CN"/>
              </w:rPr>
              <w:t>措施</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lang w:val="en-US" w:eastAsia="zh-CN"/>
              </w:rPr>
              <w:t>1、</w:t>
            </w:r>
            <w:r>
              <w:rPr>
                <w:rFonts w:hint="default" w:ascii="Times New Roman" w:hAnsi="Times New Roman" w:cs="Times New Roman" w:eastAsiaTheme="minorEastAsia"/>
                <w:b/>
                <w:bCs/>
                <w:color w:val="auto"/>
                <w:kern w:val="0"/>
                <w:sz w:val="24"/>
                <w:szCs w:val="24"/>
              </w:rPr>
              <w:t>源项控制</w:t>
            </w:r>
          </w:p>
          <w:p>
            <w:pPr>
              <w:keepNext w:val="0"/>
              <w:keepLines w:val="0"/>
              <w:suppressLineNumbers w:val="0"/>
              <w:spacing w:before="0" w:beforeAutospacing="0" w:after="0" w:afterAutospacing="0" w:line="360" w:lineRule="auto"/>
              <w:ind w:left="0" w:right="0" w:firstLine="477" w:firstLineChars="199"/>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加速器：本项目加速器购置于正规厂家，有用线束内杂散辐射和泄漏辐射不会超过《电子加速器放射治疗放射防护要求》（GBZ126-2011）规定的限值。</w:t>
            </w:r>
          </w:p>
          <w:p>
            <w:pPr>
              <w:keepNext w:val="0"/>
              <w:keepLines w:val="0"/>
              <w:suppressLineNumbers w:val="0"/>
              <w:spacing w:before="0" w:beforeAutospacing="0" w:after="0" w:afterAutospacing="0" w:line="360" w:lineRule="auto"/>
              <w:ind w:left="0" w:right="0" w:firstLine="477" w:firstLineChars="199"/>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后装机：本项目后装机购置于正规厂家，储源</w:t>
            </w:r>
            <w:r>
              <w:rPr>
                <w:rFonts w:hint="default" w:ascii="Times New Roman" w:hAnsi="Times New Roman" w:cs="Times New Roman" w:eastAsiaTheme="minorEastAsia"/>
                <w:color w:val="auto"/>
                <w:kern w:val="0"/>
                <w:sz w:val="24"/>
                <w:szCs w:val="24"/>
                <w:lang w:eastAsia="zh-CN"/>
              </w:rPr>
              <w:t>装置</w:t>
            </w:r>
            <w:r>
              <w:rPr>
                <w:rFonts w:hint="default" w:ascii="Times New Roman" w:hAnsi="Times New Roman" w:cs="Times New Roman" w:eastAsiaTheme="minorEastAsia"/>
                <w:color w:val="auto"/>
                <w:kern w:val="0"/>
                <w:sz w:val="24"/>
                <w:szCs w:val="24"/>
              </w:rPr>
              <w:t>本身设置了铅屏蔽层，储源</w:t>
            </w:r>
            <w:r>
              <w:rPr>
                <w:rFonts w:hint="default" w:ascii="Times New Roman" w:hAnsi="Times New Roman" w:cs="Times New Roman" w:eastAsiaTheme="minorEastAsia"/>
                <w:color w:val="auto"/>
                <w:kern w:val="0"/>
                <w:sz w:val="24"/>
                <w:szCs w:val="24"/>
                <w:lang w:eastAsia="zh-CN"/>
              </w:rPr>
              <w:t>装置</w:t>
            </w:r>
            <w:r>
              <w:rPr>
                <w:rFonts w:hint="default" w:ascii="Times New Roman" w:hAnsi="Times New Roman" w:cs="Times New Roman" w:eastAsiaTheme="minorEastAsia"/>
                <w:color w:val="auto"/>
                <w:kern w:val="0"/>
                <w:sz w:val="24"/>
                <w:szCs w:val="24"/>
              </w:rPr>
              <w:t>周围剂量不会超过《后装γ源近距离治疗放射防护要求》（GBZ 121-2017）规定的限值。</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kern w:val="0"/>
                <w:sz w:val="24"/>
                <w:szCs w:val="24"/>
              </w:rPr>
            </w:pPr>
            <w:r>
              <w:rPr>
                <w:rFonts w:hint="default" w:ascii="Times New Roman" w:hAnsi="Times New Roman" w:cs="Times New Roman" w:eastAsiaTheme="minorEastAsia"/>
                <w:b/>
                <w:bCs/>
                <w:color w:val="auto"/>
                <w:kern w:val="0"/>
                <w:sz w:val="24"/>
                <w:szCs w:val="24"/>
                <w:lang w:val="en-US" w:eastAsia="zh-CN"/>
              </w:rPr>
              <w:t>2、</w:t>
            </w:r>
            <w:r>
              <w:rPr>
                <w:rFonts w:hint="default" w:ascii="Times New Roman" w:hAnsi="Times New Roman" w:cs="Times New Roman" w:eastAsiaTheme="minorEastAsia"/>
                <w:b/>
                <w:bCs/>
                <w:color w:val="auto"/>
                <w:kern w:val="0"/>
                <w:sz w:val="24"/>
                <w:szCs w:val="24"/>
              </w:rPr>
              <w:t>距离防护</w:t>
            </w:r>
          </w:p>
          <w:p>
            <w:pPr>
              <w:keepNext w:val="0"/>
              <w:keepLines w:val="0"/>
              <w:suppressLineNumbers w:val="0"/>
              <w:spacing w:before="0" w:beforeAutospacing="0" w:after="0" w:afterAutospacing="0" w:line="360" w:lineRule="auto"/>
              <w:ind w:left="0" w:right="0" w:firstLine="477" w:firstLineChars="199"/>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各工作场所将严格按照控制区和监督区划分实行“两区”管理，且在机房的人员通道门的醒目位置将张贴固定的电离辐射警告标志并安装工作状态指示灯。限制无关人员进入，以免受到不必要的照射。</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kern w:val="0"/>
                <w:sz w:val="24"/>
                <w:szCs w:val="24"/>
                <w:lang w:eastAsia="zh-CN"/>
              </w:rPr>
            </w:pPr>
            <w:r>
              <w:rPr>
                <w:rFonts w:hint="default" w:ascii="Times New Roman" w:hAnsi="Times New Roman" w:cs="Times New Roman" w:eastAsiaTheme="minorEastAsia"/>
                <w:b/>
                <w:bCs/>
                <w:color w:val="auto"/>
                <w:kern w:val="0"/>
                <w:sz w:val="24"/>
                <w:szCs w:val="24"/>
                <w:lang w:val="en-US" w:eastAsia="zh-CN"/>
              </w:rPr>
              <w:t>3、</w:t>
            </w:r>
            <w:r>
              <w:rPr>
                <w:rFonts w:hint="default" w:ascii="Times New Roman" w:hAnsi="Times New Roman" w:cs="Times New Roman" w:eastAsiaTheme="minorEastAsia"/>
                <w:b/>
                <w:bCs/>
                <w:color w:val="auto"/>
                <w:kern w:val="0"/>
                <w:sz w:val="24"/>
                <w:szCs w:val="24"/>
              </w:rPr>
              <w:t>时间防护</w:t>
            </w:r>
          </w:p>
          <w:p>
            <w:pPr>
              <w:keepNext w:val="0"/>
              <w:keepLines w:val="0"/>
              <w:suppressLineNumbers w:val="0"/>
              <w:spacing w:before="0" w:beforeAutospacing="0" w:after="0" w:afterAutospacing="0" w:line="360" w:lineRule="auto"/>
              <w:ind w:left="0" w:right="0" w:firstLine="477" w:firstLineChars="199"/>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在满足诊疗要求的前提下，在每次使用</w:t>
            </w:r>
            <w:r>
              <w:rPr>
                <w:rFonts w:hint="default" w:ascii="Times New Roman" w:hAnsi="Times New Roman" w:cs="Times New Roman" w:eastAsiaTheme="minorEastAsia"/>
                <w:color w:val="auto"/>
                <w:kern w:val="0"/>
                <w:sz w:val="24"/>
                <w:szCs w:val="24"/>
                <w:lang w:val="en-US" w:eastAsia="zh-CN"/>
              </w:rPr>
              <w:t>辐射</w:t>
            </w:r>
            <w:r>
              <w:rPr>
                <w:rFonts w:hint="default" w:ascii="Times New Roman" w:hAnsi="Times New Roman" w:cs="Times New Roman" w:eastAsiaTheme="minorEastAsia"/>
                <w:color w:val="auto"/>
                <w:kern w:val="0"/>
                <w:sz w:val="24"/>
                <w:szCs w:val="24"/>
              </w:rPr>
              <w:t>装置进行诊疗之前，根据诊断要求和病人实际情况制定最优化的治疗方案，选择合理可行尽量低的射线照射参数，以及尽量短的曝光时间，减少工作人员和相关公众的受照射时间，也避免病人受到额外剂量的照射。</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eastAsia="zh-CN"/>
              </w:rPr>
              <w:t>五</w:t>
            </w:r>
            <w:r>
              <w:rPr>
                <w:rFonts w:hint="default" w:ascii="Times New Roman" w:hAnsi="Times New Roman" w:cs="Times New Roman"/>
                <w:b/>
                <w:bCs/>
                <w:color w:val="auto"/>
                <w:sz w:val="28"/>
                <w:szCs w:val="28"/>
              </w:rPr>
              <w:t>、辐射安全防护设施对照分析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sz w:val="24"/>
              </w:rPr>
              <w:t>综上所述辐射安全防护分析及措施，医院需对下表所列设施进行配置：</w:t>
            </w:r>
          </w:p>
          <w:p>
            <w:pPr>
              <w:keepNext/>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表10-</w:t>
            </w:r>
            <w:r>
              <w:rPr>
                <w:rFonts w:hint="eastAsia"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本项目辐射安全防护设施对照分析表</w:t>
            </w:r>
          </w:p>
          <w:tbl>
            <w:tblPr>
              <w:tblStyle w:val="17"/>
              <w:tblW w:w="8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80"/>
              <w:gridCol w:w="4691"/>
              <w:gridCol w:w="1018"/>
              <w:gridCol w:w="2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4" w:hRule="atLeast"/>
                <w:jc w:val="center"/>
              </w:trPr>
              <w:tc>
                <w:tcPr>
                  <w:tcW w:w="1080"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4691"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应具备条件</w:t>
                  </w:r>
                </w:p>
              </w:tc>
              <w:tc>
                <w:tcPr>
                  <w:tcW w:w="1018"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落实情况</w:t>
                  </w:r>
                </w:p>
              </w:tc>
              <w:tc>
                <w:tcPr>
                  <w:tcW w:w="2069"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是否满足要求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858" w:type="dxa"/>
                  <w:gridSpan w:val="4"/>
                  <w:tcBorders>
                    <w:top w:val="single" w:color="auto" w:sz="4" w:space="0"/>
                    <w:bottom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直线加速器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场所实体设施</w:t>
                  </w:r>
                </w:p>
              </w:tc>
              <w:tc>
                <w:tcPr>
                  <w:tcW w:w="4691" w:type="dxa"/>
                  <w:tcBorders>
                    <w:top w:val="single" w:color="auto" w:sz="4" w:space="0"/>
                  </w:tcBorders>
                  <w:vAlign w:val="center"/>
                </w:tcPr>
                <w:p>
                  <w:pPr>
                    <w:keepNext w:val="0"/>
                    <w:keepLines w:val="0"/>
                    <w:suppressLineNumbers w:val="0"/>
                    <w:autoSpaceDE w:val="0"/>
                    <w:autoSpaceDN w:val="0"/>
                    <w:spacing w:before="0" w:beforeAutospacing="0" w:after="0" w:afterAutospacing="0"/>
                    <w:ind w:left="0"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四周墙体+</w:t>
                  </w:r>
                  <w:r>
                    <w:rPr>
                      <w:rFonts w:hint="eastAsia" w:ascii="Times New Roman" w:hAnsi="Times New Roman" w:cs="Times New Roman"/>
                      <w:color w:val="auto"/>
                      <w:kern w:val="0"/>
                      <w:sz w:val="21"/>
                      <w:szCs w:val="21"/>
                      <w:lang w:eastAsia="zh-CN"/>
                    </w:rPr>
                    <w:t>迷路</w:t>
                  </w:r>
                  <w:r>
                    <w:rPr>
                      <w:rFonts w:hint="default" w:ascii="Times New Roman" w:hAnsi="Times New Roman" w:eastAsia="宋体" w:cs="Times New Roman"/>
                      <w:color w:val="auto"/>
                      <w:kern w:val="0"/>
                      <w:sz w:val="21"/>
                      <w:szCs w:val="21"/>
                    </w:rPr>
                    <w:t>+屋顶屏蔽</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铅防护门</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通风系统</w:t>
                  </w:r>
                </w:p>
              </w:tc>
              <w:tc>
                <w:tcPr>
                  <w:tcW w:w="101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控制台及安全 联锁</w:t>
                  </w: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防止非工作人员操作的锁定开关</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加速器治疗床、加速器主机上以及控制台上应具备紧急停机按钮</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条件显示</w:t>
                  </w:r>
                  <w:r>
                    <w:rPr>
                      <w:rFonts w:hint="eastAsia" w:ascii="Times New Roman" w:hAnsi="Times New Roman" w:cs="Times New Roman"/>
                      <w:color w:val="auto"/>
                      <w:sz w:val="21"/>
                      <w:szCs w:val="21"/>
                      <w:lang w:eastAsia="zh-CN"/>
                    </w:rPr>
                    <w:t>联锁</w:t>
                  </w:r>
                  <w:r>
                    <w:rPr>
                      <w:rFonts w:hint="default" w:ascii="Times New Roman" w:hAnsi="Times New Roman" w:eastAsia="宋体" w:cs="Times New Roman"/>
                      <w:color w:val="auto"/>
                      <w:sz w:val="21"/>
                      <w:szCs w:val="21"/>
                    </w:rPr>
                    <w:t>、时间控制</w:t>
                  </w:r>
                  <w:r>
                    <w:rPr>
                      <w:rFonts w:hint="eastAsia" w:ascii="Times New Roman" w:hAnsi="Times New Roman" w:cs="Times New Roman"/>
                      <w:color w:val="auto"/>
                      <w:sz w:val="21"/>
                      <w:szCs w:val="21"/>
                      <w:lang w:eastAsia="zh-CN"/>
                    </w:rPr>
                    <w:t>联锁</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门机</w:t>
                  </w:r>
                  <w:r>
                    <w:rPr>
                      <w:rFonts w:hint="eastAsia" w:ascii="Times New Roman" w:hAnsi="Times New Roman" w:cs="Times New Roman"/>
                      <w:color w:val="auto"/>
                      <w:sz w:val="21"/>
                      <w:szCs w:val="21"/>
                      <w:lang w:eastAsia="zh-CN"/>
                    </w:rPr>
                    <w:t>联锁</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restart"/>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警示装置</w:t>
                  </w: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入口电离辐射警示标志</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入口加速器工作状态显示</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治疗室内</w:t>
                  </w:r>
                  <w:r>
                    <w:rPr>
                      <w:rFonts w:hint="default" w:ascii="Times New Roman" w:hAnsi="Times New Roman" w:eastAsia="宋体" w:cs="Times New Roman"/>
                      <w:color w:val="auto"/>
                      <w:sz w:val="21"/>
                      <w:szCs w:val="21"/>
                    </w:rPr>
                    <w:t>准备出束音响提示</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控制台上蜂鸣器</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紧急设施</w:t>
                  </w: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治疗室内</w:t>
                  </w:r>
                  <w:r>
                    <w:rPr>
                      <w:rFonts w:hint="default" w:ascii="Times New Roman" w:hAnsi="Times New Roman" w:eastAsia="宋体" w:cs="Times New Roman"/>
                      <w:color w:val="auto"/>
                      <w:sz w:val="21"/>
                      <w:szCs w:val="21"/>
                    </w:rPr>
                    <w:t>有紧急停机按钮</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r>
                    <w:rPr>
                      <w:rFonts w:hint="eastAsia" w:ascii="Times New Roman" w:hAnsi="Times New Roman" w:cs="Times New Roman"/>
                      <w:color w:val="auto"/>
                      <w:sz w:val="21"/>
                      <w:szCs w:val="21"/>
                      <w:lang w:eastAsia="zh-CN"/>
                    </w:rPr>
                    <w:t>治疗室内</w:t>
                  </w:r>
                  <w:r>
                    <w:rPr>
                      <w:rFonts w:hint="default" w:ascii="Times New Roman" w:hAnsi="Times New Roman" w:eastAsia="宋体" w:cs="Times New Roman"/>
                      <w:color w:val="auto"/>
                      <w:sz w:val="21"/>
                      <w:szCs w:val="21"/>
                    </w:rPr>
                    <w:t>非主射面墙上有按钮，高度1.2m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机房</w:t>
                  </w:r>
                  <w:r>
                    <w:rPr>
                      <w:rFonts w:hint="default" w:ascii="Times New Roman" w:hAnsi="Times New Roman" w:eastAsia="宋体" w:cs="Times New Roman"/>
                      <w:b w:val="0"/>
                      <w:bCs/>
                      <w:color w:val="auto"/>
                      <w:sz w:val="21"/>
                      <w:szCs w:val="21"/>
                    </w:rPr>
                    <w:t>电视监控对讲装置</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r>
                    <w:rPr>
                      <w:rFonts w:hint="default" w:ascii="Times New Roman" w:hAnsi="Times New Roman" w:eastAsia="宋体" w:cs="Times New Roman"/>
                      <w:color w:val="auto"/>
                      <w:sz w:val="21"/>
                      <w:szCs w:val="21"/>
                    </w:rPr>
                    <w:t>保证机房全覆盖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有中文标识的紧急开门按钮</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r>
                    <w:rPr>
                      <w:rFonts w:hint="eastAsia" w:ascii="Times New Roman" w:hAnsi="Times New Roman" w:cs="Times New Roman"/>
                      <w:color w:val="auto"/>
                      <w:sz w:val="21"/>
                      <w:szCs w:val="21"/>
                      <w:lang w:eastAsia="zh-CN"/>
                    </w:rPr>
                    <w:t>迷路</w:t>
                  </w:r>
                  <w:r>
                    <w:rPr>
                      <w:rFonts w:hint="default" w:ascii="Times New Roman" w:hAnsi="Times New Roman" w:eastAsia="宋体" w:cs="Times New Roman"/>
                      <w:color w:val="auto"/>
                      <w:sz w:val="21"/>
                      <w:szCs w:val="21"/>
                    </w:rPr>
                    <w:t>出口处的铅门内侧墙上，按钮高度1.2m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监测设备</w:t>
                  </w: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固定式剂量</w:t>
                  </w:r>
                  <w:r>
                    <w:rPr>
                      <w:rFonts w:hint="default" w:ascii="Times New Roman" w:hAnsi="Times New Roman" w:eastAsia="宋体" w:cs="Times New Roman"/>
                      <w:color w:val="auto"/>
                      <w:sz w:val="21"/>
                      <w:szCs w:val="21"/>
                      <w:lang w:val="en-US" w:eastAsia="zh-CN"/>
                    </w:rPr>
                    <w:t>报警</w:t>
                  </w:r>
                  <w:r>
                    <w:rPr>
                      <w:rFonts w:hint="default" w:ascii="Times New Roman" w:hAnsi="Times New Roman" w:eastAsia="宋体" w:cs="Times New Roman"/>
                      <w:color w:val="auto"/>
                      <w:sz w:val="21"/>
                      <w:szCs w:val="21"/>
                    </w:rPr>
                    <w:t>仪</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计划配备</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便携式辐射监测仪</w:t>
                  </w:r>
                </w:p>
              </w:tc>
              <w:tc>
                <w:tcPr>
                  <w:tcW w:w="101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已配备</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个人剂量报警仪</w:t>
                  </w:r>
                </w:p>
              </w:tc>
              <w:tc>
                <w:tcPr>
                  <w:tcW w:w="101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计划配备</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个人剂量计</w:t>
                  </w:r>
                </w:p>
              </w:tc>
              <w:tc>
                <w:tcPr>
                  <w:tcW w:w="101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计划配备</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8858" w:type="dxa"/>
                  <w:gridSpan w:val="4"/>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后装机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
                      <w:sz w:val="21"/>
                      <w:szCs w:val="21"/>
                    </w:rPr>
                    <w:t>装置安全设施</w:t>
                  </w: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防止非工作人员操作的锁定开关</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施源器与源联锁</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管道遇堵自动回源</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仿真源模拟运行系统</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主机外表电离辐射警示标志</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控制台显示放射源位置</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控制台紧急停止照射按钮</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停电或意外中断照射时自动回源装置</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手动回源装置</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防盗门窗</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vertAlign w:val="superscript"/>
                    </w:rPr>
                    <w:t>192</w:t>
                  </w:r>
                  <w:r>
                    <w:rPr>
                      <w:rFonts w:hint="default" w:ascii="Times New Roman" w:hAnsi="Times New Roman" w:eastAsia="宋体" w:cs="Times New Roman"/>
                      <w:b w:val="0"/>
                      <w:bCs/>
                      <w:color w:val="auto"/>
                      <w:sz w:val="21"/>
                      <w:szCs w:val="21"/>
                    </w:rPr>
                    <w:t>Ir源专用贮存柜</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设备自带</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通风系统</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应急、</w:t>
                  </w:r>
                  <w:r>
                    <w:rPr>
                      <w:rFonts w:hint="eastAsia" w:ascii="Times New Roman" w:hAnsi="Times New Roman" w:cs="Times New Roman"/>
                      <w:color w:val="auto"/>
                      <w:sz w:val="21"/>
                      <w:szCs w:val="21"/>
                      <w:lang w:eastAsia="zh-CN"/>
                    </w:rPr>
                    <w:t>联锁</w:t>
                  </w: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放射源返回储源器的应急开关</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r>
                    <w:rPr>
                      <w:rFonts w:hint="eastAsia" w:ascii="Times New Roman" w:hAnsi="Times New Roman" w:cs="Times New Roman"/>
                      <w:color w:val="auto"/>
                      <w:sz w:val="21"/>
                      <w:szCs w:val="21"/>
                      <w:lang w:eastAsia="zh-CN"/>
                    </w:rPr>
                    <w:t>治疗室内</w:t>
                  </w:r>
                  <w:r>
                    <w:rPr>
                      <w:rFonts w:hint="default" w:ascii="Times New Roman" w:hAnsi="Times New Roman" w:eastAsia="宋体" w:cs="Times New Roman"/>
                      <w:color w:val="auto"/>
                      <w:sz w:val="21"/>
                      <w:szCs w:val="21"/>
                    </w:rPr>
                    <w:t>非主射面墙上有按钮，高度1.2m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lang w:val="en-US" w:eastAsia="zh-CN"/>
                    </w:rPr>
                    <w:t>机房</w:t>
                  </w:r>
                  <w:r>
                    <w:rPr>
                      <w:rFonts w:hint="default" w:ascii="Times New Roman" w:hAnsi="Times New Roman" w:eastAsia="宋体" w:cs="Times New Roman"/>
                      <w:b w:val="0"/>
                      <w:bCs/>
                      <w:color w:val="auto"/>
                      <w:sz w:val="21"/>
                      <w:szCs w:val="21"/>
                    </w:rPr>
                    <w:t>门与源联锁</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有中文标识的紧急开门按钮</w:t>
                  </w:r>
                </w:p>
              </w:tc>
              <w:tc>
                <w:tcPr>
                  <w:tcW w:w="101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满足。</w:t>
                  </w:r>
                  <w:r>
                    <w:rPr>
                      <w:rFonts w:hint="eastAsia" w:ascii="Times New Roman" w:hAnsi="Times New Roman" w:cs="Times New Roman"/>
                      <w:color w:val="auto"/>
                      <w:sz w:val="21"/>
                      <w:szCs w:val="21"/>
                      <w:lang w:eastAsia="zh-CN"/>
                    </w:rPr>
                    <w:t>迷路</w:t>
                  </w:r>
                  <w:r>
                    <w:rPr>
                      <w:rFonts w:hint="default" w:ascii="Times New Roman" w:hAnsi="Times New Roman" w:eastAsia="宋体" w:cs="Times New Roman"/>
                      <w:color w:val="auto"/>
                      <w:sz w:val="21"/>
                      <w:szCs w:val="21"/>
                    </w:rPr>
                    <w:t>出口处的铅门内侧墙上，按钮高度1.2m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警示装置</w:t>
                  </w: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停电或意外中断照射时声光报警</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b w:val="0"/>
                      <w:bCs/>
                      <w:color w:val="auto"/>
                      <w:sz w:val="21"/>
                      <w:szCs w:val="21"/>
                      <w:lang w:val="en-US" w:eastAsia="zh-CN"/>
                    </w:rPr>
                    <w:t>机房</w:t>
                  </w:r>
                  <w:r>
                    <w:rPr>
                      <w:rFonts w:hint="default" w:ascii="Times New Roman" w:hAnsi="Times New Roman" w:eastAsia="宋体" w:cs="Times New Roman"/>
                      <w:b w:val="0"/>
                      <w:bCs/>
                      <w:color w:val="auto"/>
                      <w:sz w:val="21"/>
                      <w:szCs w:val="21"/>
                    </w:rPr>
                    <w:t>电视监控对讲装置</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r>
                    <w:rPr>
                      <w:rFonts w:hint="default" w:ascii="Times New Roman" w:hAnsi="Times New Roman" w:eastAsia="宋体" w:cs="Times New Roman"/>
                      <w:color w:val="auto"/>
                      <w:sz w:val="21"/>
                      <w:szCs w:val="21"/>
                    </w:rPr>
                    <w:t>保证机房全覆盖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电离辐射警示标志和工作状态指示灯</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已设计</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w:t>
                  </w:r>
                </w:p>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tc>
              <w:tc>
                <w:tcPr>
                  <w:tcW w:w="4691" w:type="dxa"/>
                  <w:tcBorders>
                    <w:top w:val="single" w:color="auto" w:sz="4" w:space="0"/>
                  </w:tcBorders>
                </w:tcPr>
                <w:p>
                  <w:pPr>
                    <w:keepNext w:val="0"/>
                    <w:keepLines w:val="0"/>
                    <w:suppressLineNumbers w:val="0"/>
                    <w:autoSpaceDE w:val="0"/>
                    <w:autoSpaceDN w:val="0"/>
                    <w:spacing w:before="0" w:beforeAutospacing="0" w:after="0" w:afterAutospacing="0"/>
                    <w:ind w:left="102"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便携式辐射监测仪</w:t>
                  </w:r>
                </w:p>
              </w:tc>
              <w:tc>
                <w:tcPr>
                  <w:tcW w:w="1018"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共用</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tcPr>
                <w:p>
                  <w:pPr>
                    <w:keepNext w:val="0"/>
                    <w:keepLines w:val="0"/>
                    <w:suppressLineNumbers w:val="0"/>
                    <w:autoSpaceDE w:val="0"/>
                    <w:autoSpaceDN w:val="0"/>
                    <w:spacing w:before="0" w:beforeAutospacing="0" w:after="0" w:afterAutospacing="0"/>
                    <w:ind w:left="102" w:right="-2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后装治疗室</w:t>
                  </w:r>
                  <w:r>
                    <w:rPr>
                      <w:rFonts w:hint="default" w:ascii="Times New Roman" w:hAnsi="Times New Roman" w:eastAsia="宋体" w:cs="Times New Roman"/>
                      <w:color w:val="auto"/>
                      <w:sz w:val="21"/>
                      <w:szCs w:val="21"/>
                    </w:rPr>
                    <w:t>内固定式剂量</w:t>
                  </w:r>
                  <w:r>
                    <w:rPr>
                      <w:rFonts w:hint="default" w:ascii="Times New Roman" w:hAnsi="Times New Roman" w:eastAsia="宋体" w:cs="Times New Roman"/>
                      <w:color w:val="auto"/>
                      <w:sz w:val="21"/>
                      <w:szCs w:val="21"/>
                      <w:lang w:val="en-US" w:eastAsia="zh-CN"/>
                    </w:rPr>
                    <w:t>监测</w:t>
                  </w:r>
                  <w:r>
                    <w:rPr>
                      <w:rFonts w:hint="default" w:ascii="Times New Roman" w:hAnsi="Times New Roman" w:eastAsia="宋体" w:cs="Times New Roman"/>
                      <w:color w:val="auto"/>
                      <w:sz w:val="21"/>
                      <w:szCs w:val="21"/>
                    </w:rPr>
                    <w:t>仪</w:t>
                  </w:r>
                </w:p>
              </w:tc>
              <w:tc>
                <w:tcPr>
                  <w:tcW w:w="101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计划配备</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tcPr>
                <w:p>
                  <w:pPr>
                    <w:keepNext w:val="0"/>
                    <w:keepLines w:val="0"/>
                    <w:suppressLineNumbers w:val="0"/>
                    <w:autoSpaceDE w:val="0"/>
                    <w:autoSpaceDN w:val="0"/>
                    <w:spacing w:before="0" w:beforeAutospacing="0" w:after="0" w:afterAutospacing="0"/>
                    <w:ind w:left="102" w:right="-20"/>
                    <w:jc w:val="center"/>
                    <w:rPr>
                      <w:rFonts w:hint="eastAsia" w:ascii="Times New Roman" w:hAnsi="Times New Roman" w:cs="Times New Roman"/>
                      <w:color w:val="auto"/>
                      <w:sz w:val="21"/>
                      <w:szCs w:val="21"/>
                      <w:lang w:val="en-US" w:eastAsia="zh-CN"/>
                    </w:rPr>
                  </w:pPr>
                  <w:r>
                    <w:rPr>
                      <w:rFonts w:hint="eastAsia"/>
                      <w:color w:val="auto"/>
                      <w:lang w:val="en-US" w:eastAsia="zh-CN"/>
                    </w:rPr>
                    <w:t>后装机放射源在线监控系统</w:t>
                  </w:r>
                </w:p>
              </w:tc>
              <w:tc>
                <w:tcPr>
                  <w:tcW w:w="101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计划配备</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个人剂量报警仪</w:t>
                  </w:r>
                </w:p>
              </w:tc>
              <w:tc>
                <w:tcPr>
                  <w:tcW w:w="101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计划配备</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0"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691"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个人剂量计</w:t>
                  </w:r>
                </w:p>
              </w:tc>
              <w:tc>
                <w:tcPr>
                  <w:tcW w:w="101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计划配备</w:t>
                  </w:r>
                </w:p>
              </w:tc>
              <w:tc>
                <w:tcPr>
                  <w:tcW w:w="2069"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满足</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szCs w:val="28"/>
                <w:lang w:val="en-US" w:eastAsia="zh-CN"/>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eastAsia="zh-CN"/>
              </w:rPr>
              <w:t>六</w:t>
            </w:r>
            <w:r>
              <w:rPr>
                <w:rFonts w:hint="default" w:ascii="Times New Roman" w:hAnsi="Times New Roman" w:cs="Times New Roman"/>
                <w:b/>
                <w:bCs/>
                <w:color w:val="auto"/>
                <w:sz w:val="28"/>
                <w:szCs w:val="28"/>
              </w:rPr>
              <w:t>、环保设施及投资分析</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2"/>
              </w:rPr>
            </w:pPr>
            <w:r>
              <w:rPr>
                <w:rFonts w:hint="default" w:ascii="Times New Roman" w:hAnsi="Times New Roman" w:cs="Times New Roman"/>
                <w:bCs/>
                <w:color w:val="auto"/>
                <w:sz w:val="24"/>
              </w:rPr>
              <w:t>本项目总投资</w:t>
            </w:r>
            <w:r>
              <w:rPr>
                <w:rFonts w:hint="eastAsia" w:ascii="Times New Roman" w:hAnsi="Times New Roman" w:eastAsia="仿宋" w:cs="Times New Roman"/>
                <w:color w:val="auto"/>
                <w:kern w:val="0"/>
                <w:sz w:val="24"/>
                <w:szCs w:val="24"/>
                <w:lang w:val="en-US" w:eastAsia="zh-CN" w:bidi="ar"/>
              </w:rPr>
              <w:t>***</w:t>
            </w:r>
            <w:r>
              <w:rPr>
                <w:rFonts w:hint="default" w:ascii="Times New Roman" w:hAnsi="Times New Roman" w:cs="Times New Roman"/>
                <w:bCs/>
                <w:color w:val="auto"/>
                <w:sz w:val="24"/>
              </w:rPr>
              <w:t>万元，其中环保投资</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rPr>
              <w:t>万元，占总投资约</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rPr>
              <w:t>。</w:t>
            </w:r>
            <w:r>
              <w:rPr>
                <w:rFonts w:hint="default" w:ascii="Times New Roman" w:hAnsi="Times New Roman" w:cs="Times New Roman"/>
                <w:color w:val="auto"/>
                <w:sz w:val="24"/>
              </w:rPr>
              <w:t>具体环保设施及投资见下表。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表10-</w:t>
            </w:r>
            <w:r>
              <w:rPr>
                <w:rFonts w:hint="default"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环保设施及投资一览表</w:t>
            </w:r>
          </w:p>
          <w:tbl>
            <w:tblPr>
              <w:tblStyle w:val="17"/>
              <w:tblW w:w="88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19"/>
              <w:gridCol w:w="5808"/>
              <w:gridCol w:w="1295"/>
              <w:gridCol w:w="1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719"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5808"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应具备条件</w:t>
                  </w:r>
                </w:p>
              </w:tc>
              <w:tc>
                <w:tcPr>
                  <w:tcW w:w="1295"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数量</w:t>
                  </w:r>
                </w:p>
              </w:tc>
              <w:tc>
                <w:tcPr>
                  <w:tcW w:w="1055"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8877" w:type="dxa"/>
                  <w:gridSpan w:val="4"/>
                  <w:tcBorders>
                    <w:top w:val="single" w:color="auto" w:sz="4" w:space="0"/>
                    <w:bottom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直线加速器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场所实体设施</w:t>
                  </w:r>
                </w:p>
              </w:tc>
              <w:tc>
                <w:tcPr>
                  <w:tcW w:w="5808" w:type="dxa"/>
                  <w:tcBorders>
                    <w:top w:val="single" w:color="auto" w:sz="4" w:space="0"/>
                  </w:tcBorders>
                  <w:vAlign w:val="center"/>
                </w:tcPr>
                <w:p>
                  <w:pPr>
                    <w:keepNext w:val="0"/>
                    <w:keepLines w:val="0"/>
                    <w:suppressLineNumbers w:val="0"/>
                    <w:autoSpaceDE w:val="0"/>
                    <w:autoSpaceDN w:val="0"/>
                    <w:spacing w:before="0" w:beforeAutospacing="0" w:after="0" w:afterAutospacing="0"/>
                    <w:ind w:left="0"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四周墙体+</w:t>
                  </w:r>
                  <w:r>
                    <w:rPr>
                      <w:rFonts w:hint="eastAsia" w:ascii="Times New Roman" w:hAnsi="Times New Roman" w:cs="Times New Roman"/>
                      <w:color w:val="auto"/>
                      <w:kern w:val="0"/>
                      <w:sz w:val="21"/>
                      <w:szCs w:val="21"/>
                      <w:lang w:eastAsia="zh-CN"/>
                    </w:rPr>
                    <w:t>迷路</w:t>
                  </w:r>
                  <w:r>
                    <w:rPr>
                      <w:rFonts w:hint="default" w:ascii="Times New Roman" w:hAnsi="Times New Roman" w:eastAsia="宋体" w:cs="Times New Roman"/>
                      <w:color w:val="auto"/>
                      <w:kern w:val="0"/>
                      <w:sz w:val="21"/>
                      <w:szCs w:val="21"/>
                    </w:rPr>
                    <w:t>+屋顶屏蔽</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铅防护门</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扇</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通风系统</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控制台及安全 联锁</w:t>
                  </w: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防止非工作人员操作的锁定开关</w:t>
                  </w:r>
                </w:p>
              </w:tc>
              <w:tc>
                <w:tcPr>
                  <w:tcW w:w="129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加速器治疗床、加速器主机上以及控制台上应具备紧急停机按钮</w:t>
                  </w:r>
                </w:p>
              </w:tc>
              <w:tc>
                <w:tcPr>
                  <w:tcW w:w="129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条件显示</w:t>
                  </w:r>
                  <w:r>
                    <w:rPr>
                      <w:rFonts w:hint="eastAsia" w:ascii="Times New Roman" w:hAnsi="Times New Roman" w:cs="Times New Roman"/>
                      <w:color w:val="auto"/>
                      <w:sz w:val="21"/>
                      <w:szCs w:val="21"/>
                      <w:lang w:eastAsia="zh-CN"/>
                    </w:rPr>
                    <w:t>联锁</w:t>
                  </w:r>
                  <w:r>
                    <w:rPr>
                      <w:rFonts w:hint="default" w:ascii="Times New Roman" w:hAnsi="Times New Roman" w:eastAsia="宋体" w:cs="Times New Roman"/>
                      <w:color w:val="auto"/>
                      <w:sz w:val="21"/>
                      <w:szCs w:val="21"/>
                    </w:rPr>
                    <w:t>、时间控制</w:t>
                  </w:r>
                  <w:r>
                    <w:rPr>
                      <w:rFonts w:hint="eastAsia" w:ascii="Times New Roman" w:hAnsi="Times New Roman" w:cs="Times New Roman"/>
                      <w:color w:val="auto"/>
                      <w:sz w:val="21"/>
                      <w:szCs w:val="21"/>
                      <w:lang w:eastAsia="zh-CN"/>
                    </w:rPr>
                    <w:t>联锁</w:t>
                  </w:r>
                </w:p>
              </w:tc>
              <w:tc>
                <w:tcPr>
                  <w:tcW w:w="129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门机</w:t>
                  </w:r>
                  <w:r>
                    <w:rPr>
                      <w:rFonts w:hint="eastAsia" w:ascii="Times New Roman" w:hAnsi="Times New Roman" w:cs="Times New Roman"/>
                      <w:color w:val="auto"/>
                      <w:sz w:val="21"/>
                      <w:szCs w:val="21"/>
                      <w:lang w:eastAsia="zh-CN"/>
                    </w:rPr>
                    <w:t>联锁</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各</w:t>
                  </w: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restart"/>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警示装置</w:t>
                  </w: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入口电离辐射警示标志</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套</w:t>
                  </w:r>
                </w:p>
              </w:tc>
              <w:tc>
                <w:tcPr>
                  <w:tcW w:w="1055" w:type="dxa"/>
                  <w:vMerge w:val="restart"/>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入口加速器工作状态显示</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套</w:t>
                  </w:r>
                </w:p>
              </w:tc>
              <w:tc>
                <w:tcPr>
                  <w:tcW w:w="105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治疗室内</w:t>
                  </w:r>
                  <w:r>
                    <w:rPr>
                      <w:rFonts w:hint="default" w:ascii="Times New Roman" w:hAnsi="Times New Roman" w:eastAsia="宋体" w:cs="Times New Roman"/>
                      <w:color w:val="auto"/>
                      <w:sz w:val="21"/>
                      <w:szCs w:val="21"/>
                    </w:rPr>
                    <w:t>准备出束音响提示</w:t>
                  </w:r>
                </w:p>
              </w:tc>
              <w:tc>
                <w:tcPr>
                  <w:tcW w:w="129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控制台上蜂鸣器</w:t>
                  </w:r>
                </w:p>
              </w:tc>
              <w:tc>
                <w:tcPr>
                  <w:tcW w:w="129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紧急设施</w:t>
                  </w: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治疗室内</w:t>
                  </w:r>
                  <w:r>
                    <w:rPr>
                      <w:rFonts w:hint="default" w:ascii="Times New Roman" w:hAnsi="Times New Roman" w:eastAsia="宋体" w:cs="Times New Roman"/>
                      <w:color w:val="auto"/>
                      <w:sz w:val="21"/>
                      <w:szCs w:val="21"/>
                    </w:rPr>
                    <w:t>有紧急停机按钮</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Cs w:val="21"/>
                      <w:lang w:val="en-US" w:eastAsia="zh-CN"/>
                    </w:rPr>
                    <w:t>各3个</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电视监控对讲装置</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有中文标识的紧急开门按钮</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监测设备</w:t>
                  </w: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加速器治疗室</w:t>
                  </w:r>
                  <w:r>
                    <w:rPr>
                      <w:rFonts w:hint="default" w:ascii="Times New Roman" w:hAnsi="Times New Roman" w:eastAsia="宋体" w:cs="Times New Roman"/>
                      <w:color w:val="auto"/>
                      <w:sz w:val="21"/>
                      <w:szCs w:val="21"/>
                    </w:rPr>
                    <w:t>内固定式剂量</w:t>
                  </w:r>
                  <w:r>
                    <w:rPr>
                      <w:rFonts w:hint="default" w:ascii="Times New Roman" w:hAnsi="Times New Roman" w:eastAsia="宋体" w:cs="Times New Roman"/>
                      <w:color w:val="auto"/>
                      <w:sz w:val="21"/>
                      <w:szCs w:val="21"/>
                      <w:lang w:val="en-US" w:eastAsia="zh-CN"/>
                    </w:rPr>
                    <w:t>报警</w:t>
                  </w:r>
                  <w:r>
                    <w:rPr>
                      <w:rFonts w:hint="default" w:ascii="Times New Roman" w:hAnsi="Times New Roman" w:eastAsia="宋体" w:cs="Times New Roman"/>
                      <w:color w:val="auto"/>
                      <w:sz w:val="21"/>
                      <w:szCs w:val="21"/>
                    </w:rPr>
                    <w:t>仪</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便携式辐射监测仪</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1#、2#、3#加速器治疗室、后装治疗室共用）</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1</w:t>
                  </w:r>
                  <w:r>
                    <w:rPr>
                      <w:rFonts w:hint="default" w:ascii="Times New Roman" w:hAnsi="Times New Roman" w:cs="Times New Roman"/>
                      <w:color w:val="auto"/>
                      <w:szCs w:val="21"/>
                      <w:lang w:val="en-US" w:eastAsia="zh-CN"/>
                    </w:rPr>
                    <w:t>台</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个人剂量报警仪</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8</w:t>
                  </w:r>
                  <w:r>
                    <w:rPr>
                      <w:rFonts w:hint="default" w:ascii="Times New Roman" w:hAnsi="Times New Roman" w:eastAsia="宋体" w:cs="Times New Roman"/>
                      <w:color w:val="auto"/>
                      <w:szCs w:val="21"/>
                    </w:rPr>
                    <w:t>个</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个人剂量计</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lang w:val="en-US" w:eastAsia="zh-CN"/>
                    </w:rPr>
                    <w:t>1</w:t>
                  </w:r>
                  <w:r>
                    <w:rPr>
                      <w:rFonts w:hint="eastAsia" w:ascii="Times New Roman" w:hAnsi="Times New Roman" w:cs="Times New Roman"/>
                      <w:color w:val="auto"/>
                      <w:szCs w:val="21"/>
                      <w:lang w:val="en-US" w:eastAsia="zh-CN"/>
                    </w:rPr>
                    <w:t>8</w:t>
                  </w:r>
                  <w:r>
                    <w:rPr>
                      <w:rFonts w:hint="default" w:ascii="Times New Roman" w:hAnsi="Times New Roman" w:eastAsia="宋体" w:cs="Times New Roman"/>
                      <w:color w:val="auto"/>
                      <w:szCs w:val="21"/>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8877" w:type="dxa"/>
                  <w:gridSpan w:val="4"/>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后装机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
                      <w:sz w:val="21"/>
                      <w:szCs w:val="21"/>
                    </w:rPr>
                    <w:t>装置安全设施</w:t>
                  </w: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防止非工作人员操作的锁定开关</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施源器与源联锁</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管道遇堵自动回源</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仿真源模拟运行系统</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主机外表电离辐射警示标志</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控制台显示放射源位置</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控制台紧急停止照射按钮</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停电或意外中断照射时自动回源装置</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手动回源装置</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Cs w:val="21"/>
                    </w:rPr>
                    <w:t>防护墙体、</w:t>
                  </w:r>
                  <w:r>
                    <w:rPr>
                      <w:rFonts w:hint="eastAsia" w:ascii="Times New Roman" w:hAnsi="Times New Roman" w:cs="Times New Roman"/>
                      <w:b w:val="0"/>
                      <w:bCs/>
                      <w:color w:val="auto"/>
                      <w:sz w:val="21"/>
                      <w:szCs w:val="21"/>
                      <w:lang w:val="en-US" w:eastAsia="zh-CN"/>
                    </w:rPr>
                    <w:t>后装治疗室</w:t>
                  </w:r>
                  <w:r>
                    <w:rPr>
                      <w:rFonts w:hint="eastAsia" w:ascii="Times New Roman" w:hAnsi="Times New Roman" w:cs="Times New Roman"/>
                      <w:b w:val="0"/>
                      <w:bCs/>
                      <w:color w:val="auto"/>
                      <w:szCs w:val="21"/>
                      <w:lang w:eastAsia="zh-CN"/>
                    </w:rPr>
                    <w:t>迷路</w:t>
                  </w:r>
                  <w:r>
                    <w:rPr>
                      <w:rFonts w:hint="default" w:ascii="Times New Roman" w:hAnsi="Times New Roman" w:eastAsia="宋体" w:cs="Times New Roman"/>
                      <w:b w:val="0"/>
                      <w:bCs/>
                      <w:color w:val="auto"/>
                      <w:szCs w:val="21"/>
                    </w:rPr>
                    <w:t>、铅防护门、防盗门窗</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rPr>
                    <w:t>1套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vertAlign w:val="superscript"/>
                    </w:rPr>
                    <w:t>192</w:t>
                  </w:r>
                  <w:r>
                    <w:rPr>
                      <w:rFonts w:hint="default" w:ascii="Times New Roman" w:hAnsi="Times New Roman" w:eastAsia="宋体" w:cs="Times New Roman"/>
                      <w:b w:val="0"/>
                      <w:bCs/>
                      <w:color w:val="auto"/>
                      <w:sz w:val="21"/>
                      <w:szCs w:val="21"/>
                    </w:rPr>
                    <w:t>Ir源专用贮存柜</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设备自带</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通风系统</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应急、</w:t>
                  </w:r>
                  <w:r>
                    <w:rPr>
                      <w:rFonts w:hint="eastAsia" w:ascii="Times New Roman" w:hAnsi="Times New Roman" w:cs="Times New Roman"/>
                      <w:color w:val="auto"/>
                      <w:sz w:val="21"/>
                      <w:szCs w:val="21"/>
                      <w:lang w:eastAsia="zh-CN"/>
                    </w:rPr>
                    <w:t>联锁</w:t>
                  </w: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放射源返回储源器的应急开关</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rPr>
                    <w:t>1</w:t>
                  </w:r>
                  <w:r>
                    <w:rPr>
                      <w:rFonts w:hint="default" w:ascii="Times New Roman" w:hAnsi="Times New Roman" w:cs="Times New Roman"/>
                      <w:color w:val="auto"/>
                      <w:szCs w:val="21"/>
                      <w:lang w:val="en-US" w:eastAsia="zh-CN"/>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门与源联锁</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rPr>
                    <w:t>1套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有中文标识的紧急开门按钮</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警示装置</w:t>
                  </w: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停电或意外中断照射时声光报警</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1套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color w:val="auto"/>
                      <w:sz w:val="21"/>
                      <w:szCs w:val="21"/>
                      <w:lang w:val="en-US" w:eastAsia="zh-CN"/>
                    </w:rPr>
                    <w:t>后装治疗室</w:t>
                  </w:r>
                  <w:r>
                    <w:rPr>
                      <w:rFonts w:hint="default" w:ascii="Times New Roman" w:hAnsi="Times New Roman" w:eastAsia="宋体" w:cs="Times New Roman"/>
                      <w:b w:val="0"/>
                      <w:bCs/>
                      <w:color w:val="auto"/>
                      <w:sz w:val="21"/>
                      <w:szCs w:val="21"/>
                    </w:rPr>
                    <w:t>电视监控对讲装置</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rPr>
                    <w:t>1套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电离辐射警示标志和工作状态指示灯</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rPr>
                    <w:t>1</w:t>
                  </w:r>
                  <w:r>
                    <w:rPr>
                      <w:rFonts w:hint="default" w:ascii="Times New Roman" w:hAnsi="Times New Roman" w:cs="Times New Roman"/>
                      <w:color w:val="auto"/>
                      <w:szCs w:val="21"/>
                      <w:lang w:val="en-US" w:eastAsia="zh-CN"/>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71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w:t>
                  </w:r>
                </w:p>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tc>
              <w:tc>
                <w:tcPr>
                  <w:tcW w:w="5808" w:type="dxa"/>
                  <w:tcBorders>
                    <w:top w:val="single" w:color="auto" w:sz="4" w:space="0"/>
                  </w:tcBorders>
                </w:tcPr>
                <w:p>
                  <w:pPr>
                    <w:keepNext w:val="0"/>
                    <w:keepLines w:val="0"/>
                    <w:suppressLineNumbers w:val="0"/>
                    <w:autoSpaceDE w:val="0"/>
                    <w:autoSpaceDN w:val="0"/>
                    <w:spacing w:before="0" w:beforeAutospacing="0" w:after="0" w:afterAutospacing="0"/>
                    <w:ind w:left="102" w:right="-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便携式辐射监测仪</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1#、2#、3#加速器治疗室、后装治疗室共用）</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共用</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tcPr>
                <w:p>
                  <w:pPr>
                    <w:keepNext w:val="0"/>
                    <w:keepLines w:val="0"/>
                    <w:suppressLineNumbers w:val="0"/>
                    <w:autoSpaceDE w:val="0"/>
                    <w:autoSpaceDN w:val="0"/>
                    <w:spacing w:before="0" w:beforeAutospacing="0" w:after="0" w:afterAutospacing="0"/>
                    <w:ind w:left="102" w:right="-2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后装治疗室</w:t>
                  </w:r>
                  <w:r>
                    <w:rPr>
                      <w:rFonts w:hint="default" w:ascii="Times New Roman" w:hAnsi="Times New Roman" w:eastAsia="宋体" w:cs="Times New Roman"/>
                      <w:color w:val="auto"/>
                      <w:sz w:val="21"/>
                      <w:szCs w:val="21"/>
                    </w:rPr>
                    <w:t>内固定式剂量</w:t>
                  </w:r>
                  <w:r>
                    <w:rPr>
                      <w:rFonts w:hint="default" w:ascii="Times New Roman" w:hAnsi="Times New Roman" w:eastAsia="宋体" w:cs="Times New Roman"/>
                      <w:color w:val="auto"/>
                      <w:sz w:val="21"/>
                      <w:szCs w:val="21"/>
                      <w:lang w:val="en-US" w:eastAsia="zh-CN"/>
                    </w:rPr>
                    <w:t>监测</w:t>
                  </w:r>
                  <w:r>
                    <w:rPr>
                      <w:rFonts w:hint="default" w:ascii="Times New Roman" w:hAnsi="Times New Roman" w:eastAsia="宋体" w:cs="Times New Roman"/>
                      <w:color w:val="auto"/>
                      <w:sz w:val="21"/>
                      <w:szCs w:val="21"/>
                    </w:rPr>
                    <w:t>仪</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tcPr>
                <w:p>
                  <w:pPr>
                    <w:keepNext w:val="0"/>
                    <w:keepLines w:val="0"/>
                    <w:suppressLineNumbers w:val="0"/>
                    <w:autoSpaceDE w:val="0"/>
                    <w:autoSpaceDN w:val="0"/>
                    <w:spacing w:before="0" w:beforeAutospacing="0" w:after="0" w:afterAutospacing="0"/>
                    <w:ind w:left="102" w:right="-20"/>
                    <w:jc w:val="center"/>
                    <w:rPr>
                      <w:rFonts w:hint="eastAsia" w:ascii="Times New Roman" w:hAnsi="Times New Roman" w:cs="Times New Roman"/>
                      <w:color w:val="auto"/>
                      <w:sz w:val="21"/>
                      <w:szCs w:val="21"/>
                      <w:lang w:val="en-US" w:eastAsia="zh-CN"/>
                    </w:rPr>
                  </w:pPr>
                  <w:r>
                    <w:rPr>
                      <w:rFonts w:hint="eastAsia"/>
                      <w:color w:val="auto"/>
                      <w:lang w:val="en-US" w:eastAsia="zh-CN"/>
                    </w:rPr>
                    <w:t>后装机放射源在线监控系统</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个人剂量报警仪</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Cs w:val="21"/>
                      <w:lang w:val="en-US" w:eastAsia="zh-CN"/>
                    </w:rPr>
                    <w:t>8</w:t>
                  </w:r>
                  <w:r>
                    <w:rPr>
                      <w:rFonts w:hint="default" w:ascii="Times New Roman" w:hAnsi="Times New Roman" w:eastAsia="宋体" w:cs="Times New Roman"/>
                      <w:color w:val="auto"/>
                      <w:szCs w:val="21"/>
                    </w:rPr>
                    <w:t>个</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19" w:type="dxa"/>
                  <w:vMerge w:val="continue"/>
                  <w:vAlign w:val="center"/>
                </w:tcPr>
                <w:p>
                  <w:pPr>
                    <w:keepNext w:val="0"/>
                    <w:keepLines w:val="0"/>
                    <w:suppressLineNumbers w:val="0"/>
                    <w:tabs>
                      <w:tab w:val="left" w:pos="1320"/>
                    </w:tabs>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808" w:type="dxa"/>
                  <w:tcBorders>
                    <w:top w:val="single" w:color="auto" w:sz="4"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个人剂量计</w:t>
                  </w:r>
                </w:p>
              </w:tc>
              <w:tc>
                <w:tcPr>
                  <w:tcW w:w="1295"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Cs w:val="21"/>
                      <w:lang w:val="en-US" w:eastAsia="zh-CN"/>
                    </w:rPr>
                    <w:t>8</w:t>
                  </w:r>
                  <w:r>
                    <w:rPr>
                      <w:rFonts w:hint="default" w:ascii="Times New Roman" w:hAnsi="Times New Roman" w:eastAsia="宋体" w:cs="Times New Roman"/>
                      <w:color w:val="auto"/>
                      <w:szCs w:val="21"/>
                    </w:rPr>
                    <w:t>套</w:t>
                  </w: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6527" w:type="dxa"/>
                  <w:gridSpan w:val="2"/>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合计</w:t>
                  </w:r>
                </w:p>
              </w:tc>
              <w:tc>
                <w:tcPr>
                  <w:tcW w:w="129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p>
              </w:tc>
              <w:tc>
                <w:tcPr>
                  <w:tcW w:w="1055"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w:t>
                  </w:r>
                </w:p>
              </w:tc>
            </w:tr>
          </w:tbl>
          <w:p>
            <w:pPr>
              <w:pStyle w:val="28"/>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0" w:afterAutospacing="0" w:line="360" w:lineRule="auto"/>
              <w:ind w:left="0" w:leftChars="0" w:right="0" w:firstLine="480" w:firstLineChars="200"/>
              <w:textAlignment w:val="auto"/>
              <w:rPr>
                <w:rFonts w:hint="default" w:ascii="Times New Roman" w:hAnsi="Times New Roman" w:cs="Times New Roman"/>
                <w:b w:val="0"/>
                <w:bCs/>
                <w:color w:val="auto"/>
                <w:sz w:val="24"/>
                <w:lang w:eastAsia="zh-CN"/>
              </w:rPr>
            </w:pPr>
            <w:r>
              <w:rPr>
                <w:rFonts w:hint="default" w:ascii="Times New Roman" w:hAnsi="Times New Roman" w:cs="Times New Roman"/>
                <w:b w:val="0"/>
                <w:bCs/>
                <w:color w:val="auto"/>
                <w:sz w:val="24"/>
              </w:rPr>
              <w:t>今后在实践中，医院应根据</w:t>
            </w:r>
            <w:r>
              <w:rPr>
                <w:rFonts w:hint="default" w:ascii="Times New Roman" w:hAnsi="Times New Roman" w:cs="Times New Roman"/>
                <w:b w:val="0"/>
                <w:bCs/>
                <w:color w:val="auto"/>
                <w:sz w:val="24"/>
                <w:lang w:val="en-US" w:eastAsia="zh-CN"/>
              </w:rPr>
              <w:t>辐射防护和管理要求</w:t>
            </w:r>
            <w:r>
              <w:rPr>
                <w:rFonts w:hint="default" w:ascii="Times New Roman" w:hAnsi="Times New Roman" w:cs="Times New Roman"/>
                <w:b w:val="0"/>
                <w:bCs/>
                <w:color w:val="auto"/>
                <w:sz w:val="24"/>
              </w:rPr>
              <w:t>，结合自身实际情况对环保设施做相应补充</w:t>
            </w:r>
            <w:r>
              <w:rPr>
                <w:rFonts w:hint="default" w:ascii="Times New Roman" w:hAnsi="Times New Roman" w:cs="Times New Roman"/>
                <w:b w:val="0"/>
                <w:bCs/>
                <w:color w:val="auto"/>
                <w:sz w:val="24"/>
                <w:lang w:val="en-US" w:eastAsia="zh-CN"/>
              </w:rPr>
              <w:t>完善</w:t>
            </w:r>
            <w:r>
              <w:rPr>
                <w:rFonts w:hint="default" w:ascii="Times New Roman" w:hAnsi="Times New Roman" w:cs="Times New Roman"/>
                <w:b w:val="0"/>
                <w:bCs/>
                <w:color w:val="auto"/>
                <w:sz w:val="24"/>
              </w:rPr>
              <w:t>，使之更能满足实际和</w:t>
            </w:r>
            <w:r>
              <w:rPr>
                <w:rFonts w:hint="default" w:ascii="Times New Roman" w:hAnsi="Times New Roman" w:cs="Times New Roman"/>
                <w:b w:val="0"/>
                <w:bCs/>
                <w:color w:val="auto"/>
                <w:sz w:val="24"/>
                <w:lang w:val="en-US" w:eastAsia="zh-CN"/>
              </w:rPr>
              <w:t>相关管理</w:t>
            </w:r>
            <w:r>
              <w:rPr>
                <w:rFonts w:hint="default" w:ascii="Times New Roman" w:hAnsi="Times New Roman" w:cs="Times New Roman"/>
                <w:b w:val="0"/>
                <w:bCs/>
                <w:color w:val="auto"/>
                <w:sz w:val="24"/>
              </w:rPr>
              <w:t>要求</w:t>
            </w:r>
            <w:r>
              <w:rPr>
                <w:rFonts w:hint="default" w:ascii="Times New Roman" w:hAnsi="Times New Roman" w:cs="Times New Roman"/>
                <w:b w:val="0"/>
                <w:bCs/>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60" w:type="dxa"/>
          </w:tcPr>
          <w:p>
            <w:pPr>
              <w:pStyle w:val="28"/>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黑体" w:cs="Times New Roman"/>
                <w:b w:val="0"/>
                <w:color w:val="auto"/>
                <w:kern w:val="2"/>
                <w:sz w:val="28"/>
                <w:szCs w:val="28"/>
                <w:lang w:val="en-US" w:eastAsia="zh-CN" w:bidi="ar-SA"/>
              </w:rPr>
            </w:pPr>
            <w:r>
              <w:rPr>
                <w:rFonts w:hint="default" w:ascii="Times New Roman" w:hAnsi="Times New Roman" w:eastAsia="黑体" w:cs="Times New Roman"/>
                <w:b w:val="0"/>
                <w:color w:val="auto"/>
                <w:kern w:val="2"/>
                <w:sz w:val="28"/>
                <w:szCs w:val="28"/>
                <w:lang w:val="en-US" w:eastAsia="zh-CN" w:bidi="ar-SA"/>
              </w:rPr>
              <w:t>三废治理</w:t>
            </w:r>
          </w:p>
          <w:p>
            <w:pPr>
              <w:keepNext/>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1、废气治理</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1#、2#、3#加速器治疗室</w:t>
            </w:r>
            <w:r>
              <w:rPr>
                <w:rFonts w:hint="default" w:ascii="Times New Roman" w:hAnsi="Times New Roman" w:cs="Times New Roman"/>
                <w:color w:val="auto"/>
                <w:sz w:val="24"/>
                <w:lang w:val="en-US" w:eastAsia="zh-CN"/>
              </w:rPr>
              <w:t>治疗室</w:t>
            </w:r>
            <w:r>
              <w:rPr>
                <w:rFonts w:hint="default" w:ascii="Times New Roman" w:hAnsi="Times New Roman" w:cs="Times New Roman"/>
                <w:color w:val="auto"/>
                <w:sz w:val="24"/>
              </w:rPr>
              <w:t>排风系统</w:t>
            </w:r>
            <w:r>
              <w:rPr>
                <w:rFonts w:hint="default" w:ascii="Times New Roman" w:hAnsi="Times New Roman" w:cs="Times New Roman"/>
                <w:color w:val="auto"/>
                <w:sz w:val="24"/>
                <w:lang w:val="en-US" w:eastAsia="zh-CN"/>
              </w:rPr>
              <w:t>均</w:t>
            </w:r>
            <w:r>
              <w:rPr>
                <w:rFonts w:hint="default" w:ascii="Times New Roman" w:hAnsi="Times New Roman" w:cs="Times New Roman"/>
                <w:color w:val="auto"/>
                <w:sz w:val="24"/>
              </w:rPr>
              <w:t>采用全新风直流式送风形式</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三间治疗室通排风</w:t>
            </w:r>
            <w:r>
              <w:rPr>
                <w:rFonts w:hint="default" w:ascii="Times New Roman" w:hAnsi="Times New Roman" w:cs="Times New Roman"/>
                <w:color w:val="auto"/>
                <w:sz w:val="24"/>
              </w:rPr>
              <w:t>管道</w:t>
            </w:r>
            <w:r>
              <w:rPr>
                <w:rFonts w:hint="default" w:ascii="Times New Roman" w:hAnsi="Times New Roman" w:cs="Times New Roman"/>
                <w:color w:val="auto"/>
                <w:kern w:val="2"/>
                <w:sz w:val="24"/>
                <w:lang w:eastAsia="zh-CN"/>
              </w:rPr>
              <w:t>（</w:t>
            </w:r>
            <w:r>
              <w:rPr>
                <w:rFonts w:hint="default" w:ascii="Times New Roman" w:hAnsi="Times New Roman" w:cs="Times New Roman"/>
                <w:color w:val="auto"/>
                <w:kern w:val="2"/>
                <w:sz w:val="24"/>
                <w:lang w:val="en-US" w:eastAsia="zh-CN"/>
              </w:rPr>
              <w:t>400×550mm</w:t>
            </w:r>
            <w:r>
              <w:rPr>
                <w:rFonts w:hint="default" w:ascii="Times New Roman" w:hAnsi="Times New Roman" w:cs="Times New Roman"/>
                <w:color w:val="auto"/>
                <w:kern w:val="2"/>
                <w:sz w:val="24"/>
                <w:lang w:eastAsia="zh-CN"/>
              </w:rPr>
              <w:t>）</w:t>
            </w:r>
            <w:r>
              <w:rPr>
                <w:rFonts w:hint="default" w:ascii="Times New Roman" w:hAnsi="Times New Roman" w:cs="Times New Roman"/>
                <w:color w:val="auto"/>
                <w:kern w:val="2"/>
                <w:sz w:val="24"/>
                <w:lang w:val="en-US" w:eastAsia="zh-CN"/>
              </w:rPr>
              <w:t>均设置在迷路</w:t>
            </w:r>
            <w:r>
              <w:rPr>
                <w:rFonts w:hint="default" w:ascii="Times New Roman" w:hAnsi="Times New Roman" w:cs="Times New Roman"/>
                <w:color w:val="auto"/>
                <w:kern w:val="2"/>
                <w:sz w:val="24"/>
              </w:rPr>
              <w:t>门上方</w:t>
            </w:r>
            <w:r>
              <w:rPr>
                <w:rFonts w:hint="default" w:ascii="Times New Roman" w:hAnsi="Times New Roman" w:cs="Times New Roman"/>
                <w:color w:val="auto"/>
                <w:kern w:val="2"/>
                <w:sz w:val="24"/>
                <w:lang w:val="en-US" w:eastAsia="zh-CN"/>
              </w:rPr>
              <w:t>并采用</w:t>
            </w:r>
            <w:r>
              <w:rPr>
                <w:rFonts w:hint="default" w:ascii="Times New Roman" w:hAnsi="Times New Roman" w:cs="Times New Roman"/>
                <w:color w:val="auto"/>
                <w:kern w:val="2"/>
                <w:sz w:val="24"/>
                <w:lang w:eastAsia="zh-CN"/>
              </w:rPr>
              <w:t>“</w:t>
            </w:r>
            <w:r>
              <w:rPr>
                <w:rFonts w:hint="default" w:ascii="Times New Roman" w:hAnsi="Times New Roman" w:cs="Times New Roman"/>
                <w:color w:val="auto"/>
                <w:kern w:val="2"/>
                <w:sz w:val="24"/>
                <w:lang w:val="en-US" w:eastAsia="zh-CN"/>
              </w:rPr>
              <w:t>S</w:t>
            </w:r>
            <w:r>
              <w:rPr>
                <w:rFonts w:hint="default" w:ascii="Times New Roman" w:hAnsi="Times New Roman" w:cs="Times New Roman"/>
                <w:color w:val="auto"/>
                <w:kern w:val="2"/>
                <w:sz w:val="24"/>
                <w:lang w:eastAsia="zh-CN"/>
              </w:rPr>
              <w:t>”</w:t>
            </w:r>
            <w:r>
              <w:rPr>
                <w:rFonts w:hint="default" w:ascii="Times New Roman" w:hAnsi="Times New Roman" w:cs="Times New Roman"/>
                <w:color w:val="auto"/>
                <w:kern w:val="2"/>
                <w:sz w:val="24"/>
                <w:lang w:val="en-US" w:eastAsia="zh-CN"/>
              </w:rPr>
              <w:t>型方式</w:t>
            </w:r>
            <w:r>
              <w:rPr>
                <w:rFonts w:hint="default" w:ascii="Times New Roman" w:hAnsi="Times New Roman" w:cs="Times New Roman"/>
                <w:color w:val="auto"/>
                <w:kern w:val="2"/>
                <w:sz w:val="24"/>
              </w:rPr>
              <w:t>穿墙</w:t>
            </w:r>
            <w:r>
              <w:rPr>
                <w:rFonts w:hint="default" w:ascii="Times New Roman" w:hAnsi="Times New Roman" w:cs="Times New Roman"/>
                <w:color w:val="auto"/>
                <w:kern w:val="2"/>
                <w:sz w:val="24"/>
                <w:highlight w:val="none"/>
                <w:lang w:val="en-US" w:eastAsia="zh-CN"/>
              </w:rPr>
              <w:t>连接</w:t>
            </w:r>
            <w:r>
              <w:rPr>
                <w:rFonts w:hint="eastAsia" w:ascii="Times New Roman" w:hAnsi="Times New Roman" w:cs="Times New Roman"/>
                <w:color w:val="auto"/>
                <w:kern w:val="2"/>
                <w:sz w:val="24"/>
                <w:highlight w:val="none"/>
                <w:lang w:val="en-US" w:eastAsia="zh-CN"/>
              </w:rPr>
              <w:t>至西北部的空调机房</w:t>
            </w:r>
            <w:r>
              <w:rPr>
                <w:rFonts w:hint="default" w:ascii="Times New Roman" w:hAnsi="Times New Roman" w:cs="Times New Roman"/>
                <w:color w:val="auto"/>
                <w:kern w:val="2"/>
                <w:sz w:val="24"/>
              </w:rPr>
              <w:t>，</w:t>
            </w:r>
            <w:r>
              <w:rPr>
                <w:rFonts w:hint="eastAsia" w:ascii="Times New Roman" w:hAnsi="Times New Roman" w:cs="Times New Roman"/>
                <w:color w:val="auto"/>
                <w:kern w:val="2"/>
                <w:sz w:val="24"/>
                <w:lang w:val="en-US" w:eastAsia="zh-CN"/>
              </w:rPr>
              <w:t>后输送</w:t>
            </w:r>
            <w:r>
              <w:rPr>
                <w:rFonts w:hint="default" w:ascii="Times New Roman" w:hAnsi="Times New Roman" w:cs="Times New Roman"/>
                <w:color w:val="auto"/>
                <w:kern w:val="2"/>
                <w:sz w:val="24"/>
                <w:lang w:val="en-US" w:eastAsia="zh-CN"/>
              </w:rPr>
              <w:t>至楼顶朝西南方向排放</w:t>
            </w:r>
            <w:r>
              <w:rPr>
                <w:rFonts w:hint="default" w:ascii="Times New Roman" w:hAnsi="Times New Roman" w:cs="Times New Roman"/>
                <w:color w:val="auto"/>
                <w:kern w:val="2"/>
                <w:sz w:val="24"/>
              </w:rPr>
              <w:t>。</w:t>
            </w:r>
            <w:r>
              <w:rPr>
                <w:rFonts w:hint="default" w:ascii="Times New Roman" w:hAnsi="Times New Roman" w:cs="Times New Roman"/>
                <w:color w:val="auto"/>
                <w:kern w:val="2"/>
                <w:sz w:val="24"/>
                <w:lang w:eastAsia="zh-CN"/>
              </w:rPr>
              <w:t>气流组织为上送风、下排风。</w:t>
            </w:r>
            <w:r>
              <w:rPr>
                <w:rFonts w:hint="default" w:ascii="Times New Roman" w:hAnsi="Times New Roman" w:cs="Times New Roman"/>
                <w:color w:val="auto"/>
                <w:kern w:val="2"/>
                <w:sz w:val="24"/>
                <w:lang w:val="en-US" w:eastAsia="zh-CN"/>
              </w:rPr>
              <w:t>进排风管道均采用镀锌钢管道。</w:t>
            </w:r>
            <w:r>
              <w:rPr>
                <w:rFonts w:hint="eastAsia" w:ascii="Times New Roman" w:hAnsi="Times New Roman" w:cs="Times New Roman"/>
                <w:color w:val="auto"/>
                <w:kern w:val="2"/>
                <w:sz w:val="24"/>
                <w:lang w:eastAsia="zh-CN"/>
              </w:rPr>
              <w:t>1#、</w:t>
            </w:r>
            <w:r>
              <w:rPr>
                <w:rFonts w:hint="eastAsia" w:ascii="Times New Roman" w:hAnsi="Times New Roman" w:cs="Times New Roman"/>
                <w:color w:val="auto"/>
                <w:kern w:val="2"/>
                <w:sz w:val="24"/>
                <w:lang w:val="en-US" w:eastAsia="zh-CN"/>
              </w:rPr>
              <w:t>2#、</w:t>
            </w:r>
            <w:r>
              <w:rPr>
                <w:rFonts w:hint="eastAsia" w:ascii="Times New Roman" w:hAnsi="Times New Roman" w:cs="Times New Roman"/>
                <w:color w:val="auto"/>
                <w:kern w:val="2"/>
                <w:sz w:val="24"/>
                <w:lang w:eastAsia="zh-CN"/>
              </w:rPr>
              <w:t>3#加速器治疗室</w:t>
            </w:r>
            <w:r>
              <w:rPr>
                <w:rFonts w:hint="default" w:ascii="Times New Roman" w:hAnsi="Times New Roman" w:cs="Times New Roman"/>
                <w:color w:val="auto"/>
                <w:kern w:val="2"/>
                <w:sz w:val="24"/>
              </w:rPr>
              <w:t>每小时换气</w:t>
            </w:r>
            <w:r>
              <w:rPr>
                <w:rFonts w:hint="default" w:ascii="Times New Roman" w:hAnsi="Times New Roman" w:cs="Times New Roman"/>
                <w:color w:val="auto"/>
                <w:kern w:val="2"/>
                <w:sz w:val="24"/>
                <w:lang w:val="en-US" w:eastAsia="zh-CN"/>
              </w:rPr>
              <w:t>约10</w:t>
            </w:r>
            <w:r>
              <w:rPr>
                <w:rFonts w:hint="default" w:ascii="Times New Roman" w:hAnsi="Times New Roman" w:cs="Times New Roman"/>
                <w:color w:val="auto"/>
                <w:kern w:val="2"/>
                <w:sz w:val="24"/>
              </w:rPr>
              <w:t>次，</w:t>
            </w:r>
            <w:r>
              <w:rPr>
                <w:rFonts w:hint="eastAsia" w:ascii="Times New Roman" w:hAnsi="Times New Roman" w:cs="Times New Roman"/>
                <w:color w:val="auto"/>
                <w:kern w:val="2"/>
                <w:sz w:val="24"/>
                <w:lang w:eastAsia="zh-CN"/>
              </w:rPr>
              <w:t>排风量约</w:t>
            </w:r>
            <w:r>
              <w:rPr>
                <w:rFonts w:hint="eastAsia" w:ascii="Times New Roman" w:hAnsi="Times New Roman" w:cs="Times New Roman"/>
                <w:color w:val="auto"/>
                <w:kern w:val="2"/>
                <w:sz w:val="24"/>
                <w:lang w:val="en-US" w:eastAsia="zh-CN"/>
              </w:rPr>
              <w:t>4286.4</w:t>
            </w:r>
            <w:r>
              <w:rPr>
                <w:rFonts w:hint="default" w:ascii="Times New Roman" w:hAnsi="Times New Roman" w:cs="Times New Roman"/>
                <w:color w:val="auto"/>
                <w:kern w:val="2"/>
                <w:sz w:val="24"/>
              </w:rPr>
              <w:t>m</w:t>
            </w:r>
            <w:r>
              <w:rPr>
                <w:rFonts w:hint="default" w:ascii="Times New Roman" w:hAnsi="Times New Roman" w:cs="Times New Roman"/>
                <w:color w:val="auto"/>
                <w:kern w:val="2"/>
                <w:sz w:val="24"/>
                <w:vertAlign w:val="superscript"/>
              </w:rPr>
              <w:t>3</w:t>
            </w:r>
            <w:r>
              <w:rPr>
                <w:rFonts w:hint="default" w:ascii="Times New Roman" w:hAnsi="Times New Roman" w:cs="Times New Roman"/>
                <w:color w:val="auto"/>
                <w:kern w:val="2"/>
                <w:sz w:val="24"/>
              </w:rPr>
              <w:t>/h</w:t>
            </w:r>
            <w:r>
              <w:rPr>
                <w:rFonts w:hint="eastAsia" w:ascii="Times New Roman" w:hAnsi="Times New Roman" w:cs="Times New Roman"/>
                <w:color w:val="auto"/>
                <w:kern w:val="2"/>
                <w:sz w:val="24"/>
                <w:lang w:eastAsia="zh-CN"/>
              </w:rPr>
              <w:t>（</w:t>
            </w:r>
            <w:r>
              <w:rPr>
                <w:rFonts w:hint="eastAsia" w:ascii="Times New Roman" w:hAnsi="Times New Roman" w:cs="Times New Roman"/>
                <w:color w:val="auto"/>
                <w:kern w:val="2"/>
                <w:sz w:val="24"/>
                <w:lang w:val="en-US" w:eastAsia="zh-CN"/>
              </w:rPr>
              <w:t>见附图15</w:t>
            </w:r>
            <w:r>
              <w:rPr>
                <w:rFonts w:hint="eastAsia" w:ascii="Times New Roman" w:hAnsi="Times New Roman" w:cs="Times New Roman"/>
                <w:color w:val="auto"/>
                <w:kern w:val="2"/>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后装治疗室</w:t>
            </w:r>
            <w:r>
              <w:rPr>
                <w:rFonts w:hint="default" w:ascii="Times New Roman" w:hAnsi="Times New Roman" w:cs="Times New Roman"/>
                <w:color w:val="auto"/>
                <w:sz w:val="24"/>
              </w:rPr>
              <w:t>排风系统采用全新风直流式送风形式</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通排风</w:t>
            </w:r>
            <w:r>
              <w:rPr>
                <w:rFonts w:hint="default" w:ascii="Times New Roman" w:hAnsi="Times New Roman" w:cs="Times New Roman"/>
                <w:color w:val="auto"/>
                <w:sz w:val="24"/>
              </w:rPr>
              <w:t>管道</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320</w:t>
            </w:r>
            <w:r>
              <w:rPr>
                <w:rFonts w:hint="default" w:ascii="Times New Roman" w:hAnsi="Times New Roman" w:cs="Times New Roman"/>
                <w:color w:val="auto"/>
                <w:sz w:val="24"/>
                <w:highlight w:val="none"/>
              </w:rPr>
              <w:t>×2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0mm</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设置</w:t>
            </w:r>
            <w:r>
              <w:rPr>
                <w:rFonts w:hint="default" w:ascii="Times New Roman" w:hAnsi="Times New Roman" w:cs="Times New Roman"/>
                <w:color w:val="auto"/>
                <w:sz w:val="24"/>
              </w:rPr>
              <w:t>在</w:t>
            </w:r>
            <w:r>
              <w:rPr>
                <w:rFonts w:hint="eastAsia" w:ascii="Times New Roman" w:hAnsi="Times New Roman" w:cs="Times New Roman"/>
                <w:color w:val="auto"/>
                <w:sz w:val="24"/>
                <w:lang w:val="en-US" w:eastAsia="zh-CN"/>
              </w:rPr>
              <w:t>治疗室</w:t>
            </w:r>
            <w:r>
              <w:rPr>
                <w:rFonts w:hint="default" w:ascii="Times New Roman" w:hAnsi="Times New Roman" w:cs="Times New Roman"/>
                <w:color w:val="auto"/>
                <w:sz w:val="24"/>
              </w:rPr>
              <w:t>门上方</w:t>
            </w:r>
            <w:r>
              <w:rPr>
                <w:rFonts w:hint="default" w:ascii="Times New Roman" w:hAnsi="Times New Roman" w:cs="Times New Roman"/>
                <w:color w:val="auto"/>
                <w:sz w:val="24"/>
                <w:lang w:val="en-US" w:eastAsia="zh-CN"/>
              </w:rPr>
              <w:t>并采用</w:t>
            </w:r>
            <w:r>
              <w:rPr>
                <w:rFonts w:hint="default" w:ascii="Times New Roman" w:hAnsi="Times New Roman" w:cs="Times New Roman"/>
                <w:color w:val="auto"/>
                <w:sz w:val="24"/>
              </w:rPr>
              <w:t>穿墙</w:t>
            </w:r>
            <w:r>
              <w:rPr>
                <w:rFonts w:hint="default" w:ascii="Times New Roman" w:hAnsi="Times New Roman" w:cs="Times New Roman"/>
                <w:color w:val="auto"/>
                <w:kern w:val="2"/>
                <w:sz w:val="24"/>
                <w:highlight w:val="none"/>
                <w:lang w:val="en-US" w:eastAsia="zh-CN"/>
              </w:rPr>
              <w:t>连接</w:t>
            </w:r>
            <w:r>
              <w:rPr>
                <w:rFonts w:hint="eastAsia" w:ascii="Times New Roman" w:hAnsi="Times New Roman" w:cs="Times New Roman"/>
                <w:color w:val="auto"/>
                <w:kern w:val="2"/>
                <w:sz w:val="24"/>
                <w:highlight w:val="none"/>
                <w:lang w:val="en-US" w:eastAsia="zh-CN"/>
              </w:rPr>
              <w:t>至西北部的空调机房</w:t>
            </w:r>
            <w:r>
              <w:rPr>
                <w:rFonts w:hint="default" w:ascii="Times New Roman" w:hAnsi="Times New Roman" w:cs="Times New Roman"/>
                <w:color w:val="auto"/>
                <w:kern w:val="2"/>
                <w:sz w:val="24"/>
              </w:rPr>
              <w:t>，</w:t>
            </w:r>
            <w:r>
              <w:rPr>
                <w:rFonts w:hint="eastAsia" w:ascii="Times New Roman" w:hAnsi="Times New Roman" w:cs="Times New Roman"/>
                <w:color w:val="auto"/>
                <w:kern w:val="2"/>
                <w:sz w:val="24"/>
                <w:lang w:val="en-US" w:eastAsia="zh-CN"/>
              </w:rPr>
              <w:t>后输送</w:t>
            </w:r>
            <w:r>
              <w:rPr>
                <w:rFonts w:hint="default" w:ascii="Times New Roman" w:hAnsi="Times New Roman" w:cs="Times New Roman"/>
                <w:color w:val="auto"/>
                <w:kern w:val="2"/>
                <w:sz w:val="24"/>
                <w:lang w:val="en-US" w:eastAsia="zh-CN"/>
              </w:rPr>
              <w:t>至楼顶朝西南方向排放</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气流组织为上送风、下排风。</w:t>
            </w:r>
            <w:r>
              <w:rPr>
                <w:rFonts w:hint="default" w:ascii="Times New Roman" w:hAnsi="Times New Roman" w:cs="Times New Roman"/>
                <w:color w:val="auto"/>
                <w:sz w:val="24"/>
                <w:lang w:val="en-US" w:eastAsia="zh-CN"/>
              </w:rPr>
              <w:t>进排风管道均采用镀锌钢</w:t>
            </w:r>
            <w:r>
              <w:rPr>
                <w:rFonts w:hint="default" w:ascii="Times New Roman" w:hAnsi="Times New Roman" w:cs="Times New Roman"/>
                <w:color w:val="auto"/>
                <w:sz w:val="24"/>
              </w:rPr>
              <w:t>管道</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eastAsia="zh-CN"/>
              </w:rPr>
              <w:t>后装治疗室</w:t>
            </w:r>
            <w:r>
              <w:rPr>
                <w:rFonts w:hint="default" w:ascii="Times New Roman" w:hAnsi="Times New Roman" w:cs="Times New Roman"/>
                <w:color w:val="auto"/>
                <w:sz w:val="24"/>
              </w:rPr>
              <w:t>每小时换气</w:t>
            </w:r>
            <w:r>
              <w:rPr>
                <w:rFonts w:hint="default" w:ascii="Times New Roman" w:hAnsi="Times New Roman" w:cs="Times New Roman"/>
                <w:color w:val="auto"/>
                <w:sz w:val="24"/>
                <w:lang w:val="en-US" w:eastAsia="zh-CN"/>
              </w:rPr>
              <w:t>约10</w:t>
            </w:r>
            <w:r>
              <w:rPr>
                <w:rFonts w:hint="default" w:ascii="Times New Roman" w:hAnsi="Times New Roman" w:cs="Times New Roman"/>
                <w:color w:val="auto"/>
                <w:sz w:val="24"/>
              </w:rPr>
              <w:t>次，</w:t>
            </w:r>
            <w:r>
              <w:rPr>
                <w:rFonts w:hint="default" w:ascii="Times New Roman" w:hAnsi="Times New Roman" w:cs="Times New Roman"/>
                <w:color w:val="auto"/>
                <w:sz w:val="24"/>
                <w:lang w:val="en-US" w:eastAsia="zh-CN"/>
              </w:rPr>
              <w:t>排</w:t>
            </w:r>
            <w:r>
              <w:rPr>
                <w:rFonts w:hint="default" w:ascii="Times New Roman" w:hAnsi="Times New Roman" w:cs="Times New Roman"/>
                <w:color w:val="auto"/>
                <w:sz w:val="24"/>
              </w:rPr>
              <w:t>风量约</w:t>
            </w:r>
            <w:r>
              <w:rPr>
                <w:rFonts w:hint="eastAsia" w:ascii="Times New Roman" w:hAnsi="Times New Roman" w:cs="Times New Roman"/>
                <w:color w:val="auto"/>
                <w:sz w:val="24"/>
                <w:lang w:val="en-US" w:eastAsia="zh-CN"/>
              </w:rPr>
              <w:t>2000m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r>
              <w:rPr>
                <w:rFonts w:hint="eastAsia" w:ascii="Times New Roman" w:hAnsi="Times New Roman" w:cs="Times New Roman"/>
                <w:color w:val="auto"/>
                <w:kern w:val="2"/>
                <w:sz w:val="24"/>
                <w:lang w:eastAsia="zh-CN"/>
              </w:rPr>
              <w:t>（</w:t>
            </w:r>
            <w:r>
              <w:rPr>
                <w:rFonts w:hint="eastAsia" w:ascii="Times New Roman" w:hAnsi="Times New Roman" w:cs="Times New Roman"/>
                <w:color w:val="auto"/>
                <w:kern w:val="2"/>
                <w:sz w:val="24"/>
                <w:lang w:val="en-US" w:eastAsia="zh-CN"/>
              </w:rPr>
              <w:t>见附图15</w:t>
            </w:r>
            <w:r>
              <w:rPr>
                <w:rFonts w:hint="eastAsia" w:ascii="Times New Roman" w:hAnsi="Times New Roman" w:cs="Times New Roman"/>
                <w:color w:val="auto"/>
                <w:kern w:val="2"/>
                <w:sz w:val="24"/>
                <w:lang w:eastAsia="zh-CN"/>
              </w:rPr>
              <w:t>）</w:t>
            </w:r>
            <w:r>
              <w:rPr>
                <w:rFonts w:hint="default" w:ascii="Times New Roman" w:hAnsi="Times New Roman" w:cs="Times New Roman"/>
                <w:color w:val="auto"/>
                <w:sz w:val="24"/>
              </w:rPr>
              <w:t>。</w:t>
            </w:r>
          </w:p>
          <w:p>
            <w:pPr>
              <w:keepNext/>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2、废水治理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本项目运行后，废水主要为辐射工作人员和患者产生的生活污水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生活废水依托医院污水处理设施处理达标后排入市政污水管网，经污水处理厂处理达标后排放</w:t>
            </w:r>
            <w:r>
              <w:rPr>
                <w:rFonts w:hint="default" w:ascii="Times New Roman" w:hAnsi="Times New Roman" w:cs="Times New Roman"/>
                <w:b w:val="0"/>
                <w:bCs w:val="0"/>
                <w:color w:val="auto"/>
                <w:sz w:val="24"/>
                <w:lang w:val="en-US" w:eastAsia="zh-CN"/>
              </w:rPr>
              <w:t>。</w:t>
            </w:r>
          </w:p>
          <w:p>
            <w:pPr>
              <w:keepNext/>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3</w:t>
            </w:r>
            <w:r>
              <w:rPr>
                <w:rFonts w:hint="default" w:ascii="Times New Roman" w:hAnsi="Times New Roman" w:eastAsia="宋体" w:cs="Times New Roman"/>
                <w:b/>
                <w:bCs/>
                <w:color w:val="auto"/>
                <w:sz w:val="24"/>
                <w:lang w:val="en-US" w:eastAsia="zh-CN"/>
              </w:rPr>
              <w:t>、固体废物</w:t>
            </w:r>
            <w:r>
              <w:rPr>
                <w:rFonts w:hint="default" w:ascii="Times New Roman" w:hAnsi="Times New Roman" w:cs="Times New Roman"/>
                <w:b/>
                <w:bCs/>
                <w:color w:val="auto"/>
                <w:sz w:val="24"/>
                <w:lang w:val="en-US" w:eastAsia="zh-CN"/>
              </w:rPr>
              <w:t>处置</w:t>
            </w:r>
          </w:p>
          <w:p>
            <w:pPr>
              <w:pStyle w:val="28"/>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b w:val="0"/>
                <w:bCs/>
                <w:color w:val="auto"/>
                <w:sz w:val="24"/>
              </w:rPr>
            </w:pPr>
            <w:r>
              <w:rPr>
                <w:rFonts w:hint="default" w:ascii="Times New Roman" w:hAnsi="Times New Roman" w:eastAsia="宋体" w:cs="Times New Roman"/>
                <w:b w:val="0"/>
                <w:color w:val="auto"/>
                <w:kern w:val="2"/>
                <w:sz w:val="24"/>
                <w:szCs w:val="24"/>
                <w:lang w:val="en-US" w:eastAsia="zh-CN" w:bidi="ar-SA"/>
              </w:rPr>
              <w:t>本项目辐射工作人员会产生少量的生活垃圾及办公垃圾由环卫部门统一定期清运。</w:t>
            </w:r>
            <w:r>
              <w:rPr>
                <w:rFonts w:hint="default" w:ascii="Times New Roman" w:hAnsi="Times New Roman" w:cs="Times New Roman"/>
                <w:b w:val="0"/>
                <w:bCs/>
                <w:color w:val="auto"/>
                <w:sz w:val="24"/>
                <w:vertAlign w:val="superscript"/>
              </w:rPr>
              <w:t>192</w:t>
            </w:r>
            <w:r>
              <w:rPr>
                <w:rFonts w:hint="default" w:ascii="Times New Roman" w:hAnsi="Times New Roman" w:cs="Times New Roman"/>
                <w:b w:val="0"/>
                <w:bCs/>
                <w:color w:val="auto"/>
                <w:sz w:val="24"/>
              </w:rPr>
              <w:t>Ir放射源半衰期为74.2d，使用一定时间后，其活度不能满足放射治疗需要时</w:t>
            </w:r>
            <w:r>
              <w:rPr>
                <w:rFonts w:hint="default" w:ascii="Times New Roman" w:hAnsi="Times New Roman" w:cs="Times New Roman"/>
                <w:b w:val="0"/>
                <w:bCs/>
                <w:color w:val="auto"/>
                <w:sz w:val="24"/>
                <w:lang w:val="en-US" w:eastAsia="zh-CN"/>
              </w:rPr>
              <w:t>需要更换放射源</w:t>
            </w:r>
            <w:r>
              <w:rPr>
                <w:rFonts w:hint="default" w:ascii="Times New Roman" w:hAnsi="Times New Roman" w:cs="Times New Roman"/>
                <w:b w:val="0"/>
                <w:bCs/>
                <w:color w:val="auto"/>
                <w:sz w:val="24"/>
              </w:rPr>
              <w:t>，退役源应及时交由生产厂家回收处理。</w:t>
            </w:r>
          </w:p>
          <w:p>
            <w:pPr>
              <w:pStyle w:val="28"/>
              <w:keepNext w:val="0"/>
              <w:keepLines w:val="0"/>
              <w:suppressLineNumbers w:val="0"/>
              <w:spacing w:before="0" w:beforeAutospacing="0" w:after="0" w:afterAutospacing="0" w:line="360" w:lineRule="auto"/>
              <w:ind w:left="0" w:leftChars="0" w:right="0" w:firstLine="0" w:firstLineChars="0"/>
              <w:rPr>
                <w:rFonts w:hint="eastAsia" w:ascii="Times New Roman" w:hAnsi="Times New Roman" w:eastAsia="宋体" w:cs="Times New Roman"/>
                <w:b w:val="0"/>
                <w:bCs/>
                <w:color w:val="auto"/>
                <w:sz w:val="24"/>
                <w:lang w:val="en-US" w:eastAsia="zh-CN"/>
              </w:rPr>
            </w:pPr>
          </w:p>
        </w:tc>
      </w:tr>
    </w:tbl>
    <w:p>
      <w:pPr>
        <w:rPr>
          <w:rFonts w:ascii="Times New Roman" w:hAnsi="Times New Roman"/>
          <w:b/>
          <w:bCs/>
          <w:color w:val="auto"/>
          <w:sz w:val="30"/>
          <w:szCs w:val="30"/>
        </w:rPr>
      </w:pPr>
      <w:r>
        <w:rPr>
          <w:rFonts w:ascii="Times New Roman" w:hAnsi="Times New Roman"/>
          <w:b/>
          <w:bCs/>
          <w:color w:val="auto"/>
          <w:sz w:val="30"/>
          <w:szCs w:val="30"/>
        </w:rPr>
        <w:br w:type="page"/>
      </w:r>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66" w:name="_Toc5030"/>
      <w:r>
        <w:rPr>
          <w:rFonts w:hint="default" w:ascii="Times New Roman" w:hAnsi="Times New Roman" w:eastAsia="宋体" w:cs="Times New Roman"/>
          <w:b/>
          <w:bCs w:val="0"/>
          <w:color w:val="auto"/>
          <w:kern w:val="0"/>
          <w:sz w:val="30"/>
          <w:szCs w:val="30"/>
        </w:rPr>
        <w:t>表11  环境影响分析</w:t>
      </w:r>
      <w:bookmarkEnd w:id="66"/>
    </w:p>
    <w:tbl>
      <w:tblPr>
        <w:tblStyle w:val="17"/>
        <w:tblW w:w="8990"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90" w:type="dxa"/>
          </w:tcPr>
          <w:p>
            <w:pPr>
              <w:keepNext w:val="0"/>
              <w:keepLines w:val="0"/>
              <w:suppressLineNumbers w:val="0"/>
              <w:spacing w:before="0" w:beforeAutospacing="0" w:after="0" w:afterAutospacing="0" w:line="360" w:lineRule="auto"/>
              <w:ind w:left="0" w:right="0"/>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建设阶段对环境的影响</w:t>
            </w:r>
          </w:p>
          <w:p>
            <w:pPr>
              <w:keepNext w:val="0"/>
              <w:keepLines w:val="0"/>
              <w:suppressLineNumbers w:val="0"/>
              <w:spacing w:before="0" w:beforeAutospacing="0" w:after="0" w:afterAutospacing="0" w:line="360" w:lineRule="auto"/>
              <w:ind w:left="0" w:right="0" w:firstLine="520"/>
              <w:rPr>
                <w:rFonts w:hint="default" w:ascii="Times New Roman" w:hAnsi="Times New Roman" w:cs="Times New Roman"/>
                <w:color w:val="auto"/>
                <w:kern w:val="44"/>
                <w:sz w:val="24"/>
                <w:highlight w:val="none"/>
              </w:rPr>
            </w:pPr>
            <w:r>
              <w:rPr>
                <w:rFonts w:hint="default" w:ascii="Times New Roman" w:hAnsi="Times New Roman" w:cs="Times New Roman"/>
                <w:color w:val="auto"/>
                <w:sz w:val="24"/>
                <w:highlight w:val="none"/>
              </w:rPr>
              <w:t>本项目所在的放疗中心土建工程属于“</w:t>
            </w:r>
            <w:r>
              <w:rPr>
                <w:rFonts w:hint="default" w:ascii="Times New Roman" w:hAnsi="Times New Roman" w:cs="Times New Roman"/>
                <w:color w:val="auto"/>
                <w:sz w:val="24"/>
                <w:highlight w:val="none"/>
                <w:lang w:eastAsia="zh-CN"/>
              </w:rPr>
              <w:t>成都市第五人民医院门急诊住院综合楼配套工程</w:t>
            </w:r>
            <w:r>
              <w:rPr>
                <w:rFonts w:hint="default" w:ascii="Times New Roman" w:hAnsi="Times New Roman" w:cs="Times New Roman"/>
                <w:color w:val="auto"/>
                <w:sz w:val="24"/>
                <w:highlight w:val="none"/>
              </w:rPr>
              <w:t>”建设内容之一，其施工期环境影响包含在</w:t>
            </w:r>
            <w:r>
              <w:rPr>
                <w:rFonts w:hint="default" w:ascii="Times New Roman" w:hAnsi="Times New Roman" w:cs="Times New Roman"/>
                <w:color w:val="auto"/>
                <w:sz w:val="24"/>
                <w:highlight w:val="none"/>
                <w:lang w:eastAsia="zh-CN"/>
              </w:rPr>
              <w:t>“成都市第五人民医院门急诊住院综合楼配套工程</w:t>
            </w:r>
            <w:r>
              <w:rPr>
                <w:rFonts w:hint="default" w:ascii="Times New Roman" w:hAnsi="Times New Roman" w:cs="Times New Roman"/>
                <w:color w:val="auto"/>
                <w:sz w:val="24"/>
                <w:highlight w:val="none"/>
              </w:rPr>
              <w:t>环境影响</w:t>
            </w:r>
            <w:r>
              <w:rPr>
                <w:rFonts w:hint="default" w:ascii="Times New Roman" w:hAnsi="Times New Roman" w:cs="Times New Roman"/>
                <w:color w:val="auto"/>
                <w:sz w:val="24"/>
                <w:highlight w:val="none"/>
                <w:lang w:val="en-US" w:eastAsia="zh-CN"/>
              </w:rPr>
              <w:t>登记表</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中</w:t>
            </w:r>
            <w:r>
              <w:rPr>
                <w:rFonts w:hint="default" w:ascii="Times New Roman" w:hAnsi="Times New Roman" w:cs="Times New Roman"/>
                <w:color w:val="auto"/>
                <w:kern w:val="44"/>
                <w:sz w:val="24"/>
                <w:highlight w:val="none"/>
              </w:rPr>
              <w:t>。</w:t>
            </w:r>
          </w:p>
          <w:p>
            <w:pPr>
              <w:keepNext w:val="0"/>
              <w:keepLines w:val="0"/>
              <w:suppressLineNumbers w:val="0"/>
              <w:spacing w:before="0" w:beforeAutospacing="0" w:after="0" w:afterAutospacing="0" w:line="360" w:lineRule="auto"/>
              <w:ind w:left="0" w:right="0" w:firstLine="52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lang w:val="en-US" w:eastAsia="zh-CN"/>
              </w:rPr>
              <w:t>本项目在土建施工基础上</w:t>
            </w:r>
            <w:r>
              <w:rPr>
                <w:rFonts w:hint="default" w:ascii="Times New Roman" w:hAnsi="Times New Roman" w:cs="Times New Roman"/>
                <w:color w:val="auto"/>
                <w:kern w:val="44"/>
                <w:sz w:val="24"/>
                <w:highlight w:val="none"/>
              </w:rPr>
              <w:t>需进行设备安装、管线敷设、铅防护门及其他</w:t>
            </w:r>
            <w:r>
              <w:rPr>
                <w:rFonts w:hint="default" w:ascii="Times New Roman" w:hAnsi="Times New Roman" w:cs="Times New Roman"/>
                <w:color w:val="auto"/>
                <w:kern w:val="44"/>
                <w:sz w:val="24"/>
                <w:highlight w:val="none"/>
                <w:lang w:val="en-US" w:eastAsia="zh-CN"/>
              </w:rPr>
              <w:t>辐射</w:t>
            </w:r>
            <w:r>
              <w:rPr>
                <w:rFonts w:hint="default" w:ascii="Times New Roman" w:hAnsi="Times New Roman" w:cs="Times New Roman"/>
                <w:color w:val="auto"/>
                <w:kern w:val="44"/>
                <w:sz w:val="24"/>
                <w:highlight w:val="none"/>
              </w:rPr>
              <w:t>防护设施的安装</w:t>
            </w:r>
            <w:r>
              <w:rPr>
                <w:rFonts w:hint="default" w:ascii="Times New Roman" w:hAnsi="Times New Roman" w:cs="Times New Roman"/>
                <w:color w:val="auto"/>
                <w:kern w:val="44"/>
                <w:sz w:val="24"/>
                <w:highlight w:val="none"/>
                <w:lang w:eastAsia="zh-CN"/>
              </w:rPr>
              <w:t>。</w:t>
            </w:r>
            <w:r>
              <w:rPr>
                <w:rFonts w:hint="default" w:ascii="Times New Roman" w:hAnsi="Times New Roman" w:cs="Times New Roman"/>
                <w:color w:val="auto"/>
                <w:kern w:val="44"/>
                <w:sz w:val="24"/>
                <w:highlight w:val="none"/>
                <w:lang w:val="en-US" w:eastAsia="zh-CN"/>
              </w:rPr>
              <w:t>对于</w:t>
            </w:r>
            <w:r>
              <w:rPr>
                <w:rFonts w:hint="default" w:ascii="Times New Roman" w:hAnsi="Times New Roman" w:cs="Times New Roman"/>
                <w:color w:val="auto"/>
                <w:kern w:val="44"/>
                <w:sz w:val="24"/>
                <w:highlight w:val="none"/>
              </w:rPr>
              <w:t>施工期将产生扬尘</w:t>
            </w:r>
            <w:r>
              <w:rPr>
                <w:rFonts w:hint="default" w:ascii="Times New Roman" w:hAnsi="Times New Roman" w:cs="Times New Roman"/>
                <w:color w:val="auto"/>
                <w:sz w:val="24"/>
                <w:highlight w:val="none"/>
              </w:rPr>
              <w:t>、噪声、生活污水及固体废物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提出了以下施工要求：</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1、施工期的大气污染防治对策措施</w:t>
            </w:r>
          </w:p>
          <w:p>
            <w:pPr>
              <w:pStyle w:val="9"/>
              <w:keepNext w:val="0"/>
              <w:keepLines w:val="0"/>
              <w:suppressLineNumbers w:val="0"/>
              <w:spacing w:before="0" w:beforeAutospacing="0" w:after="0" w:afterAutospacing="0" w:line="360" w:lineRule="auto"/>
              <w:ind w:left="0" w:right="0" w:firstLine="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施工现场周围应当设置必要的围护设施，周围应当设置遮挡围栏，临路的脚手架也应当设置相应的围护设施；风速四级以上易产生扬尘时，项目施工单位应暂时停止土方开挖，并采取有效措施，防止扬尘飞散；车辆出工地前尽可能清除表面粘附的泥土等；施工场地、施工道路的扬尘可用洒水和清扫措施予以抑止。</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2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严禁抛洒建筑垃圾，特别是将建筑垃圾抛洒到项目区域的水体内。临时弃土堆放场所周围必须修建围墙，并实施覆盖；转运弃土的车辆装载应适量，严禁多装超载，车辆应实施覆盖，避免沿途洒落。</w:t>
            </w:r>
          </w:p>
          <w:p>
            <w:pPr>
              <w:pStyle w:val="6"/>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3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③</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施工工地运输车辆驶出工地前必须作除泥除尘处理，严禁将泥土尘土带出工地；道路旁树木、草坪、护栏等公共设施应定期冲洗，保持清洁；沙、渣土、灰土等易产生扬尘的堆放场地，必须设置围栏或采取遮盖、洒水等防尘措施。</w:t>
            </w:r>
          </w:p>
          <w:p>
            <w:pPr>
              <w:pStyle w:val="6"/>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4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④</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在装修过程中，施工人员应配备必要的防护装备和保证足够的通风量，避免具有刺激性气味的物质或可被人体吸入的粉尘、纤维等对施工人员身体健康造成危害。</w:t>
            </w:r>
          </w:p>
          <w:p>
            <w:pPr>
              <w:pStyle w:val="6"/>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5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⑤</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在施工期间，应加强对机械设备和运输车辆的维修、保养，禁止其超负荷工作，减少燃油燃烧时污染物的排放量；做好施工周围道路交通组织工作，保障周围道路畅通，避免因施工而造成交通堵塞。</w:t>
            </w:r>
          </w:p>
          <w:p>
            <w:pPr>
              <w:pStyle w:val="6"/>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6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⑥</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根据《四川省人民政府办公厅关于加强灰霾污染防治的通知》（川办发[2013]32号）、《四川省灰霾污染污染防治实施计划》等文件要求，建设单位应要求施工单位制定施工期环境管理计划，加强管理，按进度、有计划地进行文明施工，控制扬尘。</w:t>
            </w:r>
          </w:p>
          <w:p>
            <w:pPr>
              <w:pStyle w:val="11"/>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 7 \* GB3 \* MERGEFORMAT </w:instrText>
            </w:r>
            <w:r>
              <w:rPr>
                <w:rFonts w:hint="default" w:ascii="Times New Roman" w:hAnsi="Times New Roman" w:cs="Times New Roman"/>
                <w:color w:val="auto"/>
                <w:szCs w:val="24"/>
                <w:highlight w:val="none"/>
              </w:rPr>
              <w:fldChar w:fldCharType="separate"/>
            </w:r>
            <w:r>
              <w:rPr>
                <w:rFonts w:hint="default" w:ascii="Times New Roman" w:hAnsi="Times New Roman" w:eastAsia="宋体" w:cs="Times New Roman"/>
                <w:color w:val="auto"/>
                <w:szCs w:val="24"/>
                <w:highlight w:val="none"/>
              </w:rPr>
              <w:t>⑦</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设置进出车辆车轮冲洗池，进出车辆车轮经冲洗干净后，方可上路行驶，防止将泥土带入城市；材料堆放区堆放的材料须进行覆盖处理，短期内不占用的裸露地表也应及时进行覆盖或者绿化处理，尽量减少因项目建设新增的起尘量。</w:t>
            </w:r>
          </w:p>
          <w:p>
            <w:pPr>
              <w:pStyle w:val="11"/>
              <w:keepNext w:val="0"/>
              <w:keepLines w:val="0"/>
              <w:suppressLineNumbers w:val="0"/>
              <w:spacing w:before="0" w:beforeAutospacing="0" w:after="0" w:afterAutospacing="0"/>
              <w:ind w:left="0" w:leftChars="0" w:right="0" w:firstLine="482" w:firstLineChars="200"/>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rPr>
              <w:t>2、施工期的噪声污染防治对策措施</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合理安排施工组织方案。施工期</w:t>
            </w:r>
            <w:r>
              <w:rPr>
                <w:rFonts w:hint="default" w:ascii="Times New Roman" w:hAnsi="Times New Roman" w:cs="Times New Roman"/>
                <w:bCs/>
                <w:color w:val="auto"/>
                <w:sz w:val="24"/>
                <w:highlight w:val="none"/>
              </w:rPr>
              <w:t>合理安排施工时间，</w:t>
            </w:r>
            <w:r>
              <w:rPr>
                <w:rFonts w:hint="default" w:ascii="Times New Roman" w:hAnsi="Times New Roman" w:cs="Times New Roman"/>
                <w:color w:val="auto"/>
                <w:sz w:val="24"/>
                <w:highlight w:val="none"/>
              </w:rPr>
              <w:t>夜间</w:t>
            </w:r>
            <w:r>
              <w:rPr>
                <w:rFonts w:hint="default" w:ascii="Times New Roman" w:hAnsi="Times New Roman" w:cs="Times New Roman"/>
                <w:bCs/>
                <w:color w:val="auto"/>
                <w:sz w:val="24"/>
                <w:highlight w:val="none"/>
              </w:rPr>
              <w:t>22:00～6:00禁止施工；</w:t>
            </w:r>
            <w:r>
              <w:rPr>
                <w:rFonts w:hint="default" w:ascii="Times New Roman" w:hAnsi="Times New Roman" w:cs="Times New Roman"/>
                <w:color w:val="auto"/>
                <w:sz w:val="24"/>
                <w:highlight w:val="none"/>
              </w:rPr>
              <w:t>修建2.5～3米高的建筑隔声墙，采用密目网进行密闭施工。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2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尽量采用低噪声机械，施工过程中还应经常对设备进行维修保养，避免因使用的设备性能差而使噪声增加的现象发生</w:t>
            </w:r>
            <w:r>
              <w:rPr>
                <w:rFonts w:hint="default" w:ascii="Times New Roman" w:hAnsi="Times New Roman" w:cs="Times New Roman"/>
                <w:bCs/>
                <w:color w:val="auto"/>
                <w:sz w:val="24"/>
                <w:highlight w:val="none"/>
              </w:rPr>
              <w:t>；合理选择高噪声场所位置，合理布设施工场地，挖掘机等高噪声设备应设置在远离敏感点以外的地方，</w:t>
            </w:r>
            <w:r>
              <w:rPr>
                <w:rFonts w:hint="default" w:ascii="Times New Roman" w:hAnsi="Times New Roman" w:cs="Times New Roman"/>
                <w:color w:val="auto"/>
                <w:sz w:val="24"/>
                <w:highlight w:val="none"/>
              </w:rPr>
              <w:t>对强噪声机械(如电锯等)设置在施工棚内，进行阻隔和屏蔽噪声；现场木工房、钢筋加工房等必须完全进行封闭性施工。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3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③</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 xml:space="preserve">门窗、预制构件、大部分钢筋的成品，半成品在工厂完成，减少施工场地内加工机械产生的噪声，如少量需现场钢筋加工的尽量安排在白天进行，避免夜间噪声扰民；浇砼时，尽量避免振动棒与模板和钢筋的接触；对铜管、模扳、脚手架等构件装卸、搬运、架设时应轻拿轻放，严禁抛掷。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4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highlight w:val="none"/>
              </w:rPr>
              <w:t>④</w:t>
            </w:r>
            <w:r>
              <w:rPr>
                <w:rFonts w:hint="default" w:ascii="Times New Roman" w:hAnsi="Times New Roman" w:eastAsia="宋体" w:cs="Times New Roman"/>
                <w:color w:val="auto"/>
                <w:sz w:val="24"/>
                <w:highlight w:val="none"/>
              </w:rPr>
              <w:fldChar w:fldCharType="end"/>
            </w:r>
            <w:r>
              <w:rPr>
                <w:rFonts w:hint="default" w:ascii="Times New Roman" w:hAnsi="Times New Roman" w:cs="Times New Roman"/>
                <w:color w:val="auto"/>
                <w:sz w:val="24"/>
                <w:highlight w:val="none"/>
              </w:rPr>
              <w:t>施工现场指挥生产，应采用无线电对讲机，这样既可及时进行工作联络，又可减少施工场地噪声；加强现场运输车辆出入的管理，车辆进入现场禁止鸣笛，不得随意扔、丢，减少金属件的碰击声。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5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⑤</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在靠近敏感点附近的施工应调整施工时间</w:t>
            </w:r>
            <w:r>
              <w:rPr>
                <w:rFonts w:hint="default" w:ascii="Times New Roman" w:hAnsi="Times New Roman" w:cs="Times New Roman"/>
                <w:color w:val="auto"/>
                <w:sz w:val="24"/>
                <w:highlight w:val="none"/>
                <w:lang w:val="en-US" w:eastAsia="zh-CN"/>
              </w:rPr>
              <w:t>，减少对敏感点的影响</w:t>
            </w:r>
            <w:r>
              <w:rPr>
                <w:rFonts w:hint="default" w:ascii="Times New Roman" w:hAnsi="Times New Roman" w:cs="Times New Roman"/>
                <w:color w:val="auto"/>
                <w:sz w:val="24"/>
                <w:highlight w:val="none"/>
              </w:rPr>
              <w:t>。尽量避免节假日施工，同时采用临时性降噪措施。</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6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⑥</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建设方应特别加强对施工单位管理，材料堆放必须轻拿轻放，严禁抛掷，材料堆放和限运输时间严禁选择在夜间</w:t>
            </w:r>
            <w:r>
              <w:rPr>
                <w:rFonts w:hint="default" w:ascii="Times New Roman" w:hAnsi="Times New Roman" w:cs="Times New Roman"/>
                <w:bCs/>
                <w:color w:val="auto"/>
                <w:sz w:val="24"/>
                <w:highlight w:val="none"/>
              </w:rPr>
              <w:t>22:00～6:00时间段。</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7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⑦</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加强对有敏感点附近的施工管理，合理制定施工计划。监理单位做好监理工作；建设单位应要求施工单位在现场张贴通告和投诉电话，建设单位在接到投诉电话后及时与当地</w:t>
            </w:r>
            <w:r>
              <w:rPr>
                <w:rFonts w:hint="default" w:ascii="Times New Roman" w:hAnsi="Times New Roman" w:cs="Times New Roman"/>
                <w:color w:val="auto"/>
                <w:sz w:val="24"/>
                <w:highlight w:val="none"/>
                <w:lang w:val="en-US" w:eastAsia="zh-CN"/>
              </w:rPr>
              <w:t>生态环境主管部分</w:t>
            </w:r>
            <w:r>
              <w:rPr>
                <w:rFonts w:hint="default" w:ascii="Times New Roman" w:hAnsi="Times New Roman" w:cs="Times New Roman"/>
                <w:color w:val="auto"/>
                <w:sz w:val="24"/>
                <w:highlight w:val="none"/>
              </w:rPr>
              <w:t>联系，以便及时处理各种环境纠纷。</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3、施工期固体废物处置及管理</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为减少回填土的堆放时间和堆放量，应精心组织施工，先后有序，后序施工点开挖的土方应作为先期施工点的回填土方，既减少了对环境的污染，又可节约工时和资金。</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2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回填方场周围应加护墙护板，防止雨水冲刷造成水土流失及堵塞排水管。</w:t>
            </w:r>
          </w:p>
          <w:p>
            <w:pPr>
              <w:pStyle w:val="29"/>
              <w:keepNext w:val="0"/>
              <w:keepLines w:val="0"/>
              <w:suppressLineNumbers w:val="0"/>
              <w:spacing w:before="0" w:beforeAutospacing="0" w:after="0" w:afterAutospacing="0" w:line="360" w:lineRule="auto"/>
              <w:ind w:left="0" w:right="0" w:firstLine="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 xml:space="preserve">    </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 3 \* GB3 \* MERGEFORMAT </w:instrText>
            </w:r>
            <w:r>
              <w:rPr>
                <w:rFonts w:hint="default" w:ascii="Times New Roman" w:hAnsi="Times New Roman" w:cs="Times New Roman"/>
                <w:color w:val="auto"/>
                <w:szCs w:val="24"/>
                <w:highlight w:val="none"/>
              </w:rPr>
              <w:fldChar w:fldCharType="separate"/>
            </w:r>
            <w:r>
              <w:rPr>
                <w:rFonts w:hint="default" w:ascii="Times New Roman" w:hAnsi="Times New Roman" w:eastAsia="宋体" w:cs="Times New Roman"/>
                <w:color w:val="auto"/>
                <w:szCs w:val="24"/>
                <w:highlight w:val="none"/>
              </w:rPr>
              <w:t>③</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主体工程施工和装饰工程施工产生的废弃物料等建筑垃圾应及时清运至市政指定的堆放场。施工单位应按照国家有关规定的有关建筑垃圾和工程渣土处置管理规定，与接纳单位签定环境卫生责任书，确保运输过程中保持路面整洁，施工单位应有专人负责，对建筑垃圾的处置实施现场管理。</w:t>
            </w:r>
          </w:p>
          <w:p>
            <w:pPr>
              <w:pStyle w:val="29"/>
              <w:keepNext w:val="0"/>
              <w:keepLines w:val="0"/>
              <w:suppressLineNumbers w:val="0"/>
              <w:spacing w:before="0" w:beforeAutospacing="0" w:after="0" w:afterAutospacing="0" w:line="360" w:lineRule="auto"/>
              <w:ind w:left="0" w:right="0" w:firstLine="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 xml:space="preserve">    </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 4 \* GB3 \* MERGEFORMAT </w:instrText>
            </w:r>
            <w:r>
              <w:rPr>
                <w:rFonts w:hint="default" w:ascii="Times New Roman" w:hAnsi="Times New Roman" w:cs="Times New Roman"/>
                <w:color w:val="auto"/>
                <w:szCs w:val="24"/>
                <w:highlight w:val="none"/>
              </w:rPr>
              <w:fldChar w:fldCharType="separate"/>
            </w:r>
            <w:r>
              <w:rPr>
                <w:rFonts w:hint="default" w:ascii="Times New Roman" w:hAnsi="Times New Roman" w:eastAsia="宋体" w:cs="Times New Roman"/>
                <w:color w:val="auto"/>
                <w:szCs w:val="24"/>
                <w:highlight w:val="none"/>
              </w:rPr>
              <w:t>④</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施工人员产生的生活垃圾均由市政环卫部门清运统一处置。</w:t>
            </w:r>
          </w:p>
          <w:p>
            <w:pPr>
              <w:pStyle w:val="6"/>
              <w:keepNext w:val="0"/>
              <w:keepLines w:val="0"/>
              <w:suppressLineNumbers w:val="0"/>
              <w:spacing w:before="0" w:beforeAutospacing="0" w:after="0" w:afterAutospacing="0"/>
              <w:ind w:left="0" w:right="0" w:firstLine="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5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⑤</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在工程竣工以后，施工单位应同时拆除各种临时施工设施，并负责将工地的剩余建筑垃圾、工程渣土处理干净，做到“工完、料尽、场地清”。建设单位应负责督促施工单位的固体废物处置清理工作。</w:t>
            </w:r>
          </w:p>
          <w:p>
            <w:pPr>
              <w:pStyle w:val="6"/>
              <w:keepNext w:val="0"/>
              <w:keepLines w:val="0"/>
              <w:suppressLineNumbers w:val="0"/>
              <w:spacing w:before="0" w:beforeAutospacing="0" w:after="0" w:afterAutospacing="0"/>
              <w:ind w:left="0" w:right="0" w:firstLine="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6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⑥</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不占用或者短时间内不占用地表应进行覆盖，防治水土流失；施工完成后应当及时进行绿化或硬化，尽快完成施工后场地恢复。</w:t>
            </w:r>
          </w:p>
          <w:p>
            <w:pPr>
              <w:pStyle w:val="6"/>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4、施工期地表水污染防治措施</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为了减小施工期间废水对周围环境的影响，</w:t>
            </w:r>
            <w:r>
              <w:rPr>
                <w:rFonts w:hint="default" w:ascii="Times New Roman" w:hAnsi="Times New Roman" w:cs="Times New Roman"/>
                <w:color w:val="auto"/>
                <w:sz w:val="24"/>
                <w:highlight w:val="none"/>
                <w:lang w:val="en-US" w:eastAsia="zh-CN"/>
              </w:rPr>
              <w:t>还需采取以下措施</w:t>
            </w:r>
            <w:r>
              <w:rPr>
                <w:rFonts w:hint="default"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严格按照施工方案进行围栏施工，施工场地进行打围作业；</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2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施工期间严禁泥沙、施工废水等进入地表水，施工废渣应当运至市政指定的废渣堆放场进行处置，不得随意倾倒，确保不对表水水体产生污染；</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3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eastAsia="宋体" w:cs="Times New Roman"/>
                <w:color w:val="auto"/>
                <w:sz w:val="24"/>
                <w:highlight w:val="none"/>
              </w:rPr>
              <w:t>③</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施工生产废水须集中收集，经沉淀池处理，可回用于车轮冲洗、设备清洗、抑尘用水等，不得外排，采取上述措施后对区域内的地表水不会产生显著影响。</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kern w:val="2"/>
                <w:sz w:val="28"/>
                <w:szCs w:val="28"/>
                <w:highlight w:val="none"/>
                <w:lang w:val="en-US" w:eastAsia="zh-CN"/>
              </w:rPr>
            </w:pPr>
            <w:r>
              <w:rPr>
                <w:rFonts w:hint="default" w:ascii="Times New Roman" w:hAnsi="Times New Roman" w:cs="Times New Roman"/>
                <w:b/>
                <w:color w:val="auto"/>
                <w:sz w:val="24"/>
                <w:highlight w:val="none"/>
              </w:rPr>
              <w:t>医院强化施工期环境管理，严格落实施工期各项环保措施，采取有效措施，尽可能减缓施工期对环境产生的影响。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90" w:type="dxa"/>
          </w:tcPr>
          <w:p>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32" w:afterLines="10" w:afterAutospacing="0" w:line="360" w:lineRule="auto"/>
              <w:ind w:left="0" w:right="0"/>
              <w:textAlignment w:val="auto"/>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lang w:val="en-US" w:eastAsia="zh-CN"/>
              </w:rPr>
              <w:t>营运</w:t>
            </w:r>
            <w:r>
              <w:rPr>
                <w:rFonts w:hint="default" w:ascii="Times New Roman" w:hAnsi="Times New Roman" w:eastAsia="黑体" w:cs="Times New Roman"/>
                <w:color w:val="auto"/>
                <w:sz w:val="28"/>
                <w:szCs w:val="28"/>
                <w:highlight w:val="none"/>
              </w:rPr>
              <w:t>阶段对环境的影响</w:t>
            </w:r>
          </w:p>
          <w:p>
            <w:pPr>
              <w:keepNext w:val="0"/>
              <w:keepLines w:val="0"/>
              <w:pageBreakBefore w:val="0"/>
              <w:widowControl w:val="0"/>
              <w:suppressLineNumbers w:val="0"/>
              <w:kinsoku/>
              <w:wordWrap/>
              <w:overflowPunct/>
              <w:topLinePunct w:val="0"/>
              <w:autoSpaceDE/>
              <w:autoSpaceDN/>
              <w:bidi w:val="0"/>
              <w:adjustRightInd/>
              <w:snapToGrid/>
              <w:spacing w:before="32" w:beforeLines="10" w:beforeAutospacing="0" w:after="63" w:afterLines="20" w:afterAutospacing="0" w:line="360" w:lineRule="auto"/>
              <w:ind w:left="0" w:right="0"/>
              <w:textAlignment w:val="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一、直线加速器</w:t>
            </w:r>
            <w:r>
              <w:rPr>
                <w:rFonts w:hint="default" w:ascii="Times New Roman" w:hAnsi="Times New Roman" w:cs="Times New Roman"/>
                <w:b/>
                <w:bCs/>
                <w:color w:val="auto"/>
                <w:sz w:val="28"/>
                <w:szCs w:val="28"/>
                <w:highlight w:val="none"/>
                <w:lang w:val="en-US" w:eastAsia="zh-CN"/>
              </w:rPr>
              <w:t>对</w:t>
            </w:r>
            <w:r>
              <w:rPr>
                <w:rFonts w:hint="default" w:ascii="Times New Roman" w:hAnsi="Times New Roman" w:cs="Times New Roman"/>
                <w:b/>
                <w:bCs/>
                <w:color w:val="auto"/>
                <w:sz w:val="28"/>
                <w:szCs w:val="28"/>
                <w:highlight w:val="none"/>
              </w:rPr>
              <w:t>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lang w:val="en-US" w:eastAsia="zh-CN"/>
              </w:rPr>
              <w:t>医院</w:t>
            </w:r>
            <w:r>
              <w:rPr>
                <w:rFonts w:hint="eastAsia" w:ascii="Times New Roman" w:hAnsi="Times New Roman" w:cs="Times New Roman"/>
                <w:color w:val="auto"/>
                <w:sz w:val="24"/>
                <w:szCs w:val="24"/>
                <w:highlight w:val="none"/>
                <w:lang w:val="en-US" w:eastAsia="zh-CN"/>
              </w:rPr>
              <w:t>拟将原放疗</w:t>
            </w:r>
            <w:r>
              <w:rPr>
                <w:rFonts w:hint="default" w:ascii="Times New Roman" w:hAnsi="Times New Roman" w:cs="Times New Roman"/>
                <w:color w:val="auto"/>
                <w:sz w:val="24"/>
                <w:szCs w:val="24"/>
                <w:highlight w:val="none"/>
                <w:lang w:val="en-US" w:eastAsia="zh-CN"/>
              </w:rPr>
              <w:t>中心直线加速器治疗室搬迁1台10MV直线加速器</w:t>
            </w:r>
            <w:r>
              <w:rPr>
                <w:rFonts w:hint="default" w:ascii="Times New Roman" w:hAnsi="Times New Roman" w:cs="Times New Roman"/>
                <w:color w:val="auto"/>
                <w:sz w:val="24"/>
                <w:szCs w:val="24"/>
                <w:highlight w:val="none"/>
              </w:rPr>
              <w:t>（属Ⅱ类射线装置，型号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ClincCX</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至</w:t>
            </w:r>
            <w:r>
              <w:rPr>
                <w:rFonts w:hint="default" w:ascii="Times New Roman" w:hAnsi="Times New Roman" w:cs="Times New Roman"/>
                <w:color w:val="auto"/>
                <w:sz w:val="24"/>
                <w:szCs w:val="24"/>
                <w:highlight w:val="none"/>
                <w:lang w:eastAsia="zh-CN"/>
              </w:rPr>
              <w:t>门急诊住院综合楼</w:t>
            </w:r>
            <w:r>
              <w:rPr>
                <w:rFonts w:hint="eastAsia" w:ascii="Times New Roman" w:hAnsi="Times New Roman" w:cs="Times New Roman"/>
                <w:color w:val="auto"/>
                <w:sz w:val="24"/>
                <w:szCs w:val="24"/>
                <w:highlight w:val="none"/>
                <w:lang w:val="en-US" w:eastAsia="zh-CN"/>
              </w:rPr>
              <w:t>配套工程（三期）</w:t>
            </w:r>
            <w:r>
              <w:rPr>
                <w:rFonts w:hint="default" w:ascii="Times New Roman" w:hAnsi="Times New Roman" w:cs="Times New Roman"/>
                <w:color w:val="auto"/>
                <w:sz w:val="24"/>
                <w:szCs w:val="24"/>
                <w:highlight w:val="none"/>
                <w:lang w:eastAsia="zh-CN"/>
              </w:rPr>
              <w:t>负三层</w:t>
            </w:r>
            <w:r>
              <w:rPr>
                <w:rFonts w:hint="default" w:ascii="Times New Roman" w:hAnsi="Times New Roman" w:cs="Times New Roman"/>
                <w:color w:val="auto"/>
                <w:sz w:val="24"/>
                <w:szCs w:val="24"/>
                <w:highlight w:val="none"/>
                <w:lang w:val="en-US" w:eastAsia="zh-CN"/>
              </w:rPr>
              <w:t>放疗中心1#加速器治疗室；</w:t>
            </w:r>
            <w:r>
              <w:rPr>
                <w:rFonts w:hint="default" w:ascii="Times New Roman" w:hAnsi="Times New Roman" w:cs="Times New Roman"/>
                <w:color w:val="auto"/>
                <w:sz w:val="24"/>
                <w:highlight w:val="none"/>
                <w:lang w:val="en-US" w:eastAsia="zh-CN"/>
              </w:rPr>
              <w:t>拟购</w:t>
            </w:r>
            <w:r>
              <w:rPr>
                <w:rFonts w:hint="default" w:ascii="Times New Roman" w:hAnsi="Times New Roman" w:cs="Times New Roman"/>
                <w:color w:val="auto"/>
                <w:sz w:val="24"/>
                <w:szCs w:val="24"/>
                <w:highlight w:val="none"/>
                <w:lang w:val="en-US" w:eastAsia="zh-CN"/>
              </w:rPr>
              <w:t>1台10MV医用直线加速器于3#加速器治疗室，两台10MV直线加速器</w:t>
            </w:r>
            <w:r>
              <w:rPr>
                <w:rFonts w:hint="default" w:ascii="Times New Roman" w:hAnsi="Times New Roman" w:cs="Times New Roman"/>
                <w:color w:val="auto"/>
                <w:sz w:val="24"/>
                <w:highlight w:val="none"/>
              </w:rPr>
              <w:t>治疗时，1m处剂量率</w:t>
            </w:r>
            <w:r>
              <w:rPr>
                <w:rFonts w:hint="default" w:ascii="Times New Roman" w:hAnsi="Times New Roman" w:cs="Times New Roman"/>
                <w:color w:val="auto"/>
                <w:sz w:val="24"/>
                <w:highlight w:val="none"/>
                <w:lang w:val="en-US" w:eastAsia="zh-CN"/>
              </w:rPr>
              <w:t>均</w:t>
            </w:r>
            <w:r>
              <w:rPr>
                <w:rFonts w:hint="default" w:ascii="Times New Roman" w:hAnsi="Times New Roman" w:cs="Times New Roman"/>
                <w:color w:val="auto"/>
                <w:sz w:val="24"/>
                <w:highlight w:val="none"/>
              </w:rPr>
              <w:t>为6Gy/min</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电子</w:t>
            </w:r>
            <w:r>
              <w:rPr>
                <w:rFonts w:hint="default" w:ascii="Times New Roman" w:hAnsi="Times New Roman" w:cs="Times New Roman"/>
                <w:color w:val="auto"/>
                <w:sz w:val="24"/>
                <w:highlight w:val="none"/>
                <w:lang w:val="en-US" w:eastAsia="zh-CN"/>
              </w:rPr>
              <w:t>线</w:t>
            </w:r>
            <w:r>
              <w:rPr>
                <w:rFonts w:hint="default" w:ascii="Times New Roman" w:hAnsi="Times New Roman" w:cs="Times New Roman"/>
                <w:color w:val="auto"/>
                <w:sz w:val="24"/>
                <w:highlight w:val="none"/>
              </w:rPr>
              <w:t>最大能量</w:t>
            </w:r>
            <w:r>
              <w:rPr>
                <w:rFonts w:hint="default" w:ascii="Times New Roman" w:hAnsi="Times New Roman" w:cs="Times New Roman"/>
                <w:color w:val="auto"/>
                <w:sz w:val="24"/>
                <w:highlight w:val="none"/>
                <w:lang w:val="en-US" w:eastAsia="zh-CN"/>
              </w:rPr>
              <w:t>均</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21MeV</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highlight w:val="none"/>
                <w:lang w:val="en-US" w:eastAsia="zh-CN"/>
              </w:rPr>
              <w:t>拟购</w:t>
            </w:r>
            <w:r>
              <w:rPr>
                <w:rFonts w:hint="default" w:ascii="Times New Roman" w:hAnsi="Times New Roman" w:cs="Times New Roman"/>
                <w:color w:val="auto"/>
                <w:sz w:val="24"/>
                <w:szCs w:val="24"/>
                <w:highlight w:val="none"/>
                <w:lang w:val="en-US" w:eastAsia="zh-CN"/>
              </w:rPr>
              <w:t>1台15MV医用直线加速器于2#加速器治疗室，15MV直线加速器</w:t>
            </w:r>
            <w:r>
              <w:rPr>
                <w:rFonts w:hint="default" w:ascii="Times New Roman" w:hAnsi="Times New Roman" w:cs="Times New Roman"/>
                <w:color w:val="auto"/>
                <w:sz w:val="24"/>
                <w:highlight w:val="none"/>
              </w:rPr>
              <w:t>治疗时</w:t>
            </w:r>
            <w:r>
              <w:rPr>
                <w:rFonts w:hint="default" w:ascii="Times New Roman" w:hAnsi="Times New Roman" w:cs="Times New Roman"/>
                <w:color w:val="auto"/>
                <w:sz w:val="24"/>
                <w:szCs w:val="24"/>
                <w:highlight w:val="none"/>
              </w:rPr>
              <w:t>1m处剂量率为</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Gy/min</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电子束最大能量为22MeV</w:t>
            </w:r>
            <w:r>
              <w:rPr>
                <w:rFonts w:hint="default"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10MV</w:t>
            </w:r>
            <w:r>
              <w:rPr>
                <w:rFonts w:hint="default" w:ascii="Times New Roman" w:hAnsi="Times New Roman" w:cs="Times New Roman"/>
                <w:color w:val="auto"/>
                <w:sz w:val="24"/>
                <w:highlight w:val="none"/>
              </w:rPr>
              <w:t>医用直线加速器属于Ⅱ类射线装置，在营运中的主要危害有X射线、电子</w:t>
            </w:r>
            <w:r>
              <w:rPr>
                <w:rFonts w:hint="default" w:ascii="Times New Roman" w:hAnsi="Times New Roman" w:cs="Times New Roman"/>
                <w:color w:val="auto"/>
                <w:sz w:val="24"/>
                <w:highlight w:val="none"/>
                <w:lang w:val="en-US" w:eastAsia="zh-CN"/>
              </w:rPr>
              <w:t>线</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15MV</w:t>
            </w:r>
            <w:r>
              <w:rPr>
                <w:rFonts w:hint="default" w:ascii="Times New Roman" w:hAnsi="Times New Roman" w:cs="Times New Roman"/>
                <w:color w:val="auto"/>
                <w:sz w:val="24"/>
                <w:highlight w:val="none"/>
              </w:rPr>
              <w:t>医用直线加速器</w:t>
            </w:r>
            <w:r>
              <w:rPr>
                <w:rFonts w:hint="default" w:ascii="Times New Roman" w:hAnsi="Times New Roman" w:cs="Times New Roman"/>
                <w:color w:val="auto"/>
                <w:sz w:val="24"/>
                <w:szCs w:val="24"/>
                <w:highlight w:val="none"/>
              </w:rPr>
              <w:t>属于Ⅱ类射线装置，在营运中的主要危害有X射线、电子</w:t>
            </w:r>
            <w:r>
              <w:rPr>
                <w:rFonts w:hint="default" w:ascii="Times New Roman" w:hAnsi="Times New Roman" w:cs="Times New Roman"/>
                <w:color w:val="auto"/>
                <w:sz w:val="24"/>
                <w:szCs w:val="24"/>
                <w:highlight w:val="none"/>
                <w:lang w:val="en-US" w:eastAsia="zh-CN"/>
              </w:rPr>
              <w:t>线、中子、感生放射性</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lang w:val="en-US" w:eastAsia="zh-CN"/>
              </w:rPr>
              <w:t>治疗室内</w:t>
            </w:r>
            <w:r>
              <w:rPr>
                <w:rFonts w:hint="default" w:ascii="Times New Roman" w:hAnsi="Times New Roman" w:cs="Times New Roman"/>
                <w:color w:val="auto"/>
                <w:sz w:val="24"/>
                <w:highlight w:val="none"/>
              </w:rPr>
              <w:t>的空气还会受X射线作用电离而产生臭氧和氮氧化物，氮氧化物的产量仅为臭氧的十分之一，故本报告表中不对其进行评述。此外，采用排风机强制换气，产生噪声。</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下面就10MV直线加速器运营中产生的X射线、电子</w:t>
            </w:r>
            <w:r>
              <w:rPr>
                <w:rFonts w:hint="default" w:ascii="Times New Roman" w:hAnsi="Times New Roman" w:cs="Times New Roman"/>
                <w:color w:val="auto"/>
                <w:sz w:val="24"/>
                <w:highlight w:val="none"/>
                <w:lang w:val="en-US" w:eastAsia="zh-CN"/>
              </w:rPr>
              <w:t>线</w:t>
            </w:r>
            <w:r>
              <w:rPr>
                <w:rFonts w:hint="default" w:ascii="Times New Roman" w:hAnsi="Times New Roman" w:cs="Times New Roman"/>
                <w:color w:val="auto"/>
                <w:sz w:val="24"/>
                <w:highlight w:val="none"/>
              </w:rPr>
              <w:t>、臭氧和噪声</w:t>
            </w:r>
            <w:r>
              <w:rPr>
                <w:rFonts w:hint="default" w:ascii="Times New Roman" w:hAnsi="Times New Roman" w:cs="Times New Roman"/>
                <w:color w:val="auto"/>
                <w:sz w:val="24"/>
                <w:highlight w:val="none"/>
                <w:lang w:val="en-US" w:eastAsia="zh-CN"/>
              </w:rPr>
              <w:t>及15MV</w:t>
            </w:r>
            <w:r>
              <w:rPr>
                <w:rFonts w:hint="default" w:ascii="Times New Roman" w:hAnsi="Times New Roman" w:cs="Times New Roman"/>
                <w:color w:val="auto"/>
                <w:sz w:val="24"/>
                <w:highlight w:val="none"/>
              </w:rPr>
              <w:t>医用直线加速器</w:t>
            </w:r>
            <w:r>
              <w:rPr>
                <w:rFonts w:hint="default" w:ascii="Times New Roman" w:hAnsi="Times New Roman" w:cs="Times New Roman"/>
                <w:color w:val="auto"/>
                <w:sz w:val="24"/>
                <w:szCs w:val="24"/>
                <w:highlight w:val="none"/>
                <w:lang w:val="en-US" w:eastAsia="zh-CN"/>
              </w:rPr>
              <w:t>运营中产生的</w:t>
            </w:r>
            <w:r>
              <w:rPr>
                <w:rFonts w:hint="default" w:ascii="Times New Roman" w:hAnsi="Times New Roman" w:cs="Times New Roman"/>
                <w:color w:val="auto"/>
                <w:sz w:val="24"/>
                <w:szCs w:val="24"/>
                <w:highlight w:val="none"/>
              </w:rPr>
              <w:t>X射线、电子</w:t>
            </w:r>
            <w:r>
              <w:rPr>
                <w:rFonts w:hint="default" w:ascii="Times New Roman" w:hAnsi="Times New Roman" w:cs="Times New Roman"/>
                <w:color w:val="auto"/>
                <w:sz w:val="24"/>
                <w:szCs w:val="24"/>
                <w:highlight w:val="none"/>
                <w:lang w:val="en-US" w:eastAsia="zh-CN"/>
              </w:rPr>
              <w:t>线、中子、感生放射性、臭氧等</w:t>
            </w:r>
            <w:r>
              <w:rPr>
                <w:rFonts w:hint="default" w:ascii="Times New Roman" w:hAnsi="Times New Roman" w:cs="Times New Roman"/>
                <w:color w:val="auto"/>
                <w:sz w:val="24"/>
                <w:highlight w:val="none"/>
              </w:rPr>
              <w:t>的影响进行预测评价。</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lang w:val="en-US" w:eastAsia="zh-CN"/>
              </w:rPr>
              <w:t>1、</w:t>
            </w:r>
            <w:r>
              <w:rPr>
                <w:rFonts w:hint="default" w:ascii="Times New Roman" w:hAnsi="Times New Roman" w:cs="Times New Roman"/>
                <w:b/>
                <w:color w:val="auto"/>
                <w:kern w:val="0"/>
                <w:sz w:val="24"/>
                <w:szCs w:val="24"/>
                <w:highlight w:val="none"/>
              </w:rPr>
              <w:t>10MV加速器X射线环境影响分析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lang w:val="en-US" w:eastAsia="zh-CN"/>
              </w:rPr>
              <w:t>1</w:t>
            </w: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lang w:val="en-US" w:eastAsia="zh-CN"/>
              </w:rPr>
              <w:t>1#、3#</w:t>
            </w:r>
            <w:r>
              <w:rPr>
                <w:rFonts w:hint="default" w:ascii="Times New Roman" w:hAnsi="Times New Roman" w:cs="Times New Roman"/>
                <w:b/>
                <w:color w:val="auto"/>
                <w:kern w:val="0"/>
                <w:sz w:val="24"/>
                <w:szCs w:val="24"/>
                <w:highlight w:val="none"/>
              </w:rPr>
              <w:t>主屏蔽区宽度校核</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10MV直线</w:t>
            </w:r>
            <w:r>
              <w:rPr>
                <w:rFonts w:hint="default" w:ascii="Times New Roman" w:hAnsi="Times New Roman" w:cs="Times New Roman"/>
                <w:bCs/>
                <w:color w:val="auto"/>
                <w:sz w:val="24"/>
                <w:highlight w:val="none"/>
                <w:lang w:eastAsia="zh-CN"/>
              </w:rPr>
              <w:t>加速器治疗室</w:t>
            </w:r>
            <w:r>
              <w:rPr>
                <w:rFonts w:hint="default" w:ascii="Times New Roman" w:hAnsi="Times New Roman" w:cs="Times New Roman"/>
                <w:bCs/>
                <w:color w:val="auto"/>
                <w:sz w:val="24"/>
                <w:highlight w:val="none"/>
              </w:rPr>
              <w:t>，主屏蔽区包括屋顶及墙体的部分位置，加速器主射线的最大出束角度为28°。</w:t>
            </w:r>
            <w:r>
              <w:rPr>
                <w:rFonts w:hint="default" w:ascii="Times New Roman" w:hAnsi="Times New Roman" w:cs="Times New Roman"/>
                <w:bCs/>
                <w:color w:val="auto"/>
                <w:sz w:val="24"/>
                <w:highlight w:val="none"/>
                <w:lang w:val="en-US" w:eastAsia="zh-CN"/>
              </w:rPr>
              <w:t>直线加速器1、直线加速器2</w:t>
            </w:r>
            <w:r>
              <w:rPr>
                <w:rFonts w:hint="default" w:ascii="Times New Roman" w:hAnsi="Times New Roman" w:cs="Times New Roman"/>
                <w:bCs/>
                <w:color w:val="auto"/>
                <w:sz w:val="24"/>
                <w:highlight w:val="none"/>
              </w:rPr>
              <w:t>主射线束主屏蔽区示意图见图11-1，主屏蔽宽度校核结果见表11-1。</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rPr>
              <w:t>根据《放射治疗机房的辐射屏蔽规范第2部分</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电子直线加速器放射治疗机房》（GBZ/T201.2-201l）</w:t>
            </w:r>
            <w:r>
              <w:rPr>
                <w:rFonts w:hint="default" w:ascii="Times New Roman" w:hAnsi="Times New Roman" w:cs="Times New Roman"/>
                <w:bCs/>
                <w:color w:val="auto"/>
                <w:sz w:val="24"/>
                <w:highlight w:val="none"/>
                <w:lang w:val="en-US" w:eastAsia="zh-CN"/>
              </w:rPr>
              <w:t>附录D，加速器主屏蔽区宽度计算分为以下两种情况，对应的主屏蔽半宽度Y的计算公式如下：</w:t>
            </w:r>
          </w:p>
          <w:tbl>
            <w:tblPr>
              <w:tblStyle w:val="1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87"/>
              <w:gridCol w:w="43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387" w:type="dxa"/>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highlight w:val="none"/>
                      <w:vertAlign w:val="baseline"/>
                      <w:lang w:val="en-US" w:eastAsia="zh-CN"/>
                    </w:rPr>
                  </w:pPr>
                  <w:r>
                    <w:rPr>
                      <w:rFonts w:hint="default" w:ascii="Times New Roman" w:hAnsi="Times New Roman" w:cs="Times New Roman"/>
                      <w:color w:val="auto"/>
                      <w:kern w:val="2"/>
                      <w:highlight w:val="none"/>
                    </w:rPr>
                    <w:drawing>
                      <wp:inline distT="0" distB="0" distL="114300" distR="114300">
                        <wp:extent cx="2172970" cy="2110740"/>
                        <wp:effectExtent l="9525" t="9525" r="27305" b="13335"/>
                        <wp:docPr id="6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2"/>
                                <pic:cNvPicPr>
                                  <a:picLocks noChangeAspect="1"/>
                                </pic:cNvPicPr>
                              </pic:nvPicPr>
                              <pic:blipFill>
                                <a:blip r:embed="rId15"/>
                                <a:stretch>
                                  <a:fillRect/>
                                </a:stretch>
                              </pic:blipFill>
                              <pic:spPr>
                                <a:xfrm>
                                  <a:off x="0" y="0"/>
                                  <a:ext cx="2172970" cy="2110740"/>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4387" w:type="dxa"/>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highlight w:val="none"/>
                      <w:vertAlign w:val="baseline"/>
                      <w:lang w:val="en-US" w:eastAsia="zh-CN"/>
                    </w:rPr>
                  </w:pPr>
                  <w:r>
                    <w:rPr>
                      <w:rFonts w:hint="default" w:ascii="Times New Roman" w:hAnsi="Times New Roman" w:cs="Times New Roman"/>
                      <w:color w:val="auto"/>
                      <w:kern w:val="2"/>
                      <w:highlight w:val="none"/>
                    </w:rPr>
                    <w:drawing>
                      <wp:inline distT="0" distB="0" distL="114300" distR="114300">
                        <wp:extent cx="2103755" cy="2109470"/>
                        <wp:effectExtent l="9525" t="9525" r="20320" b="14605"/>
                        <wp:docPr id="6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3"/>
                                <pic:cNvPicPr>
                                  <a:picLocks noChangeAspect="1"/>
                                </pic:cNvPicPr>
                              </pic:nvPicPr>
                              <pic:blipFill>
                                <a:blip r:embed="rId16"/>
                                <a:stretch>
                                  <a:fillRect/>
                                </a:stretch>
                              </pic:blipFill>
                              <pic:spPr>
                                <a:xfrm>
                                  <a:off x="0" y="0"/>
                                  <a:ext cx="2103755" cy="2109470"/>
                                </a:xfrm>
                                <a:prstGeom prst="rect">
                                  <a:avLst/>
                                </a:prstGeom>
                                <a:noFill/>
                                <a:ln w="9525" cap="flat" cmpd="sng">
                                  <a:solidFill>
                                    <a:srgbClr val="000000"/>
                                  </a:solidFill>
                                  <a:prstDash val="solid"/>
                                  <a:miter/>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7" w:type="dxa"/>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主屏蔽区内凸</w:t>
                  </w:r>
                </w:p>
              </w:tc>
              <w:tc>
                <w:tcPr>
                  <w:tcW w:w="4387" w:type="dxa"/>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主屏蔽区外凸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7" w:type="dxa"/>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position w:val="-10"/>
                      <w:highlight w:val="none"/>
                      <w:lang w:val="en-US" w:eastAsia="zh-CN"/>
                    </w:rPr>
                    <w:object>
                      <v:shape id="_x0000_i1025" o:spt="75" type="#_x0000_t75" style="height:17pt;width:139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tc>
              <w:tc>
                <w:tcPr>
                  <w:tcW w:w="4387" w:type="dxa"/>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position w:val="-10"/>
                      <w:highlight w:val="none"/>
                      <w:lang w:val="en-US" w:eastAsia="zh-CN"/>
                    </w:rPr>
                    <w:object>
                      <v:shape id="_x0000_i1026" o:spt="75" type="#_x0000_t75" style="height:17pt;width:162pt;" o:ole="t" filled="f" o:preferrelative="t" stroked="f" coordsize="21600,21600">
                        <v:path/>
                        <v:fill on="f" focussize="0,0"/>
                        <v:stroke on="f"/>
                        <v:imagedata r:id="rId20" o:title=""/>
                        <o:lock v:ext="edit" aspectratio="t"/>
                        <w10:wrap type="none"/>
                        <w10:anchorlock/>
                      </v:shape>
                      <o:OLEObject Type="Embed" ProgID="Equation.KSEE3" ShapeID="_x0000_i1026" DrawAspect="Content" ObjectID="_1468075726" r:id="rId19">
                        <o:LockedField>false</o:LockedField>
                      </o:OLEObject>
                    </w:object>
                  </w:r>
                </w:p>
              </w:tc>
            </w:tr>
          </w:tbl>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highlight w:val="none"/>
              </w:rPr>
            </w:pPr>
            <w:r>
              <w:rPr>
                <w:rFonts w:hint="default" w:ascii="Times New Roman" w:hAnsi="Times New Roman" w:cs="Times New Roman"/>
                <w:color w:val="auto"/>
                <w:kern w:val="2"/>
                <w:sz w:val="24"/>
                <w:highlight w:val="none"/>
                <w:lang w:val="en-US" w:eastAsia="zh-CN"/>
              </w:rPr>
              <w:t>本项目中，西南部和东北部的主屏蔽墙体均为内凸，顶部主屏蔽为外凸，因此对应的</w:t>
            </w:r>
            <w:r>
              <w:rPr>
                <w:rFonts w:hint="default" w:ascii="Times New Roman" w:hAnsi="Times New Roman" w:cs="Times New Roman"/>
                <w:color w:val="auto"/>
                <w:kern w:val="2"/>
                <w:sz w:val="24"/>
                <w:highlight w:val="none"/>
              </w:rPr>
              <w:t>主屏蔽区宽度校核</w:t>
            </w:r>
            <w:r>
              <w:rPr>
                <w:rFonts w:hint="default" w:ascii="Times New Roman" w:hAnsi="Times New Roman" w:cs="Times New Roman"/>
                <w:color w:val="auto"/>
                <w:kern w:val="2"/>
                <w:sz w:val="24"/>
                <w:highlight w:val="none"/>
                <w:lang w:val="en-US" w:eastAsia="zh-CN"/>
              </w:rPr>
              <w:t>见表11-1。</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401570" cy="1587500"/>
                  <wp:effectExtent l="0" t="0" r="17780" b="12700"/>
                  <wp:docPr id="7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7"/>
                          <pic:cNvPicPr>
                            <a:picLocks noChangeAspect="1"/>
                          </pic:cNvPicPr>
                        </pic:nvPicPr>
                        <pic:blipFill>
                          <a:blip r:embed="rId21"/>
                          <a:stretch>
                            <a:fillRect/>
                          </a:stretch>
                        </pic:blipFill>
                        <pic:spPr>
                          <a:xfrm>
                            <a:off x="0" y="0"/>
                            <a:ext cx="2401570" cy="158750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color w:val="auto"/>
                <w:highlight w:val="none"/>
              </w:rPr>
              <w:drawing>
                <wp:inline distT="0" distB="0" distL="114300" distR="114300">
                  <wp:extent cx="2077720" cy="2162810"/>
                  <wp:effectExtent l="0" t="0" r="17780" b="8890"/>
                  <wp:docPr id="7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5"/>
                          <pic:cNvPicPr>
                            <a:picLocks noChangeAspect="1"/>
                          </pic:cNvPicPr>
                        </pic:nvPicPr>
                        <pic:blipFill>
                          <a:blip r:embed="rId22"/>
                          <a:stretch>
                            <a:fillRect/>
                          </a:stretch>
                        </pic:blipFill>
                        <pic:spPr>
                          <a:xfrm>
                            <a:off x="0" y="0"/>
                            <a:ext cx="2077720" cy="2162810"/>
                          </a:xfrm>
                          <a:prstGeom prst="rect">
                            <a:avLst/>
                          </a:prstGeom>
                          <a:noFill/>
                          <a:ln>
                            <a:noFill/>
                          </a:ln>
                        </pic:spPr>
                      </pic:pic>
                    </a:graphicData>
                  </a:graphic>
                </wp:inline>
              </w:drawing>
            </w:r>
            <w:r>
              <w:rPr>
                <w:rFonts w:hint="default" w:ascii="Times New Roman" w:hAnsi="Times New Roman" w:cs="Times New Roman"/>
                <w:color w:val="auto"/>
                <w:highlight w:val="none"/>
              </w:rPr>
              <w:drawing>
                <wp:inline distT="0" distB="0" distL="114300" distR="114300">
                  <wp:extent cx="1945005" cy="2148205"/>
                  <wp:effectExtent l="0" t="0" r="17145" b="4445"/>
                  <wp:docPr id="7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6"/>
                          <pic:cNvPicPr>
                            <a:picLocks noChangeAspect="1"/>
                          </pic:cNvPicPr>
                        </pic:nvPicPr>
                        <pic:blipFill>
                          <a:blip r:embed="rId23"/>
                          <a:stretch>
                            <a:fillRect/>
                          </a:stretch>
                        </pic:blipFill>
                        <pic:spPr>
                          <a:xfrm>
                            <a:off x="0" y="0"/>
                            <a:ext cx="1945005" cy="2148205"/>
                          </a:xfrm>
                          <a:prstGeom prst="rect">
                            <a:avLst/>
                          </a:prstGeom>
                          <a:noFill/>
                          <a:ln>
                            <a:noFill/>
                          </a:ln>
                        </pic:spPr>
                      </pic:pic>
                    </a:graphicData>
                  </a:graphic>
                </wp:inline>
              </w:drawing>
            </w:r>
            <w:r>
              <w:rPr>
                <w:rFonts w:hint="default" w:ascii="Times New Roman" w:hAnsi="Times New Roman" w:eastAsia="宋体" w:cs="Times New Roman"/>
                <w:b/>
                <w:bCs/>
                <w:color w:val="auto"/>
                <w:kern w:val="0"/>
                <w:sz w:val="21"/>
                <w:szCs w:val="21"/>
                <w:highlight w:val="none"/>
              </w:rPr>
              <w:t xml:space="preserve"> </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highlight w:val="none"/>
              </w:rPr>
            </w:pPr>
            <w:r>
              <w:rPr>
                <w:rFonts w:hint="default" w:ascii="Times New Roman" w:hAnsi="Times New Roman" w:eastAsia="宋体" w:cs="Times New Roman"/>
                <w:b/>
                <w:bCs/>
                <w:color w:val="auto"/>
                <w:sz w:val="21"/>
                <w:szCs w:val="21"/>
                <w:highlight w:val="none"/>
              </w:rPr>
              <w:t>图11-</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本项目</w:t>
            </w:r>
            <w:r>
              <w:rPr>
                <w:rFonts w:hint="default" w:ascii="Times New Roman" w:hAnsi="Times New Roman"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rPr>
              <w:t>主射屏蔽范围计算示意图</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剖面图均一致</w:t>
            </w:r>
            <w:r>
              <w:rPr>
                <w:rFonts w:hint="default" w:ascii="Times New Roman" w:hAnsi="Times New Roman" w:cs="Times New Roman"/>
                <w:b/>
                <w:bCs/>
                <w:color w:val="auto"/>
                <w:sz w:val="21"/>
                <w:szCs w:val="21"/>
                <w:highlight w:val="none"/>
                <w:lang w:eastAsia="zh-CN"/>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1</w:t>
            </w:r>
            <w:r>
              <w:rPr>
                <w:rFonts w:hint="default" w:ascii="Times New Roman" w:hAnsi="Times New Roman" w:cs="Times New Roman"/>
                <w:b/>
                <w:color w:val="auto"/>
                <w:sz w:val="21"/>
                <w:szCs w:val="21"/>
                <w:highlight w:val="none"/>
              </w:rPr>
              <w:t xml:space="preserve">  本项目</w:t>
            </w:r>
            <w:r>
              <w:rPr>
                <w:rFonts w:hint="default" w:ascii="Times New Roman" w:hAnsi="Times New Roman" w:cs="Times New Roman"/>
                <w:b/>
                <w:bCs/>
                <w:color w:val="auto"/>
                <w:sz w:val="21"/>
                <w:szCs w:val="21"/>
                <w:highlight w:val="none"/>
                <w:lang w:val="en-US" w:eastAsia="zh-CN"/>
              </w:rPr>
              <w:t>1#、3#</w:t>
            </w:r>
            <w:r>
              <w:rPr>
                <w:rFonts w:hint="default" w:ascii="Times New Roman" w:hAnsi="Times New Roman" w:cs="Times New Roman"/>
                <w:b/>
                <w:color w:val="auto"/>
                <w:sz w:val="21"/>
                <w:szCs w:val="21"/>
                <w:highlight w:val="none"/>
              </w:rPr>
              <w:t>主屏蔽区宽度校核表</w:t>
            </w:r>
          </w:p>
          <w:tbl>
            <w:tblPr>
              <w:tblStyle w:val="17"/>
              <w:tblW w:w="88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4"/>
              <w:gridCol w:w="3194"/>
              <w:gridCol w:w="3389"/>
              <w:gridCol w:w="1239"/>
              <w:gridCol w:w="3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694"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治疗室</w:t>
                  </w:r>
                </w:p>
              </w:tc>
              <w:tc>
                <w:tcPr>
                  <w:tcW w:w="3194"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焦点距主屏蔽区距离(m)</w:t>
                  </w:r>
                </w:p>
              </w:tc>
              <w:tc>
                <w:tcPr>
                  <w:tcW w:w="3389"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主屏蔽区宽度计算值(m)</w:t>
                  </w:r>
                </w:p>
              </w:tc>
              <w:tc>
                <w:tcPr>
                  <w:tcW w:w="1239"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主屏蔽区宽度设计值(m)</w:t>
                  </w:r>
                </w:p>
              </w:tc>
              <w:tc>
                <w:tcPr>
                  <w:tcW w:w="341"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8" w:hRule="atLeast"/>
                <w:jc w:val="center"/>
              </w:trPr>
              <w:tc>
                <w:tcPr>
                  <w:tcW w:w="694" w:type="dxa"/>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w:t>
                  </w:r>
                </w:p>
              </w:tc>
              <w:tc>
                <w:tcPr>
                  <w:tcW w:w="3194" w:type="dxa"/>
                  <w:tcBorders>
                    <w:top w:val="single" w:color="auto" w:sz="12"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距</w:t>
                  </w:r>
                  <w:r>
                    <w:rPr>
                      <w:rFonts w:hint="default" w:ascii="Times New Roman" w:hAnsi="Times New Roman" w:cs="Times New Roman"/>
                      <w:color w:val="auto"/>
                      <w:szCs w:val="21"/>
                      <w:highlight w:val="none"/>
                      <w:lang w:val="en-US" w:eastAsia="zh-CN"/>
                    </w:rPr>
                    <w:t>西南部</w:t>
                  </w:r>
                  <w:r>
                    <w:rPr>
                      <w:rFonts w:hint="default" w:ascii="Times New Roman" w:hAnsi="Times New Roman" w:cs="Times New Roman"/>
                      <w:color w:val="auto"/>
                      <w:szCs w:val="21"/>
                      <w:highlight w:val="none"/>
                    </w:rPr>
                    <w:t>主屏蔽墙体</w:t>
                  </w:r>
                  <w:r>
                    <w:rPr>
                      <w:rFonts w:hint="default" w:ascii="Times New Roman" w:hAnsi="Times New Roman" w:cs="Times New Roman"/>
                      <w:color w:val="auto"/>
                      <w:szCs w:val="21"/>
                      <w:highlight w:val="none"/>
                      <w:lang w:val="en-US" w:eastAsia="zh-CN"/>
                    </w:rPr>
                    <w:t>3.75</w:t>
                  </w:r>
                </w:p>
              </w:tc>
              <w:tc>
                <w:tcPr>
                  <w:tcW w:w="3389" w:type="dxa"/>
                  <w:tcBorders>
                    <w:top w:val="single" w:color="auto" w:sz="12"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eastAsia="黑体" w:cs="Times New Roman"/>
                      <w:color w:val="auto"/>
                      <w:szCs w:val="21"/>
                      <w:highlight w:val="none"/>
                    </w:rPr>
                    <w:t>2</w:t>
                  </w:r>
                  <w:r>
                    <w:rPr>
                      <w:rFonts w:hint="default" w:ascii="Times New Roman" w:hAnsi="Times New Roman" w:eastAsia="黑体" w:cs="Times New Roman"/>
                      <w:color w:val="auto"/>
                      <w:kern w:val="0"/>
                      <w:szCs w:val="21"/>
                      <w:highlight w:val="none"/>
                    </w:rPr>
                    <w:t>×</w:t>
                  </w:r>
                  <w:r>
                    <w:rPr>
                      <w:rFonts w:hint="default" w:ascii="Times New Roman" w:hAnsi="Times New Roman" w:eastAsia="黑体" w:cs="Times New Roman"/>
                      <w:color w:val="auto"/>
                      <w:kern w:val="0"/>
                      <w:szCs w:val="21"/>
                      <w:highlight w:val="none"/>
                      <w:lang w:val="en-US" w:eastAsia="zh-CN"/>
                    </w:rPr>
                    <w:t>[</w:t>
                  </w:r>
                  <w:r>
                    <w:rPr>
                      <w:rFonts w:hint="default" w:ascii="Times New Roman" w:hAnsi="Times New Roman" w:eastAsia="黑体" w:cs="Times New Roman"/>
                      <w:color w:val="auto"/>
                      <w:kern w:val="0"/>
                      <w:szCs w:val="21"/>
                      <w:highlight w:val="none"/>
                    </w:rPr>
                    <w:t>(</w:t>
                  </w:r>
                  <w:r>
                    <w:rPr>
                      <w:rFonts w:hint="default" w:ascii="Times New Roman" w:hAnsi="Times New Roman" w:eastAsia="黑体" w:cs="Times New Roman"/>
                      <w:color w:val="auto"/>
                      <w:kern w:val="0"/>
                      <w:szCs w:val="21"/>
                      <w:highlight w:val="none"/>
                      <w:lang w:val="en-US" w:eastAsia="zh-CN"/>
                    </w:rPr>
                    <w:t>1+3.75+1.3)</w:t>
                  </w:r>
                  <w:r>
                    <w:rPr>
                      <w:rFonts w:hint="default" w:ascii="Times New Roman" w:hAnsi="Times New Roman" w:eastAsia="黑体" w:cs="Times New Roman"/>
                      <w:color w:val="auto"/>
                      <w:kern w:val="0"/>
                      <w:szCs w:val="21"/>
                      <w:highlight w:val="none"/>
                    </w:rPr>
                    <w:t>tg14°+0.3</w:t>
                  </w:r>
                  <w:r>
                    <w:rPr>
                      <w:rFonts w:hint="default" w:ascii="Times New Roman" w:hAnsi="Times New Roman" w:eastAsia="黑体" w:cs="Times New Roman"/>
                      <w:color w:val="auto"/>
                      <w:kern w:val="0"/>
                      <w:szCs w:val="21"/>
                      <w:highlight w:val="none"/>
                      <w:lang w:val="en-US" w:eastAsia="zh-CN"/>
                    </w:rPr>
                    <w:t>]</w:t>
                  </w:r>
                  <w:r>
                    <w:rPr>
                      <w:rFonts w:hint="default" w:ascii="Times New Roman" w:hAnsi="Times New Roman" w:eastAsia="黑体" w:cs="Times New Roman"/>
                      <w:color w:val="auto"/>
                      <w:kern w:val="0"/>
                      <w:szCs w:val="21"/>
                      <w:highlight w:val="none"/>
                    </w:rPr>
                    <w:t>=3.</w:t>
                  </w:r>
                  <w:r>
                    <w:rPr>
                      <w:rFonts w:hint="default" w:ascii="Times New Roman" w:hAnsi="Times New Roman" w:eastAsia="黑体" w:cs="Times New Roman"/>
                      <w:color w:val="auto"/>
                      <w:kern w:val="0"/>
                      <w:szCs w:val="21"/>
                      <w:highlight w:val="none"/>
                      <w:lang w:val="en-US" w:eastAsia="zh-CN"/>
                    </w:rPr>
                    <w:t>61</w:t>
                  </w:r>
                </w:p>
              </w:tc>
              <w:tc>
                <w:tcPr>
                  <w:tcW w:w="1239" w:type="dxa"/>
                  <w:tcBorders>
                    <w:top w:val="single" w:color="auto" w:sz="12"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4.00</w:t>
                  </w:r>
                </w:p>
              </w:tc>
              <w:tc>
                <w:tcPr>
                  <w:tcW w:w="341" w:type="dxa"/>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6" w:hRule="atLeast"/>
                <w:jc w:val="center"/>
              </w:trPr>
              <w:tc>
                <w:tcPr>
                  <w:tcW w:w="694"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rPr>
                  </w:pPr>
                </w:p>
              </w:tc>
              <w:tc>
                <w:tcPr>
                  <w:tcW w:w="3194"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距</w:t>
                  </w:r>
                  <w:r>
                    <w:rPr>
                      <w:rFonts w:hint="default" w:ascii="Times New Roman" w:hAnsi="Times New Roman" w:cs="Times New Roman"/>
                      <w:color w:val="auto"/>
                      <w:szCs w:val="21"/>
                      <w:highlight w:val="none"/>
                      <w:lang w:val="en-US" w:eastAsia="zh-CN"/>
                    </w:rPr>
                    <w:t>东北部</w:t>
                  </w:r>
                  <w:r>
                    <w:rPr>
                      <w:rFonts w:hint="default" w:ascii="Times New Roman" w:hAnsi="Times New Roman" w:cs="Times New Roman"/>
                      <w:color w:val="auto"/>
                      <w:szCs w:val="21"/>
                      <w:highlight w:val="none"/>
                    </w:rPr>
                    <w:t>主屏蔽墙体</w:t>
                  </w:r>
                  <w:r>
                    <w:rPr>
                      <w:rFonts w:hint="default" w:ascii="Times New Roman" w:hAnsi="Times New Roman" w:cs="Times New Roman"/>
                      <w:color w:val="auto"/>
                      <w:szCs w:val="21"/>
                      <w:highlight w:val="none"/>
                      <w:lang w:val="en-US" w:eastAsia="zh-CN"/>
                    </w:rPr>
                    <w:t>3.75</w:t>
                  </w:r>
                </w:p>
              </w:tc>
              <w:tc>
                <w:tcPr>
                  <w:tcW w:w="338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rPr>
                    <w:t>2</w:t>
                  </w:r>
                  <w:r>
                    <w:rPr>
                      <w:rFonts w:hint="default" w:ascii="Times New Roman" w:hAnsi="Times New Roman" w:cs="Times New Roman"/>
                      <w:color w:val="auto"/>
                      <w:kern w:val="0"/>
                      <w:szCs w:val="21"/>
                      <w:highlight w:val="none"/>
                    </w:rPr>
                    <w:t>×</w:t>
                  </w:r>
                  <w:r>
                    <w:rPr>
                      <w:rFonts w:hint="default" w:ascii="Times New Roman" w:hAnsi="Times New Roman" w:eastAsia="黑体" w:cs="Times New Roman"/>
                      <w:color w:val="auto"/>
                      <w:kern w:val="0"/>
                      <w:szCs w:val="21"/>
                      <w:highlight w:val="none"/>
                      <w:lang w:val="en-US" w:eastAsia="zh-CN"/>
                    </w:rPr>
                    <w:t>[</w:t>
                  </w:r>
                  <w:r>
                    <w:rPr>
                      <w:rFonts w:hint="default" w:ascii="Times New Roman" w:hAnsi="Times New Roman" w:eastAsia="黑体" w:cs="Times New Roman"/>
                      <w:color w:val="auto"/>
                      <w:kern w:val="0"/>
                      <w:szCs w:val="21"/>
                      <w:highlight w:val="none"/>
                    </w:rPr>
                    <w:t>(</w:t>
                  </w:r>
                  <w:r>
                    <w:rPr>
                      <w:rFonts w:hint="default" w:ascii="Times New Roman" w:hAnsi="Times New Roman" w:eastAsia="黑体" w:cs="Times New Roman"/>
                      <w:color w:val="auto"/>
                      <w:kern w:val="0"/>
                      <w:szCs w:val="21"/>
                      <w:highlight w:val="none"/>
                      <w:lang w:val="en-US" w:eastAsia="zh-CN"/>
                    </w:rPr>
                    <w:t>1+3.75+1.2)</w:t>
                  </w:r>
                  <w:r>
                    <w:rPr>
                      <w:rFonts w:hint="default" w:ascii="Times New Roman" w:hAnsi="Times New Roman" w:eastAsia="黑体" w:cs="Times New Roman"/>
                      <w:color w:val="auto"/>
                      <w:kern w:val="0"/>
                      <w:szCs w:val="21"/>
                      <w:highlight w:val="none"/>
                    </w:rPr>
                    <w:t>tg14°+0.3</w:t>
                  </w:r>
                  <w:r>
                    <w:rPr>
                      <w:rFonts w:hint="default" w:ascii="Times New Roman" w:hAnsi="Times New Roman" w:eastAsia="黑体" w:cs="Times New Roman"/>
                      <w:color w:val="auto"/>
                      <w:kern w:val="0"/>
                      <w:szCs w:val="21"/>
                      <w:highlight w:val="none"/>
                      <w:lang w:val="en-US" w:eastAsia="zh-CN"/>
                    </w:rPr>
                    <w:t>]</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3.56</w:t>
                  </w:r>
                </w:p>
              </w:tc>
              <w:tc>
                <w:tcPr>
                  <w:tcW w:w="123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4.80</w:t>
                  </w:r>
                </w:p>
              </w:tc>
              <w:tc>
                <w:tcPr>
                  <w:tcW w:w="34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694"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rPr>
                  </w:pPr>
                </w:p>
              </w:tc>
              <w:tc>
                <w:tcPr>
                  <w:tcW w:w="3194" w:type="dxa"/>
                  <w:tcBorders>
                    <w:top w:val="single" w:color="auto" w:sz="4" w:space="0"/>
                    <w:bottom w:val="single" w:color="auto" w:sz="12"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距顶部主屏蔽墙体</w:t>
                  </w:r>
                  <w:r>
                    <w:rPr>
                      <w:rFonts w:hint="default" w:ascii="Times New Roman" w:hAnsi="Times New Roman" w:cs="Times New Roman"/>
                      <w:color w:val="auto"/>
                      <w:szCs w:val="21"/>
                      <w:highlight w:val="none"/>
                      <w:lang w:val="en-US" w:eastAsia="zh-CN"/>
                    </w:rPr>
                    <w:t>2.75</w:t>
                  </w:r>
                </w:p>
              </w:tc>
              <w:tc>
                <w:tcPr>
                  <w:tcW w:w="3389" w:type="dxa"/>
                  <w:tcBorders>
                    <w:top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rPr>
                    <w:t>2</w:t>
                  </w:r>
                  <w:r>
                    <w:rPr>
                      <w:rFonts w:hint="default" w:ascii="Times New Roman" w:hAnsi="Times New Roman" w:cs="Times New Roman"/>
                      <w:color w:val="auto"/>
                      <w:kern w:val="0"/>
                      <w:szCs w:val="21"/>
                      <w:highlight w:val="none"/>
                    </w:rPr>
                    <w:t>×</w:t>
                  </w:r>
                  <w:r>
                    <w:rPr>
                      <w:rFonts w:hint="default" w:ascii="Times New Roman" w:hAnsi="Times New Roman" w:eastAsia="黑体" w:cs="Times New Roman"/>
                      <w:color w:val="auto"/>
                      <w:kern w:val="0"/>
                      <w:szCs w:val="21"/>
                      <w:highlight w:val="none"/>
                      <w:lang w:val="en-US" w:eastAsia="zh-CN"/>
                    </w:rPr>
                    <w:t>[</w:t>
                  </w:r>
                  <w:r>
                    <w:rPr>
                      <w:rFonts w:hint="default" w:ascii="Times New Roman" w:hAnsi="Times New Roman" w:eastAsia="黑体" w:cs="Times New Roman"/>
                      <w:color w:val="auto"/>
                      <w:kern w:val="0"/>
                      <w:szCs w:val="21"/>
                      <w:highlight w:val="none"/>
                    </w:rPr>
                    <w:t>(</w:t>
                  </w:r>
                  <w:r>
                    <w:rPr>
                      <w:rFonts w:hint="default" w:ascii="Times New Roman" w:hAnsi="Times New Roman" w:eastAsia="黑体" w:cs="Times New Roman"/>
                      <w:color w:val="auto"/>
                      <w:kern w:val="0"/>
                      <w:szCs w:val="21"/>
                      <w:highlight w:val="none"/>
                      <w:lang w:val="en-US" w:eastAsia="zh-CN"/>
                    </w:rPr>
                    <w:t>1+2.75+1.7+1.3)</w:t>
                  </w:r>
                  <w:r>
                    <w:rPr>
                      <w:rFonts w:hint="default" w:ascii="Times New Roman" w:hAnsi="Times New Roman" w:eastAsia="黑体" w:cs="Times New Roman"/>
                      <w:color w:val="auto"/>
                      <w:kern w:val="0"/>
                      <w:szCs w:val="21"/>
                      <w:highlight w:val="none"/>
                    </w:rPr>
                    <w:t>tg14°+0.3</w:t>
                  </w:r>
                  <w:r>
                    <w:rPr>
                      <w:rFonts w:hint="default" w:ascii="Times New Roman" w:hAnsi="Times New Roman" w:eastAsia="黑体" w:cs="Times New Roman"/>
                      <w:color w:val="auto"/>
                      <w:kern w:val="0"/>
                      <w:szCs w:val="21"/>
                      <w:highlight w:val="none"/>
                      <w:lang w:val="en-US" w:eastAsia="zh-CN"/>
                    </w:rPr>
                    <w:t>]</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3.96</w:t>
                  </w:r>
                </w:p>
              </w:tc>
              <w:tc>
                <w:tcPr>
                  <w:tcW w:w="1239" w:type="dxa"/>
                  <w:tcBorders>
                    <w:top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4.00</w:t>
                  </w:r>
                </w:p>
              </w:tc>
              <w:tc>
                <w:tcPr>
                  <w:tcW w:w="34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设备厂家和建设单位在进行直线加速器安装时，必须严格按照既定的</w:t>
            </w:r>
            <w:r>
              <w:rPr>
                <w:rFonts w:hint="default" w:ascii="Times New Roman" w:hAnsi="Times New Roman" w:cs="Times New Roman"/>
                <w:color w:val="auto"/>
                <w:sz w:val="24"/>
                <w:highlight w:val="none"/>
                <w:lang w:val="en-US" w:eastAsia="zh-CN"/>
              </w:rPr>
              <w:t>方案</w:t>
            </w:r>
            <w:r>
              <w:rPr>
                <w:rFonts w:hint="default" w:ascii="Times New Roman" w:hAnsi="Times New Roman" w:cs="Times New Roman"/>
                <w:color w:val="auto"/>
                <w:sz w:val="24"/>
                <w:highlight w:val="none"/>
              </w:rPr>
              <w:t>进行安装，杜绝安装后主射</w:t>
            </w:r>
            <w:r>
              <w:rPr>
                <w:rFonts w:hint="default" w:ascii="Times New Roman" w:hAnsi="Times New Roman" w:cs="Times New Roman"/>
                <w:color w:val="auto"/>
                <w:sz w:val="24"/>
                <w:highlight w:val="none"/>
                <w:lang w:val="en-US" w:eastAsia="zh-CN"/>
              </w:rPr>
              <w:t>束</w:t>
            </w:r>
            <w:r>
              <w:rPr>
                <w:rFonts w:hint="default" w:ascii="Times New Roman" w:hAnsi="Times New Roman" w:cs="Times New Roman"/>
                <w:color w:val="auto"/>
                <w:sz w:val="24"/>
                <w:highlight w:val="none"/>
              </w:rPr>
              <w:t>超出主屏蔽范围的情况出现。</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lang w:val="en-US" w:eastAsia="zh-CN"/>
              </w:rPr>
              <w:t>2</w:t>
            </w: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lang w:val="en-US" w:eastAsia="zh-CN"/>
              </w:rPr>
              <w:t>1#、3#</w:t>
            </w:r>
            <w:r>
              <w:rPr>
                <w:rFonts w:hint="default" w:ascii="Times New Roman" w:hAnsi="Times New Roman" w:cs="Times New Roman"/>
                <w:b/>
                <w:color w:val="auto"/>
                <w:kern w:val="0"/>
                <w:sz w:val="24"/>
                <w:szCs w:val="24"/>
                <w:highlight w:val="none"/>
              </w:rPr>
              <w:t>关注点设立及剂量率参考水平</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①关注点设立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根据《放射治疗机房的辐射屏蔽规范第2部分:电子直线加速器放射治疗机房》（GBZ/T201.2-201l），本项目</w:t>
            </w:r>
            <w:r>
              <w:rPr>
                <w:rFonts w:hint="default" w:ascii="Times New Roman" w:hAnsi="Times New Roman" w:cs="Times New Roman"/>
                <w:b w:val="0"/>
                <w:bCs/>
                <w:color w:val="auto"/>
                <w:kern w:val="0"/>
                <w:sz w:val="24"/>
                <w:szCs w:val="24"/>
                <w:highlight w:val="none"/>
                <w:lang w:val="en-US" w:eastAsia="zh-CN"/>
              </w:rPr>
              <w:t>1#、3#均</w:t>
            </w:r>
            <w:r>
              <w:rPr>
                <w:rFonts w:hint="default" w:ascii="Times New Roman" w:hAnsi="Times New Roman" w:cs="Times New Roman"/>
                <w:color w:val="auto"/>
                <w:sz w:val="24"/>
                <w:highlight w:val="none"/>
              </w:rPr>
              <w:t>建在地下负</w:t>
            </w:r>
            <w:r>
              <w:rPr>
                <w:rFonts w:hint="default" w:ascii="Times New Roman" w:hAnsi="Times New Roman" w:cs="Times New Roman"/>
                <w:color w:val="auto"/>
                <w:sz w:val="24"/>
                <w:highlight w:val="none"/>
                <w:lang w:val="en-US" w:eastAsia="zh-CN"/>
              </w:rPr>
              <w:t>三</w:t>
            </w:r>
            <w:r>
              <w:rPr>
                <w:rFonts w:hint="default" w:ascii="Times New Roman" w:hAnsi="Times New Roman" w:cs="Times New Roman"/>
                <w:color w:val="auto"/>
                <w:sz w:val="24"/>
                <w:highlight w:val="none"/>
              </w:rPr>
              <w:t>层，无地下负</w:t>
            </w:r>
            <w:r>
              <w:rPr>
                <w:rFonts w:hint="default" w:ascii="Times New Roman" w:hAnsi="Times New Roman" w:cs="Times New Roman"/>
                <w:color w:val="auto"/>
                <w:sz w:val="24"/>
                <w:highlight w:val="none"/>
                <w:lang w:val="en-US" w:eastAsia="zh-CN"/>
              </w:rPr>
              <w:t>四</w:t>
            </w:r>
            <w:r>
              <w:rPr>
                <w:rFonts w:hint="default" w:ascii="Times New Roman" w:hAnsi="Times New Roman" w:cs="Times New Roman"/>
                <w:color w:val="auto"/>
                <w:sz w:val="24"/>
                <w:highlight w:val="none"/>
              </w:rPr>
              <w:t>层，故</w:t>
            </w:r>
            <w:r>
              <w:rPr>
                <w:rFonts w:hint="default" w:ascii="Times New Roman" w:hAnsi="Times New Roman" w:cs="Times New Roman"/>
                <w:color w:val="auto"/>
                <w:sz w:val="24"/>
                <w:highlight w:val="none"/>
                <w:lang w:val="en-US" w:eastAsia="zh-CN"/>
              </w:rPr>
              <w:t>机房地下不作为</w:t>
            </w:r>
            <w:r>
              <w:rPr>
                <w:rFonts w:hint="default" w:ascii="Times New Roman" w:hAnsi="Times New Roman" w:cs="Times New Roman"/>
                <w:color w:val="auto"/>
                <w:sz w:val="24"/>
                <w:highlight w:val="none"/>
              </w:rPr>
              <w:t>关注点。</w:t>
            </w:r>
          </w:p>
          <w:p>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1#关注点：</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A</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点：东北部主屏蔽墙外30cm处，2#；</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B</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点：西北部主屏蔽墙外30cm处，走廊；</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C</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点：东南部副屏蔽墙外30cm处，2#；</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D</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点：西南部副屏蔽墙外30cm处，走廊；</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E</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点：西北部副屏蔽墙外30cm处，空调机房；</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F</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点：东南部迷路外墙外30cm处，控制室；</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G</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点：治疗室迷路入口处；</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H</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点：顶棚主防护墙上方30cm处，车库；</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K</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点：迷路外墙外30cm处，女更衣间；</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M</w:t>
            </w:r>
            <w:r>
              <w:rPr>
                <w:rFonts w:hint="default" w:ascii="Times New Roman" w:hAnsi="Times New Roman" w:cs="Times New Roman"/>
                <w:b w:val="0"/>
                <w:bCs w:val="0"/>
                <w:color w:val="auto"/>
                <w:kern w:val="2"/>
                <w:sz w:val="24"/>
                <w:szCs w:val="24"/>
                <w:highlight w:val="none"/>
                <w:vertAlign w:val="subscript"/>
                <w:lang w:val="en-US" w:eastAsia="zh-CN"/>
              </w:rPr>
              <w:t>1</w:t>
            </w:r>
            <w:r>
              <w:rPr>
                <w:rFonts w:hint="default" w:ascii="Times New Roman" w:hAnsi="Times New Roman" w:cs="Times New Roman"/>
                <w:b w:val="0"/>
                <w:bCs w:val="0"/>
                <w:color w:val="auto"/>
                <w:kern w:val="2"/>
                <w:sz w:val="24"/>
                <w:szCs w:val="24"/>
                <w:highlight w:val="none"/>
                <w:lang w:val="en-US" w:eastAsia="zh-CN"/>
              </w:rPr>
              <w:t>点：顶棚副防护墙上方30cm处，车库。</w:t>
            </w:r>
          </w:p>
          <w:p>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3#关注点：</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A</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点：东北部主屏蔽墙外30cm处，融铅室；</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B</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点：西北部主屏蔽墙外30cm处，补风机房；</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C</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点：东南部副屏蔽墙外30cm处，融铅室；</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D</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点：西南部副屏蔽墙外30cm处，2#；</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E</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点：西北部副屏蔽墙外30cm处，补风机房；</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F</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点：东南部迷路外墙外30cm处，控制室；</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G</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点：治疗室迷路入口处；</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H</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点：顶棚主防护墙上方30cm处，车库；</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K</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点：迷路外墙外30cm处，注射抢救室；</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M</w:t>
            </w:r>
            <w:r>
              <w:rPr>
                <w:rFonts w:hint="default" w:ascii="Times New Roman" w:hAnsi="Times New Roman" w:cs="Times New Roman"/>
                <w:b w:val="0"/>
                <w:bCs w:val="0"/>
                <w:color w:val="auto"/>
                <w:kern w:val="2"/>
                <w:sz w:val="24"/>
                <w:szCs w:val="24"/>
                <w:highlight w:val="none"/>
                <w:vertAlign w:val="subscript"/>
                <w:lang w:val="en-US" w:eastAsia="zh-CN"/>
              </w:rPr>
              <w:t>3</w:t>
            </w:r>
            <w:r>
              <w:rPr>
                <w:rFonts w:hint="default" w:ascii="Times New Roman" w:hAnsi="Times New Roman" w:cs="Times New Roman"/>
                <w:b w:val="0"/>
                <w:bCs w:val="0"/>
                <w:color w:val="auto"/>
                <w:kern w:val="2"/>
                <w:sz w:val="24"/>
                <w:szCs w:val="24"/>
                <w:highlight w:val="none"/>
                <w:lang w:val="en-US" w:eastAsia="zh-CN"/>
              </w:rPr>
              <w:t>点：顶棚副防护墙上方30cm处，车库。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US" w:eastAsia="zh-CN"/>
              </w:rPr>
              <w:t>1#、3#</w:t>
            </w:r>
            <w:r>
              <w:rPr>
                <w:rFonts w:hint="default" w:ascii="Times New Roman" w:hAnsi="Times New Roman" w:cs="Times New Roman"/>
                <w:color w:val="auto"/>
                <w:sz w:val="24"/>
                <w:highlight w:val="none"/>
              </w:rPr>
              <w:t>关注点设立及主要照射路径图见图11-</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、11-</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779270" cy="1946910"/>
                  <wp:effectExtent l="0" t="0" r="11430" b="15240"/>
                  <wp:docPr id="6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0"/>
                          <pic:cNvPicPr>
                            <a:picLocks noChangeAspect="1"/>
                          </pic:cNvPicPr>
                        </pic:nvPicPr>
                        <pic:blipFill>
                          <a:blip r:embed="rId24"/>
                          <a:stretch>
                            <a:fillRect/>
                          </a:stretch>
                        </pic:blipFill>
                        <pic:spPr>
                          <a:xfrm>
                            <a:off x="0" y="0"/>
                            <a:ext cx="1779270" cy="1946910"/>
                          </a:xfrm>
                          <a:prstGeom prst="rect">
                            <a:avLst/>
                          </a:prstGeom>
                          <a:noFill/>
                          <a:ln>
                            <a:noFill/>
                          </a:ln>
                        </pic:spPr>
                      </pic:pic>
                    </a:graphicData>
                  </a:graphic>
                </wp:inline>
              </w:drawing>
            </w:r>
            <w:r>
              <w:rPr>
                <w:rFonts w:hint="default" w:ascii="Times New Roman" w:hAnsi="Times New Roman" w:cs="Times New Roman"/>
                <w:color w:val="auto"/>
                <w:highlight w:val="none"/>
              </w:rPr>
              <w:drawing>
                <wp:inline distT="0" distB="0" distL="114300" distR="114300">
                  <wp:extent cx="1830070" cy="1945005"/>
                  <wp:effectExtent l="0" t="0" r="17780" b="17145"/>
                  <wp:docPr id="7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8"/>
                          <pic:cNvPicPr>
                            <a:picLocks noChangeAspect="1"/>
                          </pic:cNvPicPr>
                        </pic:nvPicPr>
                        <pic:blipFill>
                          <a:blip r:embed="rId25"/>
                          <a:stretch>
                            <a:fillRect/>
                          </a:stretch>
                        </pic:blipFill>
                        <pic:spPr>
                          <a:xfrm>
                            <a:off x="0" y="0"/>
                            <a:ext cx="1830070" cy="194500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sz w:val="21"/>
                <w:szCs w:val="21"/>
                <w:highlight w:val="none"/>
              </w:rPr>
              <w:t>图11-</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本项目</w:t>
            </w:r>
            <w:r>
              <w:rPr>
                <w:rFonts w:hint="default" w:ascii="Times New Roman" w:hAnsi="Times New Roman" w:cs="Times New Roman"/>
                <w:b/>
                <w:bCs/>
                <w:color w:val="auto"/>
                <w:sz w:val="21"/>
                <w:szCs w:val="21"/>
                <w:highlight w:val="none"/>
                <w:lang w:val="en-US" w:eastAsia="zh-CN"/>
              </w:rPr>
              <w:t>1#、3#</w:t>
            </w:r>
            <w:r>
              <w:rPr>
                <w:rFonts w:hint="default" w:ascii="Times New Roman" w:hAnsi="Times New Roman" w:cs="Times New Roman"/>
                <w:b/>
                <w:bCs/>
                <w:color w:val="auto"/>
                <w:sz w:val="21"/>
                <w:szCs w:val="21"/>
                <w:highlight w:val="none"/>
              </w:rPr>
              <w:t>关注点及主要照射路径示意图（平面）</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color w:val="auto"/>
                <w:highlight w:val="none"/>
              </w:rPr>
              <w:drawing>
                <wp:inline distT="0" distB="0" distL="114300" distR="114300">
                  <wp:extent cx="2152015" cy="1478280"/>
                  <wp:effectExtent l="0" t="0" r="635" b="7620"/>
                  <wp:docPr id="6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1"/>
                          <pic:cNvPicPr>
                            <a:picLocks noChangeAspect="1"/>
                          </pic:cNvPicPr>
                        </pic:nvPicPr>
                        <pic:blipFill>
                          <a:blip r:embed="rId26"/>
                          <a:stretch>
                            <a:fillRect/>
                          </a:stretch>
                        </pic:blipFill>
                        <pic:spPr>
                          <a:xfrm>
                            <a:off x="0" y="0"/>
                            <a:ext cx="2152015" cy="1478280"/>
                          </a:xfrm>
                          <a:prstGeom prst="rect">
                            <a:avLst/>
                          </a:prstGeom>
                          <a:noFill/>
                          <a:ln>
                            <a:noFill/>
                          </a:ln>
                        </pic:spPr>
                      </pic:pic>
                    </a:graphicData>
                  </a:graphic>
                </wp:inline>
              </w:drawing>
            </w:r>
            <w:r>
              <w:rPr>
                <w:rFonts w:hint="default" w:ascii="Times New Roman" w:hAnsi="Times New Roman" w:cs="Times New Roman"/>
                <w:color w:val="auto"/>
                <w:highlight w:val="none"/>
              </w:rPr>
              <w:drawing>
                <wp:inline distT="0" distB="0" distL="114300" distR="114300">
                  <wp:extent cx="2191385" cy="1478915"/>
                  <wp:effectExtent l="0" t="0" r="18415" b="6985"/>
                  <wp:docPr id="7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9"/>
                          <pic:cNvPicPr>
                            <a:picLocks noChangeAspect="1"/>
                          </pic:cNvPicPr>
                        </pic:nvPicPr>
                        <pic:blipFill>
                          <a:blip r:embed="rId27"/>
                          <a:stretch>
                            <a:fillRect/>
                          </a:stretch>
                        </pic:blipFill>
                        <pic:spPr>
                          <a:xfrm>
                            <a:off x="0" y="0"/>
                            <a:ext cx="2191385" cy="147891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图11-</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本项目</w:t>
            </w:r>
            <w:r>
              <w:rPr>
                <w:rFonts w:hint="default" w:ascii="Times New Roman" w:hAnsi="Times New Roman" w:cs="Times New Roman"/>
                <w:b/>
                <w:bCs/>
                <w:color w:val="auto"/>
                <w:sz w:val="21"/>
                <w:szCs w:val="21"/>
                <w:highlight w:val="none"/>
                <w:lang w:val="en-US" w:eastAsia="zh-CN"/>
              </w:rPr>
              <w:t>1#、3#</w:t>
            </w:r>
            <w:r>
              <w:rPr>
                <w:rFonts w:hint="default" w:ascii="Times New Roman" w:hAnsi="Times New Roman" w:cs="Times New Roman"/>
                <w:b/>
                <w:bCs/>
                <w:color w:val="auto"/>
                <w:sz w:val="21"/>
                <w:szCs w:val="21"/>
                <w:highlight w:val="none"/>
              </w:rPr>
              <w:t>关注点及主要照射路径示意图（剖面）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②剂量率参考水平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根据《电子直线加速器放射治疗放射防护要求》（GBZ126-2011），</w:t>
            </w:r>
            <w:r>
              <w:rPr>
                <w:rFonts w:hint="default" w:ascii="Times New Roman" w:hAnsi="Times New Roman" w:cs="Times New Roman"/>
                <w:b w:val="0"/>
                <w:bCs w:val="0"/>
                <w:color w:val="auto"/>
                <w:sz w:val="24"/>
                <w:szCs w:val="24"/>
                <w:highlight w:val="none"/>
                <w:lang w:val="en-US" w:eastAsia="zh-CN"/>
              </w:rPr>
              <w:t>1#、3#</w:t>
            </w:r>
            <w:r>
              <w:rPr>
                <w:rFonts w:hint="default" w:ascii="Times New Roman" w:hAnsi="Times New Roman" w:cs="Times New Roman"/>
                <w:color w:val="auto"/>
                <w:sz w:val="24"/>
                <w:highlight w:val="none"/>
                <w:lang w:eastAsia="zh-CN"/>
              </w:rPr>
              <w:t>迷路</w:t>
            </w:r>
            <w:r>
              <w:rPr>
                <w:rFonts w:hint="default" w:ascii="Times New Roman" w:hAnsi="Times New Roman" w:cs="Times New Roman"/>
                <w:color w:val="auto"/>
                <w:sz w:val="24"/>
                <w:highlight w:val="none"/>
              </w:rPr>
              <w:t>门处、控制室和</w:t>
            </w:r>
            <w:r>
              <w:rPr>
                <w:rFonts w:hint="default" w:ascii="Times New Roman" w:hAnsi="Times New Roman" w:cs="Times New Roman"/>
                <w:color w:val="auto"/>
                <w:sz w:val="24"/>
                <w:highlight w:val="none"/>
                <w:lang w:eastAsia="zh-CN"/>
              </w:rPr>
              <w:t>加速器治疗室</w:t>
            </w:r>
            <w:r>
              <w:rPr>
                <w:rFonts w:hint="default" w:ascii="Times New Roman" w:hAnsi="Times New Roman" w:cs="Times New Roman"/>
                <w:color w:val="auto"/>
                <w:sz w:val="24"/>
                <w:highlight w:val="none"/>
              </w:rPr>
              <w:t>墙体外30cm处，周围剂量当量率不大于2.5μSv</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h，故本次10MV</w:t>
            </w:r>
            <w:r>
              <w:rPr>
                <w:rFonts w:hint="default" w:ascii="Times New Roman" w:hAnsi="Times New Roman" w:cs="Times New Roman"/>
                <w:color w:val="auto"/>
                <w:sz w:val="24"/>
                <w:highlight w:val="none"/>
                <w:lang w:eastAsia="zh-CN"/>
              </w:rPr>
              <w:t>加速器治疗室</w:t>
            </w:r>
            <w:r>
              <w:rPr>
                <w:rFonts w:hint="default" w:ascii="Times New Roman" w:hAnsi="Times New Roman" w:cs="Times New Roman"/>
                <w:color w:val="auto"/>
                <w:sz w:val="24"/>
                <w:highlight w:val="none"/>
              </w:rPr>
              <w:t>外各关注点的剂量率参考控制水平均为2.5μSv/h。</w:t>
            </w:r>
          </w:p>
          <w:p>
            <w:pPr>
              <w:pStyle w:val="2"/>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kern w:val="2"/>
                <w:sz w:val="24"/>
                <w:highlight w:val="none"/>
                <w:lang w:val="en-US" w:eastAsia="zh-CN"/>
              </w:rPr>
            </w:pPr>
            <w:r>
              <w:rPr>
                <w:rFonts w:hint="default" w:ascii="Times New Roman" w:hAnsi="Times New Roman" w:cs="Times New Roman"/>
                <w:color w:val="auto"/>
                <w:kern w:val="2"/>
                <w:sz w:val="24"/>
                <w:highlight w:val="none"/>
                <w:lang w:val="en-US" w:eastAsia="zh-CN"/>
              </w:rPr>
              <w:t>③</w:t>
            </w:r>
            <w:r>
              <w:rPr>
                <w:rFonts w:hint="default" w:ascii="Times New Roman" w:hAnsi="Times New Roman" w:eastAsia="黑体" w:cs="Times New Roman"/>
                <w:b w:val="0"/>
                <w:bCs/>
                <w:color w:val="auto"/>
                <w:kern w:val="0"/>
                <w:sz w:val="24"/>
                <w:szCs w:val="24"/>
                <w:highlight w:val="none"/>
                <w:lang w:val="en-US" w:eastAsia="zh-CN"/>
              </w:rPr>
              <w:t>医用直线加速器屏蔽设计</w:t>
            </w: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95" w:beforeLines="30" w:beforeAutospacing="0" w:after="0" w:afterAutospacing="0" w:line="360" w:lineRule="auto"/>
              <w:ind w:left="0" w:right="0" w:firstLine="480" w:firstLineChars="200"/>
              <w:textAlignment w:val="auto"/>
              <w:rPr>
                <w:rFonts w:hint="default" w:ascii="Times New Roman" w:hAnsi="Times New Roman" w:cs="Times New Roman"/>
                <w:color w:val="auto"/>
                <w:kern w:val="2"/>
                <w:sz w:val="24"/>
                <w:highlight w:val="none"/>
                <w:lang w:val="en-US" w:eastAsia="zh-CN"/>
              </w:rPr>
            </w:pPr>
            <w:r>
              <w:rPr>
                <w:rFonts w:hint="eastAsia" w:ascii="Times New Roman" w:hAnsi="Times New Roman" w:cs="Times New Roman"/>
                <w:color w:val="auto"/>
                <w:sz w:val="24"/>
                <w:szCs w:val="24"/>
                <w:highlight w:val="none"/>
                <w:lang w:val="en-US" w:eastAsia="zh-CN"/>
              </w:rPr>
              <w:t>1#、3#加速器治疗室东南部均设有</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L</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型迷路，迷路内墙厚1200mm，外墙厚1700mm；1#加速器治疗室东北部、3#加速器治疗室西南部</w:t>
            </w:r>
            <w:r>
              <w:rPr>
                <w:rFonts w:hint="default" w:ascii="Times New Roman" w:hAnsi="Times New Roman" w:cs="Times New Roman"/>
                <w:color w:val="auto"/>
                <w:sz w:val="24"/>
                <w:szCs w:val="24"/>
                <w:highlight w:val="none"/>
              </w:rPr>
              <w:t>主屏蔽墙</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rPr>
              <w:t>厚</w:t>
            </w:r>
            <w:r>
              <w:rPr>
                <w:rFonts w:hint="eastAsia" w:ascii="Times New Roman" w:hAnsi="Times New Roman" w:cs="Times New Roman"/>
                <w:color w:val="auto"/>
                <w:sz w:val="24"/>
                <w:szCs w:val="24"/>
                <w:highlight w:val="none"/>
                <w:lang w:val="en-US" w:eastAsia="zh-CN"/>
              </w:rPr>
              <w:t>3000</w:t>
            </w:r>
            <w:r>
              <w:rPr>
                <w:rFonts w:hint="default" w:ascii="Times New Roman" w:hAnsi="Times New Roman" w:cs="Times New Roman"/>
                <w:color w:val="auto"/>
                <w:sz w:val="24"/>
                <w:szCs w:val="24"/>
                <w:highlight w:val="none"/>
              </w:rPr>
              <w:t>mm、宽4</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00mm，次屏蔽墙厚</w:t>
            </w:r>
            <w:r>
              <w:rPr>
                <w:rFonts w:hint="eastAsia" w:ascii="Times New Roman" w:hAnsi="Times New Roman" w:cs="Times New Roman"/>
                <w:color w:val="auto"/>
                <w:sz w:val="24"/>
                <w:szCs w:val="24"/>
                <w:highlight w:val="none"/>
                <w:lang w:val="en-US" w:eastAsia="zh-CN"/>
              </w:rPr>
              <w:t>1800</w:t>
            </w:r>
            <w:r>
              <w:rPr>
                <w:rFonts w:hint="default" w:ascii="Times New Roman" w:hAnsi="Times New Roman" w:cs="Times New Roman"/>
                <w:color w:val="auto"/>
                <w:sz w:val="24"/>
                <w:szCs w:val="24"/>
                <w:highlight w:val="none"/>
              </w:rPr>
              <w:t>mm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1#加速器治疗室西南部及顶部、3#加速器治疗室东北部及顶部</w:t>
            </w:r>
            <w:r>
              <w:rPr>
                <w:rFonts w:hint="default" w:ascii="Times New Roman" w:hAnsi="Times New Roman" w:cs="Times New Roman"/>
                <w:color w:val="auto"/>
                <w:sz w:val="24"/>
                <w:szCs w:val="24"/>
                <w:highlight w:val="none"/>
              </w:rPr>
              <w:t>主屏蔽墙</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rPr>
              <w:t>厚</w:t>
            </w:r>
            <w:r>
              <w:rPr>
                <w:rFonts w:hint="eastAsia" w:ascii="Times New Roman" w:hAnsi="Times New Roman" w:cs="Times New Roman"/>
                <w:color w:val="auto"/>
                <w:sz w:val="24"/>
                <w:szCs w:val="24"/>
                <w:highlight w:val="none"/>
                <w:lang w:val="en-US" w:eastAsia="zh-CN"/>
              </w:rPr>
              <w:t>3000</w:t>
            </w:r>
            <w:r>
              <w:rPr>
                <w:rFonts w:hint="default" w:ascii="Times New Roman" w:hAnsi="Times New Roman" w:cs="Times New Roman"/>
                <w:color w:val="auto"/>
                <w:sz w:val="24"/>
                <w:szCs w:val="24"/>
                <w:highlight w:val="none"/>
              </w:rPr>
              <w:t>mm、宽4000mm，次屏蔽墙厚</w:t>
            </w:r>
            <w:r>
              <w:rPr>
                <w:rFonts w:hint="eastAsia" w:ascii="Times New Roman" w:hAnsi="Times New Roman" w:cs="Times New Roman"/>
                <w:color w:val="auto"/>
                <w:sz w:val="24"/>
                <w:szCs w:val="24"/>
                <w:highlight w:val="none"/>
                <w:lang w:val="en-US" w:eastAsia="zh-CN"/>
              </w:rPr>
              <w:t>1700</w:t>
            </w:r>
            <w:r>
              <w:rPr>
                <w:rFonts w:hint="default" w:ascii="Times New Roman" w:hAnsi="Times New Roman" w:cs="Times New Roman"/>
                <w:color w:val="auto"/>
                <w:sz w:val="24"/>
                <w:szCs w:val="24"/>
                <w:highlight w:val="none"/>
              </w:rPr>
              <w:t>mm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1#加速器治疗室、3#加速器治疗室西北部</w:t>
            </w:r>
            <w:r>
              <w:rPr>
                <w:rFonts w:hint="default" w:ascii="Times New Roman" w:hAnsi="Times New Roman" w:cs="Times New Roman"/>
                <w:color w:val="auto"/>
                <w:sz w:val="24"/>
                <w:szCs w:val="24"/>
                <w:highlight w:val="none"/>
              </w:rPr>
              <w:t>屏蔽墙</w:t>
            </w:r>
            <w:r>
              <w:rPr>
                <w:rFonts w:hint="eastAsia" w:ascii="Times New Roman" w:hAnsi="Times New Roman" w:cs="Times New Roman"/>
                <w:color w:val="auto"/>
                <w:sz w:val="24"/>
                <w:szCs w:val="24"/>
                <w:highlight w:val="none"/>
                <w:lang w:val="en-US" w:eastAsia="zh-CN"/>
              </w:rPr>
              <w:t>均厚1700</w:t>
            </w:r>
            <w:r>
              <w:rPr>
                <w:rFonts w:hint="default" w:ascii="Times New Roman" w:hAnsi="Times New Roman" w:cs="Times New Roman"/>
                <w:color w:val="auto"/>
                <w:sz w:val="24"/>
                <w:szCs w:val="24"/>
                <w:highlight w:val="none"/>
              </w:rPr>
              <w:t>mm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1#加速器治疗室、3#加速器治疗室防护门均为15</w:t>
            </w:r>
            <w:r>
              <w:rPr>
                <w:rFonts w:hint="default" w:ascii="Times New Roman" w:hAnsi="Times New Roman" w:cs="Times New Roman"/>
                <w:color w:val="auto"/>
                <w:sz w:val="24"/>
                <w:szCs w:val="24"/>
                <w:highlight w:val="none"/>
              </w:rPr>
              <w:t>mm铅当量</w:t>
            </w:r>
            <w:r>
              <w:rPr>
                <w:rFonts w:hint="eastAsia" w:ascii="Times New Roman" w:hAnsi="Times New Roman" w:cs="Times New Roman"/>
                <w:color w:val="auto"/>
                <w:sz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lang w:val="en-US" w:eastAsia="zh-CN"/>
              </w:rPr>
              <w:t>3</w:t>
            </w: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rPr>
              <w:t>10MV</w:t>
            </w:r>
            <w:r>
              <w:rPr>
                <w:rFonts w:hint="default" w:ascii="Times New Roman" w:hAnsi="Times New Roman" w:cs="Times New Roman"/>
                <w:b/>
                <w:color w:val="auto"/>
                <w:kern w:val="0"/>
                <w:sz w:val="24"/>
                <w:szCs w:val="24"/>
                <w:highlight w:val="none"/>
                <w:lang w:eastAsia="zh-CN"/>
              </w:rPr>
              <w:t>加速器治疗室</w:t>
            </w:r>
            <w:r>
              <w:rPr>
                <w:rFonts w:hint="default" w:ascii="Times New Roman" w:hAnsi="Times New Roman" w:cs="Times New Roman"/>
                <w:b/>
                <w:color w:val="auto"/>
                <w:kern w:val="0"/>
                <w:sz w:val="24"/>
                <w:szCs w:val="24"/>
                <w:highlight w:val="none"/>
              </w:rPr>
              <w:t>屏蔽体厚度校核</w:t>
            </w:r>
          </w:p>
          <w:p>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①主屏蔽区、</w:t>
            </w:r>
            <w:r>
              <w:rPr>
                <w:rFonts w:hint="default" w:ascii="Times New Roman" w:hAnsi="Times New Roman" w:cs="Times New Roman"/>
                <w:b/>
                <w:bCs/>
                <w:color w:val="auto"/>
                <w:sz w:val="24"/>
                <w:highlight w:val="none"/>
                <w:lang w:eastAsia="zh-CN"/>
              </w:rPr>
              <w:t>迷路</w:t>
            </w:r>
            <w:r>
              <w:rPr>
                <w:rFonts w:hint="default" w:ascii="Times New Roman" w:hAnsi="Times New Roman" w:cs="Times New Roman"/>
                <w:b/>
                <w:bCs/>
                <w:color w:val="auto"/>
                <w:sz w:val="24"/>
                <w:highlight w:val="none"/>
              </w:rPr>
              <w:t>内墙和外墙厚度校核</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由于本项目</w:t>
            </w:r>
            <w:r>
              <w:rPr>
                <w:rFonts w:hint="default" w:ascii="Times New Roman" w:hAnsi="Times New Roman" w:cs="Times New Roman"/>
                <w:b w:val="0"/>
                <w:bCs w:val="0"/>
                <w:i w:val="0"/>
                <w:iCs w:val="0"/>
                <w:color w:val="auto"/>
                <w:sz w:val="24"/>
                <w:szCs w:val="24"/>
                <w:highlight w:val="none"/>
                <w:lang w:val="en-US" w:eastAsia="zh-CN"/>
              </w:rPr>
              <w:t>1#、3#</w:t>
            </w:r>
            <w:r>
              <w:rPr>
                <w:rFonts w:hint="default" w:ascii="Times New Roman" w:hAnsi="Times New Roman" w:cs="Times New Roman"/>
                <w:color w:val="auto"/>
                <w:sz w:val="24"/>
                <w:highlight w:val="none"/>
              </w:rPr>
              <w:t>建在</w:t>
            </w:r>
            <w:r>
              <w:rPr>
                <w:rFonts w:hint="default" w:ascii="Times New Roman" w:hAnsi="Times New Roman" w:cs="Times New Roman"/>
                <w:color w:val="auto"/>
                <w:sz w:val="24"/>
                <w:highlight w:val="none"/>
                <w:lang w:eastAsia="zh-CN"/>
              </w:rPr>
              <w:t>地下负三层，无地下负四层</w:t>
            </w:r>
            <w:r>
              <w:rPr>
                <w:rFonts w:hint="default" w:ascii="Times New Roman" w:hAnsi="Times New Roman" w:cs="Times New Roman"/>
                <w:color w:val="auto"/>
                <w:sz w:val="24"/>
                <w:highlight w:val="none"/>
              </w:rPr>
              <w:t>，故地面不予校核。</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 w:val="24"/>
                <w:highlight w:val="none"/>
              </w:rPr>
              <w:t>利用GBZ/201.2-2011的相关公式对主屏蔽区、</w:t>
            </w:r>
            <w:r>
              <w:rPr>
                <w:rFonts w:hint="default" w:ascii="Times New Roman" w:hAnsi="Times New Roman" w:cs="Times New Roman"/>
                <w:color w:val="auto"/>
                <w:sz w:val="24"/>
                <w:highlight w:val="none"/>
                <w:lang w:eastAsia="zh-CN"/>
              </w:rPr>
              <w:t>迷路</w:t>
            </w:r>
            <w:r>
              <w:rPr>
                <w:rFonts w:hint="default" w:ascii="Times New Roman" w:hAnsi="Times New Roman" w:cs="Times New Roman"/>
                <w:color w:val="auto"/>
                <w:sz w:val="24"/>
                <w:highlight w:val="none"/>
              </w:rPr>
              <w:t>外墙、</w:t>
            </w:r>
            <w:r>
              <w:rPr>
                <w:rFonts w:hint="default" w:ascii="Times New Roman" w:hAnsi="Times New Roman" w:cs="Times New Roman"/>
                <w:color w:val="auto"/>
                <w:sz w:val="24"/>
                <w:highlight w:val="none"/>
                <w:lang w:eastAsia="zh-CN"/>
              </w:rPr>
              <w:t>迷路</w:t>
            </w:r>
            <w:r>
              <w:rPr>
                <w:rFonts w:hint="default" w:ascii="Times New Roman" w:hAnsi="Times New Roman" w:cs="Times New Roman"/>
                <w:color w:val="auto"/>
                <w:sz w:val="24"/>
                <w:highlight w:val="none"/>
              </w:rPr>
              <w:t>内墙进行厚度核算。屏蔽所需要的屏蔽透射因子B按下式进行计算。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position w:val="-30"/>
                <w:szCs w:val="21"/>
                <w:highlight w:val="none"/>
              </w:rPr>
              <w:object>
                <v:shape id="_x0000_i1027" o:spt="75" type="#_x0000_t75" style="height:31.35pt;width:56pt;" o:ole="t" filled="f" o:preferrelative="t" stroked="f" coordsize="21600,21600">
                  <v:path/>
                  <v:fill on="f" focussize="0,0"/>
                  <v:stroke on="f" joinstyle="miter"/>
                  <v:imagedata r:id="rId29" o:title=""/>
                  <o:lock v:ext="edit" aspectratio="t"/>
                  <w10:wrap type="none"/>
                  <w10:anchorlock/>
                </v:shape>
                <o:OLEObject Type="Embed" ProgID="Equation.3" ShapeID="_x0000_i1027" DrawAspect="Content" ObjectID="_1468075727" r:id="rId28">
                  <o:LockedField>false</o:LockedField>
                </o:OLEObject>
              </w:object>
            </w:r>
            <w:r>
              <w:rPr>
                <w:rFonts w:hint="default" w:ascii="Times New Roman" w:hAnsi="Times New Roman" w:cs="Times New Roman"/>
                <w:color w:val="auto"/>
                <w:szCs w:val="21"/>
                <w:highlight w:val="none"/>
              </w:rPr>
              <w:t>...................................................................(式11-1)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position w:val="-10"/>
                <w:szCs w:val="21"/>
                <w:highlight w:val="none"/>
              </w:rPr>
              <w:object>
                <v:shape id="_x0000_i1028" o:spt="75" type="#_x0000_t75" style="height:18pt;width:167.35pt;" o:ole="t" filled="f" o:preferrelative="t" stroked="f" coordsize="21600,21600">
                  <v:path/>
                  <v:fill on="f" focussize="0,0"/>
                  <v:stroke on="f" joinstyle="miter"/>
                  <v:imagedata r:id="rId31" o:title=""/>
                  <o:lock v:ext="edit" aspectratio="t"/>
                  <w10:wrap type="none"/>
                  <w10:anchorlock/>
                </v:shape>
                <o:OLEObject Type="Embed" ProgID="Equation.3" ShapeID="_x0000_i1028" DrawAspect="Content" ObjectID="_1468075728" r:id="rId30">
                  <o:LockedField>false</o:LockedField>
                </o:OLEObject>
              </w:object>
            </w:r>
            <w:r>
              <w:rPr>
                <w:rFonts w:hint="default" w:ascii="Times New Roman" w:hAnsi="Times New Roman" w:cs="Times New Roman"/>
                <w:color w:val="auto"/>
                <w:szCs w:val="21"/>
                <w:highlight w:val="none"/>
              </w:rPr>
              <w:t>....................... (式11-2)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position w:val="-10"/>
                <w:szCs w:val="21"/>
                <w:highlight w:val="none"/>
              </w:rPr>
              <w:object>
                <v:shape id="_x0000_i1029" o:spt="75" type="#_x0000_t75" style="height:16pt;width:65.35pt;" o:ole="t" filled="f" o:preferrelative="t" stroked="f" coordsize="21600,21600">
                  <v:path/>
                  <v:fill on="f" focussize="0,0"/>
                  <v:stroke on="f" joinstyle="miter"/>
                  <v:imagedata r:id="rId33" o:title=""/>
                  <o:lock v:ext="edit" aspectratio="t"/>
                  <w10:wrap type="none"/>
                  <w10:anchorlock/>
                </v:shape>
                <o:OLEObject Type="Embed" ProgID="Equation.3" ShapeID="_x0000_i1029" DrawAspect="Content" ObjectID="_1468075729" r:id="rId32">
                  <o:LockedField>false</o:LockedField>
                </o:OLEObject>
              </w:object>
            </w:r>
            <w:r>
              <w:rPr>
                <w:rFonts w:hint="default" w:ascii="Times New Roman" w:hAnsi="Times New Roman" w:cs="Times New Roman"/>
                <w:color w:val="auto"/>
                <w:szCs w:val="21"/>
                <w:highlight w:val="none"/>
              </w:rPr>
              <w:t xml:space="preserve"> .............................................................(式11-3)</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B—屏蔽透射因子；</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i/>
                <w:iCs/>
                <w:color w:val="auto"/>
                <w:szCs w:val="21"/>
                <w:highlight w:val="none"/>
              </w:rPr>
              <w:t>e</w:t>
            </w:r>
            <w:r>
              <w:rPr>
                <w:rFonts w:hint="default" w:ascii="Times New Roman" w:hAnsi="Times New Roman" w:cs="Times New Roman"/>
                <w:color w:val="auto"/>
                <w:szCs w:val="21"/>
                <w:highlight w:val="none"/>
              </w:rPr>
              <w:t>—剂量率参考控制水平，μSv/h；</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i/>
                <w:iCs/>
                <w:color w:val="auto"/>
                <w:szCs w:val="21"/>
                <w:highlight w:val="none"/>
                <w:vertAlign w:val="subscript"/>
              </w:rPr>
              <w:t>0</w:t>
            </w:r>
            <w:r>
              <w:rPr>
                <w:rFonts w:hint="default" w:ascii="Times New Roman" w:hAnsi="Times New Roman" w:cs="Times New Roman"/>
                <w:color w:val="auto"/>
                <w:szCs w:val="21"/>
                <w:highlight w:val="none"/>
              </w:rPr>
              <w:t>—加速器有用线束中心轴上距产生治疗X射线束的靶1m处的常用最高剂量率，μSv.m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/h；本项目为</w:t>
            </w:r>
            <w:r>
              <w:rPr>
                <w:rFonts w:hint="default" w:ascii="Times New Roman" w:hAnsi="Times New Roman" w:cs="Times New Roman"/>
                <w:color w:val="auto"/>
                <w:szCs w:val="21"/>
                <w:highlight w:val="none"/>
                <w:lang w:val="en-US" w:eastAsia="zh-CN"/>
              </w:rPr>
              <w:t>3.60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r>
              <w:rPr>
                <w:rFonts w:hint="default" w:ascii="Times New Roman" w:hAnsi="Times New Roman" w:cs="Times New Roman"/>
                <w:color w:val="auto"/>
                <w:szCs w:val="21"/>
                <w:highlight w:val="none"/>
              </w:rPr>
              <w:t>μSv.m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/h（最高剂量率为</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Gy/min）；</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R—辐射源点（靶点）至关注点的距离，m；</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f—有用束为1；泄漏辐射为主射射线比率（0.1%）</w:t>
            </w:r>
            <w:r>
              <w:rPr>
                <w:rFonts w:hint="default" w:ascii="Times New Roman" w:hAnsi="Times New Roman" w:cs="Times New Roman"/>
                <w:color w:val="auto"/>
                <w:szCs w:val="21"/>
                <w:highlight w:val="none"/>
                <w:lang w:eastAsia="zh-CN"/>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θ—斜射角，即入射线与屏蔽物质平面的垂直线之间的夹角；</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TVL</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（cm）和TVL（cm）—辐射在屏蔽物质中的第一个什值层厚度和平衡什值层厚度，本项目TVL</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为；</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Xe—墙体有效屏蔽厚度，cm；</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—墙体屏蔽厚度，cm。</w:t>
            </w: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1"/>
                <w:szCs w:val="21"/>
                <w:highlight w:val="none"/>
              </w:rPr>
              <w:t>表11-</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1#、3#</w:t>
            </w:r>
            <w:r>
              <w:rPr>
                <w:rFonts w:hint="default" w:ascii="Times New Roman" w:hAnsi="Times New Roman" w:cs="Times New Roman"/>
                <w:b/>
                <w:bCs/>
                <w:color w:val="auto"/>
                <w:sz w:val="21"/>
                <w:szCs w:val="21"/>
                <w:highlight w:val="none"/>
              </w:rPr>
              <w:t>主屏蔽区、</w:t>
            </w:r>
            <w:r>
              <w:rPr>
                <w:rFonts w:hint="default" w:ascii="Times New Roman" w:hAnsi="Times New Roman" w:cs="Times New Roman"/>
                <w:b/>
                <w:bCs/>
                <w:color w:val="auto"/>
                <w:sz w:val="21"/>
                <w:szCs w:val="21"/>
                <w:highlight w:val="none"/>
                <w:lang w:eastAsia="zh-CN"/>
              </w:rPr>
              <w:t>迷路</w:t>
            </w:r>
            <w:r>
              <w:rPr>
                <w:rFonts w:hint="default" w:ascii="Times New Roman" w:hAnsi="Times New Roman" w:cs="Times New Roman"/>
                <w:b/>
                <w:bCs/>
                <w:color w:val="auto"/>
                <w:sz w:val="21"/>
                <w:szCs w:val="21"/>
                <w:highlight w:val="none"/>
              </w:rPr>
              <w:t>内墙和外</w:t>
            </w:r>
            <w:r>
              <w:rPr>
                <w:rFonts w:hint="default" w:ascii="Times New Roman" w:hAnsi="Times New Roman" w:cs="Times New Roman"/>
                <w:b/>
                <w:bCs/>
                <w:color w:val="auto"/>
                <w:sz w:val="24"/>
                <w:highlight w:val="none"/>
              </w:rPr>
              <w:t>墙厚度校核</w:t>
            </w:r>
          </w:p>
          <w:tbl>
            <w:tblPr>
              <w:tblStyle w:val="17"/>
              <w:tblW w:w="8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099"/>
              <w:gridCol w:w="1128"/>
              <w:gridCol w:w="1148"/>
              <w:gridCol w:w="983"/>
              <w:gridCol w:w="1079"/>
              <w:gridCol w:w="5"/>
              <w:gridCol w:w="1181"/>
              <w:gridCol w:w="1012"/>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85" w:hRule="atLeast"/>
                <w:tblHeader/>
                <w:jc w:val="center"/>
              </w:trPr>
              <w:tc>
                <w:tcPr>
                  <w:tcW w:w="1238" w:type="dxa"/>
                  <w:tcBorders>
                    <w:top w:val="single" w:color="auto" w:sz="12" w:space="0"/>
                    <w:left w:val="nil"/>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参数</w:t>
                  </w:r>
                </w:p>
              </w:tc>
              <w:tc>
                <w:tcPr>
                  <w:tcW w:w="1099"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主屏蔽区</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（墙体</w:t>
                  </w:r>
                  <w:r>
                    <w:rPr>
                      <w:rFonts w:hint="default" w:ascii="Times New Roman" w:hAnsi="Times New Roman" w:cs="Times New Roman"/>
                      <w:color w:val="auto"/>
                      <w:sz w:val="18"/>
                      <w:szCs w:val="18"/>
                      <w:highlight w:val="none"/>
                      <w:lang w:val="en-US" w:eastAsia="zh-CN"/>
                    </w:rPr>
                    <w:t>A</w:t>
                  </w:r>
                  <w:r>
                    <w:rPr>
                      <w:rFonts w:hint="default" w:ascii="Times New Roman" w:hAnsi="Times New Roman" w:cs="Times New Roman"/>
                      <w:color w:val="auto"/>
                      <w:sz w:val="18"/>
                      <w:szCs w:val="18"/>
                      <w:highlight w:val="none"/>
                      <w:vertAlign w:val="subscript"/>
                      <w:lang w:val="en-US" w:eastAsia="zh-CN"/>
                    </w:rPr>
                    <w:t>1</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color w:val="auto"/>
                      <w:sz w:val="18"/>
                      <w:szCs w:val="18"/>
                      <w:highlight w:val="none"/>
                      <w:lang w:val="en-US" w:eastAsia="zh-CN"/>
                    </w:rPr>
                    <w:t>A</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 w:val="18"/>
                      <w:szCs w:val="18"/>
                      <w:highlight w:val="none"/>
                    </w:rPr>
                    <w:t>点）</w:t>
                  </w:r>
                </w:p>
              </w:tc>
              <w:tc>
                <w:tcPr>
                  <w:tcW w:w="1128"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主屏蔽区</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（墙体</w:t>
                  </w:r>
                  <w:r>
                    <w:rPr>
                      <w:rFonts w:hint="default" w:ascii="Times New Roman" w:hAnsi="Times New Roman" w:cs="Times New Roman"/>
                      <w:color w:val="auto"/>
                      <w:sz w:val="18"/>
                      <w:szCs w:val="18"/>
                      <w:highlight w:val="none"/>
                      <w:lang w:val="en-US" w:eastAsia="zh-CN"/>
                    </w:rPr>
                    <w:t>B</w:t>
                  </w:r>
                  <w:r>
                    <w:rPr>
                      <w:rFonts w:hint="default" w:ascii="Times New Roman" w:hAnsi="Times New Roman" w:cs="Times New Roman"/>
                      <w:color w:val="auto"/>
                      <w:sz w:val="18"/>
                      <w:szCs w:val="18"/>
                      <w:highlight w:val="none"/>
                      <w:vertAlign w:val="subscript"/>
                      <w:lang w:val="en-US" w:eastAsia="zh-CN"/>
                    </w:rPr>
                    <w:t>1</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color w:val="auto"/>
                      <w:sz w:val="18"/>
                      <w:szCs w:val="18"/>
                      <w:highlight w:val="none"/>
                      <w:lang w:val="en-US" w:eastAsia="zh-CN"/>
                    </w:rPr>
                    <w:t>B</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 w:val="18"/>
                      <w:szCs w:val="18"/>
                      <w:highlight w:val="none"/>
                    </w:rPr>
                    <w:t>点）</w:t>
                  </w:r>
                </w:p>
              </w:tc>
              <w:tc>
                <w:tcPr>
                  <w:tcW w:w="1148"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主屏蔽区</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（屋顶H</w:t>
                  </w:r>
                  <w:r>
                    <w:rPr>
                      <w:rFonts w:hint="default" w:ascii="Times New Roman" w:hAnsi="Times New Roman" w:cs="Times New Roman"/>
                      <w:color w:val="auto"/>
                      <w:sz w:val="18"/>
                      <w:szCs w:val="18"/>
                      <w:highlight w:val="none"/>
                      <w:vertAlign w:val="subscript"/>
                      <w:lang w:val="en-US" w:eastAsia="zh-CN"/>
                    </w:rPr>
                    <w:t>1</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 w:val="18"/>
                      <w:szCs w:val="18"/>
                      <w:highlight w:val="none"/>
                    </w:rPr>
                    <w:t>点）</w:t>
                  </w:r>
                </w:p>
              </w:tc>
              <w:tc>
                <w:tcPr>
                  <w:tcW w:w="2062" w:type="dxa"/>
                  <w:gridSpan w:val="2"/>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迷路</w:t>
                  </w:r>
                  <w:r>
                    <w:rPr>
                      <w:rFonts w:hint="default" w:ascii="Times New Roman" w:hAnsi="Times New Roman" w:cs="Times New Roman"/>
                      <w:color w:val="auto"/>
                      <w:sz w:val="18"/>
                      <w:szCs w:val="18"/>
                      <w:highlight w:val="none"/>
                    </w:rPr>
                    <w:t>外墙</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（K</w:t>
                  </w:r>
                  <w:r>
                    <w:rPr>
                      <w:rFonts w:hint="default" w:ascii="Times New Roman" w:hAnsi="Times New Roman" w:cs="Times New Roman"/>
                      <w:color w:val="auto"/>
                      <w:sz w:val="18"/>
                      <w:szCs w:val="18"/>
                      <w:highlight w:val="none"/>
                      <w:vertAlign w:val="subscript"/>
                      <w:lang w:val="en-US" w:eastAsia="zh-CN"/>
                    </w:rPr>
                    <w:t>1</w:t>
                  </w:r>
                  <w:r>
                    <w:rPr>
                      <w:rFonts w:hint="default" w:ascii="Times New Roman" w:hAnsi="Times New Roman" w:cs="Times New Roman"/>
                      <w:color w:val="auto"/>
                      <w:sz w:val="18"/>
                      <w:szCs w:val="18"/>
                      <w:highlight w:val="none"/>
                      <w:vertAlign w:val="baseline"/>
                      <w:lang w:val="en-US" w:eastAsia="zh-CN"/>
                    </w:rPr>
                    <w:t>、K</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 w:val="18"/>
                      <w:szCs w:val="18"/>
                      <w:highlight w:val="none"/>
                    </w:rPr>
                    <w:t>点）</w:t>
                  </w:r>
                </w:p>
              </w:tc>
              <w:tc>
                <w:tcPr>
                  <w:tcW w:w="2198" w:type="dxa"/>
                  <w:gridSpan w:val="3"/>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迷路</w:t>
                  </w:r>
                  <w:r>
                    <w:rPr>
                      <w:rFonts w:hint="default" w:ascii="Times New Roman" w:hAnsi="Times New Roman" w:cs="Times New Roman"/>
                      <w:color w:val="auto"/>
                      <w:sz w:val="18"/>
                      <w:szCs w:val="18"/>
                      <w:highlight w:val="none"/>
                    </w:rPr>
                    <w:t>内墙</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（G</w:t>
                  </w:r>
                  <w:r>
                    <w:rPr>
                      <w:rFonts w:hint="default" w:ascii="Times New Roman" w:hAnsi="Times New Roman" w:cs="Times New Roman"/>
                      <w:color w:val="auto"/>
                      <w:sz w:val="18"/>
                      <w:szCs w:val="18"/>
                      <w:highlight w:val="none"/>
                      <w:vertAlign w:val="subscript"/>
                      <w:lang w:val="en-US" w:eastAsia="zh-CN"/>
                    </w:rPr>
                    <w:t>1</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color w:val="auto"/>
                      <w:sz w:val="18"/>
                      <w:szCs w:val="18"/>
                      <w:highlight w:val="none"/>
                    </w:rPr>
                    <w:t>G</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 w:val="18"/>
                      <w:szCs w:val="18"/>
                      <w:highlight w:val="none"/>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38" w:type="dxa"/>
                  <w:tcBorders>
                    <w:top w:val="single" w:color="auto" w:sz="12" w:space="0"/>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He (μSv/h)</w:t>
                  </w:r>
                </w:p>
              </w:tc>
              <w:tc>
                <w:tcPr>
                  <w:tcW w:w="1099"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2.5</w:t>
                  </w:r>
                </w:p>
              </w:tc>
              <w:tc>
                <w:tcPr>
                  <w:tcW w:w="1128"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2.5</w:t>
                  </w:r>
                </w:p>
              </w:tc>
              <w:tc>
                <w:tcPr>
                  <w:tcW w:w="1148"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2.5</w:t>
                  </w:r>
                </w:p>
              </w:tc>
              <w:tc>
                <w:tcPr>
                  <w:tcW w:w="983"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2.5</w:t>
                  </w:r>
                </w:p>
              </w:tc>
              <w:tc>
                <w:tcPr>
                  <w:tcW w:w="1084" w:type="dxa"/>
                  <w:gridSpan w:val="2"/>
                  <w:tcBorders>
                    <w:top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2.5</w:t>
                  </w:r>
                </w:p>
              </w:tc>
              <w:tc>
                <w:tcPr>
                  <w:tcW w:w="1181" w:type="dxa"/>
                  <w:tcBorders>
                    <w:top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0.625</w:t>
                  </w:r>
                </w:p>
              </w:tc>
              <w:tc>
                <w:tcPr>
                  <w:tcW w:w="1014" w:type="dxa"/>
                  <w:gridSpan w:val="2"/>
                  <w:tcBorders>
                    <w:top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R（m）</w:t>
                  </w:r>
                </w:p>
              </w:tc>
              <w:tc>
                <w:tcPr>
                  <w:tcW w:w="109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6.</w:t>
                  </w:r>
                  <w:r>
                    <w:rPr>
                      <w:rFonts w:hint="default" w:ascii="Times New Roman" w:hAnsi="Times New Roman" w:cs="Times New Roman"/>
                      <w:color w:val="auto"/>
                      <w:sz w:val="18"/>
                      <w:szCs w:val="18"/>
                      <w:highlight w:val="none"/>
                      <w:lang w:val="en-US" w:eastAsia="zh-CN"/>
                    </w:rPr>
                    <w:t>75</w:t>
                  </w:r>
                </w:p>
              </w:tc>
              <w:tc>
                <w:tcPr>
                  <w:tcW w:w="112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6.</w:t>
                  </w:r>
                  <w:r>
                    <w:rPr>
                      <w:rFonts w:hint="default" w:ascii="Times New Roman" w:hAnsi="Times New Roman" w:cs="Times New Roman"/>
                      <w:color w:val="auto"/>
                      <w:sz w:val="18"/>
                      <w:szCs w:val="18"/>
                      <w:highlight w:val="none"/>
                      <w:lang w:val="en-US" w:eastAsia="zh-CN"/>
                    </w:rPr>
                    <w:t>75</w:t>
                  </w:r>
                </w:p>
              </w:tc>
              <w:tc>
                <w:tcPr>
                  <w:tcW w:w="114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5.70</w:t>
                  </w:r>
                </w:p>
              </w:tc>
              <w:tc>
                <w:tcPr>
                  <w:tcW w:w="98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10.23</w:t>
                  </w:r>
                </w:p>
              </w:tc>
              <w:tc>
                <w:tcPr>
                  <w:tcW w:w="108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9.73</w:t>
                  </w:r>
                </w:p>
              </w:tc>
              <w:tc>
                <w:tcPr>
                  <w:tcW w:w="1181"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10.45</w:t>
                  </w:r>
                </w:p>
              </w:tc>
              <w:tc>
                <w:tcPr>
                  <w:tcW w:w="101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i/>
                      <w:iCs/>
                      <w:color w:val="auto"/>
                      <w:sz w:val="18"/>
                      <w:szCs w:val="18"/>
                      <w:highlight w:val="none"/>
                      <w:vertAlign w:val="subscript"/>
                    </w:rPr>
                    <w:t>0</w:t>
                  </w:r>
                  <w:r>
                    <w:rPr>
                      <w:rFonts w:hint="default" w:ascii="Times New Roman" w:hAnsi="Times New Roman" w:cs="Times New Roman"/>
                      <w:color w:val="auto"/>
                      <w:sz w:val="18"/>
                      <w:szCs w:val="18"/>
                      <w:highlight w:val="none"/>
                    </w:rPr>
                    <w:t>(μSv.m</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/h)</w:t>
                  </w:r>
                </w:p>
              </w:tc>
              <w:tc>
                <w:tcPr>
                  <w:tcW w:w="109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8</w:t>
                  </w:r>
                </w:p>
              </w:tc>
              <w:tc>
                <w:tcPr>
                  <w:tcW w:w="112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8</w:t>
                  </w:r>
                </w:p>
              </w:tc>
              <w:tc>
                <w:tcPr>
                  <w:tcW w:w="114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8</w:t>
                  </w:r>
                </w:p>
              </w:tc>
              <w:tc>
                <w:tcPr>
                  <w:tcW w:w="9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8</w:t>
                  </w:r>
                </w:p>
              </w:tc>
              <w:tc>
                <w:tcPr>
                  <w:tcW w:w="108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8</w:t>
                  </w:r>
                </w:p>
              </w:tc>
              <w:tc>
                <w:tcPr>
                  <w:tcW w:w="1181"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8</w:t>
                  </w:r>
                </w:p>
              </w:tc>
              <w:tc>
                <w:tcPr>
                  <w:tcW w:w="101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f</w:t>
                  </w:r>
                </w:p>
              </w:tc>
              <w:tc>
                <w:tcPr>
                  <w:tcW w:w="109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112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114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9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108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1181"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101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B</w:t>
                  </w:r>
                </w:p>
              </w:tc>
              <w:tc>
                <w:tcPr>
                  <w:tcW w:w="109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6.32</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vertAlign w:val="superscript"/>
                      <w:lang w:val="en-US" w:eastAsia="zh-CN"/>
                    </w:rPr>
                    <w:t>7</w:t>
                  </w:r>
                </w:p>
              </w:tc>
              <w:tc>
                <w:tcPr>
                  <w:tcW w:w="112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6.32</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vertAlign w:val="superscript"/>
                      <w:lang w:val="en-US" w:eastAsia="zh-CN"/>
                    </w:rPr>
                    <w:t>7</w:t>
                  </w:r>
                </w:p>
              </w:tc>
              <w:tc>
                <w:tcPr>
                  <w:tcW w:w="114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7.33</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vertAlign w:val="superscript"/>
                      <w:lang w:val="en-US" w:eastAsia="zh-CN"/>
                    </w:rPr>
                    <w:t>6</w:t>
                  </w:r>
                </w:p>
              </w:tc>
              <w:tc>
                <w:tcPr>
                  <w:tcW w:w="98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1.82</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vertAlign w:val="superscript"/>
                      <w:lang w:val="en-US" w:eastAsia="zh-CN"/>
                    </w:rPr>
                    <w:t>4</w:t>
                  </w:r>
                </w:p>
              </w:tc>
              <w:tc>
                <w:tcPr>
                  <w:tcW w:w="108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1.64</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vertAlign w:val="superscript"/>
                      <w:lang w:val="en-US" w:eastAsia="zh-CN"/>
                    </w:rPr>
                    <w:t>4</w:t>
                  </w:r>
                </w:p>
              </w:tc>
              <w:tc>
                <w:tcPr>
                  <w:tcW w:w="1181"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1.90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-4</w:t>
                  </w:r>
                </w:p>
              </w:tc>
              <w:tc>
                <w:tcPr>
                  <w:tcW w:w="101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TVL</w:t>
                  </w:r>
                  <w:r>
                    <w:rPr>
                      <w:rFonts w:hint="default" w:ascii="Times New Roman" w:hAnsi="Times New Roman" w:cs="Times New Roman"/>
                      <w:color w:val="auto"/>
                      <w:sz w:val="18"/>
                      <w:szCs w:val="18"/>
                      <w:highlight w:val="none"/>
                      <w:vertAlign w:val="subscript"/>
                    </w:rPr>
                    <w:t>1</w:t>
                  </w:r>
                  <w:r>
                    <w:rPr>
                      <w:rFonts w:hint="default" w:ascii="Times New Roman" w:hAnsi="Times New Roman" w:cs="Times New Roman"/>
                      <w:color w:val="auto"/>
                      <w:sz w:val="18"/>
                      <w:szCs w:val="18"/>
                      <w:highlight w:val="none"/>
                    </w:rPr>
                    <w:t>（cm）</w:t>
                  </w:r>
                </w:p>
              </w:tc>
              <w:tc>
                <w:tcPr>
                  <w:tcW w:w="109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41</w:t>
                  </w:r>
                </w:p>
              </w:tc>
              <w:tc>
                <w:tcPr>
                  <w:tcW w:w="112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41</w:t>
                  </w:r>
                </w:p>
              </w:tc>
              <w:tc>
                <w:tcPr>
                  <w:tcW w:w="114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41</w:t>
                  </w:r>
                </w:p>
              </w:tc>
              <w:tc>
                <w:tcPr>
                  <w:tcW w:w="9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35</w:t>
                  </w:r>
                </w:p>
              </w:tc>
              <w:tc>
                <w:tcPr>
                  <w:tcW w:w="1084" w:type="dxa"/>
                  <w:gridSpan w:val="2"/>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35</w:t>
                  </w:r>
                </w:p>
              </w:tc>
              <w:tc>
                <w:tcPr>
                  <w:tcW w:w="1181"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35</w:t>
                  </w:r>
                </w:p>
              </w:tc>
              <w:tc>
                <w:tcPr>
                  <w:tcW w:w="1014" w:type="dxa"/>
                  <w:gridSpan w:val="2"/>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TVL（cm）</w:t>
                  </w:r>
                </w:p>
              </w:tc>
              <w:tc>
                <w:tcPr>
                  <w:tcW w:w="109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37</w:t>
                  </w:r>
                </w:p>
              </w:tc>
              <w:tc>
                <w:tcPr>
                  <w:tcW w:w="112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37</w:t>
                  </w:r>
                </w:p>
              </w:tc>
              <w:tc>
                <w:tcPr>
                  <w:tcW w:w="114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37</w:t>
                  </w:r>
                </w:p>
              </w:tc>
              <w:tc>
                <w:tcPr>
                  <w:tcW w:w="9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31</w:t>
                  </w:r>
                </w:p>
              </w:tc>
              <w:tc>
                <w:tcPr>
                  <w:tcW w:w="1084" w:type="dxa"/>
                  <w:gridSpan w:val="2"/>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31</w:t>
                  </w:r>
                </w:p>
              </w:tc>
              <w:tc>
                <w:tcPr>
                  <w:tcW w:w="1181"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31</w:t>
                  </w:r>
                </w:p>
              </w:tc>
              <w:tc>
                <w:tcPr>
                  <w:tcW w:w="1014" w:type="dxa"/>
                  <w:gridSpan w:val="2"/>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Xe（cm）</w:t>
                  </w:r>
                </w:p>
              </w:tc>
              <w:tc>
                <w:tcPr>
                  <w:tcW w:w="109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233</w:t>
                  </w:r>
                </w:p>
              </w:tc>
              <w:tc>
                <w:tcPr>
                  <w:tcW w:w="112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233</w:t>
                  </w:r>
                </w:p>
              </w:tc>
              <w:tc>
                <w:tcPr>
                  <w:tcW w:w="114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193</w:t>
                  </w:r>
                </w:p>
              </w:tc>
              <w:tc>
                <w:tcPr>
                  <w:tcW w:w="98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119</w:t>
                  </w:r>
                </w:p>
              </w:tc>
              <w:tc>
                <w:tcPr>
                  <w:tcW w:w="1084" w:type="dxa"/>
                  <w:gridSpan w:val="2"/>
                  <w:tcBorders>
                    <w:right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121</w:t>
                  </w:r>
                </w:p>
              </w:tc>
              <w:tc>
                <w:tcPr>
                  <w:tcW w:w="1181" w:type="dxa"/>
                  <w:tcBorders>
                    <w:right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kern w:val="0"/>
                      <w:sz w:val="18"/>
                      <w:szCs w:val="18"/>
                      <w:highlight w:val="none"/>
                      <w:lang w:val="en-US" w:eastAsia="zh-CN"/>
                    </w:rPr>
                    <w:t>119</w:t>
                  </w:r>
                </w:p>
              </w:tc>
              <w:tc>
                <w:tcPr>
                  <w:tcW w:w="1014" w:type="dxa"/>
                  <w:gridSpan w:val="2"/>
                  <w:tcBorders>
                    <w:right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斜射角θ（°）</w:t>
                  </w:r>
                </w:p>
              </w:tc>
              <w:tc>
                <w:tcPr>
                  <w:tcW w:w="109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112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114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9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23</w:t>
                  </w:r>
                </w:p>
              </w:tc>
              <w:tc>
                <w:tcPr>
                  <w:tcW w:w="108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w:t>
                  </w:r>
                </w:p>
              </w:tc>
              <w:tc>
                <w:tcPr>
                  <w:tcW w:w="1181"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25</w:t>
                  </w:r>
                </w:p>
              </w:tc>
              <w:tc>
                <w:tcPr>
                  <w:tcW w:w="101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X</w:t>
                  </w:r>
                  <w:r>
                    <w:rPr>
                      <w:rFonts w:hint="default" w:ascii="Times New Roman" w:hAnsi="Times New Roman" w:cs="Times New Roman"/>
                      <w:color w:val="auto"/>
                      <w:sz w:val="18"/>
                      <w:szCs w:val="18"/>
                      <w:highlight w:val="none"/>
                      <w:vertAlign w:val="subscript"/>
                    </w:rPr>
                    <w:t>1</w:t>
                  </w:r>
                  <w:r>
                    <w:rPr>
                      <w:rFonts w:hint="default" w:ascii="Times New Roman" w:hAnsi="Times New Roman" w:cs="Times New Roman"/>
                      <w:color w:val="auto"/>
                      <w:sz w:val="18"/>
                      <w:szCs w:val="18"/>
                      <w:highlight w:val="none"/>
                    </w:rPr>
                    <w:t>（cm）</w:t>
                  </w:r>
                </w:p>
              </w:tc>
              <w:tc>
                <w:tcPr>
                  <w:tcW w:w="109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233</w:t>
                  </w:r>
                </w:p>
              </w:tc>
              <w:tc>
                <w:tcPr>
                  <w:tcW w:w="112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233</w:t>
                  </w:r>
                </w:p>
              </w:tc>
              <w:tc>
                <w:tcPr>
                  <w:tcW w:w="114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193</w:t>
                  </w:r>
                </w:p>
              </w:tc>
              <w:tc>
                <w:tcPr>
                  <w:tcW w:w="98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110</w:t>
                  </w:r>
                </w:p>
              </w:tc>
              <w:tc>
                <w:tcPr>
                  <w:tcW w:w="108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117</w:t>
                  </w:r>
                </w:p>
              </w:tc>
              <w:tc>
                <w:tcPr>
                  <w:tcW w:w="1181"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108</w:t>
                  </w:r>
                </w:p>
              </w:tc>
              <w:tc>
                <w:tcPr>
                  <w:tcW w:w="1014" w:type="dxa"/>
                  <w:gridSpan w:val="2"/>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38"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设计厚度（cm）</w:t>
                  </w:r>
                </w:p>
              </w:tc>
              <w:tc>
                <w:tcPr>
                  <w:tcW w:w="109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300</w:t>
                  </w:r>
                </w:p>
              </w:tc>
              <w:tc>
                <w:tcPr>
                  <w:tcW w:w="112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300</w:t>
                  </w:r>
                </w:p>
              </w:tc>
              <w:tc>
                <w:tcPr>
                  <w:tcW w:w="114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300</w:t>
                  </w:r>
                </w:p>
              </w:tc>
              <w:tc>
                <w:tcPr>
                  <w:tcW w:w="98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170</w:t>
                  </w:r>
                </w:p>
              </w:tc>
              <w:tc>
                <w:tcPr>
                  <w:tcW w:w="1084" w:type="dxa"/>
                  <w:gridSpan w:val="2"/>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170</w:t>
                  </w:r>
                </w:p>
              </w:tc>
              <w:tc>
                <w:tcPr>
                  <w:tcW w:w="1181"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r>
                    <w:rPr>
                      <w:rFonts w:hint="default" w:ascii="Times New Roman" w:hAnsi="Times New Roman" w:cs="Times New Roman"/>
                      <w:color w:val="auto"/>
                      <w:sz w:val="18"/>
                      <w:szCs w:val="18"/>
                      <w:highlight w:val="none"/>
                      <w:lang w:val="en-US" w:eastAsia="zh-CN"/>
                    </w:rPr>
                    <w:t>7</w:t>
                  </w:r>
                  <w:r>
                    <w:rPr>
                      <w:rFonts w:hint="default" w:ascii="Times New Roman" w:hAnsi="Times New Roman" w:cs="Times New Roman"/>
                      <w:color w:val="auto"/>
                      <w:sz w:val="18"/>
                      <w:szCs w:val="18"/>
                      <w:highlight w:val="none"/>
                    </w:rPr>
                    <w:t>0</w:t>
                  </w:r>
                </w:p>
              </w:tc>
              <w:tc>
                <w:tcPr>
                  <w:tcW w:w="1014" w:type="dxa"/>
                  <w:gridSpan w:val="2"/>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r>
                    <w:rPr>
                      <w:rFonts w:hint="default" w:ascii="Times New Roman" w:hAnsi="Times New Roman" w:cs="Times New Roman"/>
                      <w:color w:val="auto"/>
                      <w:sz w:val="18"/>
                      <w:szCs w:val="18"/>
                      <w:highlight w:val="none"/>
                      <w:lang w:val="en-US" w:eastAsia="zh-CN"/>
                    </w:rPr>
                    <w:t>7</w:t>
                  </w:r>
                  <w:r>
                    <w:rPr>
                      <w:rFonts w:hint="default" w:ascii="Times New Roman" w:hAnsi="Times New Roman" w:cs="Times New Roman"/>
                      <w:color w:val="auto"/>
                      <w:sz w:val="18"/>
                      <w:szCs w:val="18"/>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38" w:type="dxa"/>
                  <w:tcBorders>
                    <w:left w:val="nil"/>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是否满足</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要求</w:t>
                  </w:r>
                </w:p>
              </w:tc>
              <w:tc>
                <w:tcPr>
                  <w:tcW w:w="1099"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满足</w:t>
                  </w:r>
                </w:p>
              </w:tc>
              <w:tc>
                <w:tcPr>
                  <w:tcW w:w="1128"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满足</w:t>
                  </w:r>
                </w:p>
              </w:tc>
              <w:tc>
                <w:tcPr>
                  <w:tcW w:w="1148" w:type="dxa"/>
                  <w:tcBorders>
                    <w:bottom w:val="single" w:color="auto" w:sz="12"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满足</w:t>
                  </w:r>
                </w:p>
              </w:tc>
              <w:tc>
                <w:tcPr>
                  <w:tcW w:w="983"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满足</w:t>
                  </w:r>
                </w:p>
              </w:tc>
              <w:tc>
                <w:tcPr>
                  <w:tcW w:w="1084" w:type="dxa"/>
                  <w:gridSpan w:val="2"/>
                  <w:tcBorders>
                    <w:bottom w:val="single" w:color="auto" w:sz="12" w:space="0"/>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满足</w:t>
                  </w:r>
                </w:p>
              </w:tc>
              <w:tc>
                <w:tcPr>
                  <w:tcW w:w="1181" w:type="dxa"/>
                  <w:tcBorders>
                    <w:bottom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满足</w:t>
                  </w:r>
                </w:p>
              </w:tc>
              <w:tc>
                <w:tcPr>
                  <w:tcW w:w="1014" w:type="dxa"/>
                  <w:gridSpan w:val="2"/>
                  <w:tcBorders>
                    <w:bottom w:val="single" w:color="auto" w:sz="12" w:space="0"/>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满足</w:t>
                  </w:r>
                </w:p>
              </w:tc>
            </w:tr>
          </w:tbl>
          <w:p>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②与主屏蔽区相连的次屏蔽区屏蔽厚度核算</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GBZ/201.2-2011，对于与主屏蔽区相连的次屏蔽区应考虑泄漏辐射和患者的一次散射辐射的复合作用，分别计算其所需屏蔽厚度，取较厚者。泄漏辐射所需厚度按照式11-1、11-2、11-3进行计算，散射辐射的透射因子按式11-2、11-3、11-4进行计算（TVL</w:t>
            </w:r>
            <w:r>
              <w:rPr>
                <w:rFonts w:hint="default" w:ascii="Times New Roman" w:hAnsi="Times New Roman" w:cs="Times New Roman"/>
                <w:color w:val="auto"/>
                <w:sz w:val="24"/>
                <w:highlight w:val="none"/>
                <w:vertAlign w:val="subscript"/>
              </w:rPr>
              <w:t>l</w:t>
            </w:r>
            <w:r>
              <w:rPr>
                <w:rFonts w:hint="default" w:ascii="Times New Roman" w:hAnsi="Times New Roman" w:cs="Times New Roman"/>
                <w:color w:val="auto"/>
                <w:sz w:val="24"/>
                <w:highlight w:val="none"/>
              </w:rPr>
              <w:t>（cm）和TVL（cm）为辐射在屏蔽物质中的第一个什值层厚度和平衡什值层厚度。</w:t>
            </w:r>
          </w:p>
          <w:p>
            <w:pPr>
              <w:keepNext w:val="0"/>
              <w:keepLines w:val="0"/>
              <w:suppressLineNumbers w:val="0"/>
              <w:spacing w:before="0" w:beforeAutospacing="0" w:after="0" w:afterAutospacing="0" w:line="360" w:lineRule="auto"/>
              <w:ind w:left="0" w:right="0"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position w:val="-32"/>
                <w:szCs w:val="21"/>
                <w:highlight w:val="none"/>
              </w:rPr>
              <w:object>
                <v:shape id="_x0000_i1030" o:spt="75" type="#_x0000_t75" style="height:34.65pt;width:108.4pt;" o:ole="t" filled="f" o:preferrelative="t" stroked="f" coordsize="21600,21600">
                  <v:path/>
                  <v:fill on="f" focussize="0,0"/>
                  <v:stroke on="f"/>
                  <v:imagedata r:id="rId35" o:title=""/>
                  <o:lock v:ext="edit" aspectratio="t"/>
                  <w10:wrap type="none"/>
                  <w10:anchorlock/>
                </v:shape>
                <o:OLEObject Type="Embed" ProgID="Equation.3" ShapeID="_x0000_i1030" DrawAspect="Content" ObjectID="_1468075730" r:id="rId34">
                  <o:LockedField>false</o:LockedField>
                </o:OLEObject>
              </w:object>
            </w:r>
            <w:r>
              <w:rPr>
                <w:rFonts w:hint="default" w:ascii="Times New Roman" w:hAnsi="Times New Roman" w:cs="Times New Roman"/>
                <w:color w:val="auto"/>
                <w:szCs w:val="21"/>
                <w:highlight w:val="none"/>
              </w:rPr>
              <w:t>....................................式(11-4)</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w:t>
            </w:r>
            <w:r>
              <w:rPr>
                <w:rFonts w:hint="default" w:ascii="Times New Roman" w:hAnsi="Times New Roman" w:cs="Times New Roman"/>
                <w:color w:val="auto"/>
                <w:szCs w:val="21"/>
                <w:highlight w:val="none"/>
              </w:rPr>
              <w:object>
                <v:shape id="_x0000_i1031" o:spt="75" type="#_x0000_t75" style="height:19.35pt;width:19.35pt;" o:ole="t" filled="f" o:preferrelative="t" stroked="f" coordsize="21600,21600">
                  <v:path/>
                  <v:fill on="f" focussize="0,0"/>
                  <v:stroke on="f" joinstyle="miter"/>
                  <v:imagedata r:id="rId37" o:title=""/>
                  <o:lock v:ext="edit" aspectratio="t"/>
                  <w10:wrap type="none"/>
                  <w10:anchorlock/>
                </v:shape>
                <o:OLEObject Type="Embed" ProgID="Equation.3" ShapeID="_x0000_i1031" DrawAspect="Content" ObjectID="_1468075731" r:id="rId36">
                  <o:LockedField>false</o:LockedField>
                </o:OLEObject>
              </w:object>
            </w:r>
            <w:r>
              <w:rPr>
                <w:rFonts w:hint="default" w:ascii="Times New Roman" w:hAnsi="Times New Roman" w:cs="Times New Roman"/>
                <w:color w:val="auto"/>
                <w:szCs w:val="21"/>
                <w:highlight w:val="none"/>
              </w:rPr>
              <w:t>—患者400cm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 xml:space="preserve"> 面积上垂直入射X射线散射至距其1m（关注点方向）处的剂量比例，又称400cm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 xml:space="preserve"> 面积上的散射因子；</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F—治疗装置有用束在等中心处的最大治疗野面积，cm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lang w:eastAsia="zh-CN"/>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表11-</w:t>
            </w:r>
            <w:r>
              <w:rPr>
                <w:rFonts w:hint="default" w:ascii="Times New Roman" w:hAnsi="Times New Roman" w:cs="Times New Roman"/>
                <w:b/>
                <w:bCs/>
                <w:color w:val="auto"/>
                <w:sz w:val="21"/>
                <w:szCs w:val="21"/>
                <w:highlight w:val="none"/>
                <w:lang w:val="en-US" w:eastAsia="zh-CN"/>
              </w:rPr>
              <w:t>3  1#、3#</w:t>
            </w:r>
            <w:r>
              <w:rPr>
                <w:rFonts w:hint="default" w:ascii="Times New Roman" w:hAnsi="Times New Roman" w:cs="Times New Roman"/>
                <w:b/>
                <w:bCs/>
                <w:color w:val="auto"/>
                <w:sz w:val="21"/>
                <w:szCs w:val="21"/>
                <w:highlight w:val="none"/>
              </w:rPr>
              <w:t>与主屏蔽区相连的次屏蔽区漏射辐射屏蔽厚度核算</w:t>
            </w:r>
          </w:p>
          <w:tbl>
            <w:tblPr>
              <w:tblStyle w:val="17"/>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046"/>
              <w:gridCol w:w="1196"/>
              <w:gridCol w:w="1134"/>
              <w:gridCol w:w="1115"/>
              <w:gridCol w:w="1642"/>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blHeader/>
                <w:jc w:val="center"/>
              </w:trPr>
              <w:tc>
                <w:tcPr>
                  <w:tcW w:w="1190" w:type="dxa"/>
                  <w:tcBorders>
                    <w:top w:val="single" w:color="auto" w:sz="12" w:space="0"/>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参数</w:t>
                  </w:r>
                </w:p>
              </w:tc>
              <w:tc>
                <w:tcPr>
                  <w:tcW w:w="1046"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vertAlign w:val="subscript"/>
                      <w:lang w:val="en-US" w:eastAsia="zh-CN"/>
                    </w:rPr>
                    <w:t>1</w:t>
                  </w:r>
                </w:p>
              </w:tc>
              <w:tc>
                <w:tcPr>
                  <w:tcW w:w="1196"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rPr>
                    <w:t>点</w:t>
                  </w:r>
                </w:p>
              </w:tc>
              <w:tc>
                <w:tcPr>
                  <w:tcW w:w="1134"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C</w:t>
                  </w:r>
                  <w:r>
                    <w:rPr>
                      <w:rFonts w:hint="default" w:ascii="Times New Roman" w:hAnsi="Times New Roman" w:cs="Times New Roman"/>
                      <w:color w:val="auto"/>
                      <w:szCs w:val="21"/>
                      <w:highlight w:val="none"/>
                      <w:vertAlign w:val="subscript"/>
                      <w:lang w:val="en-US" w:eastAsia="zh-CN"/>
                    </w:rPr>
                    <w:t>1</w:t>
                  </w:r>
                  <w:r>
                    <w:rPr>
                      <w:rFonts w:hint="default" w:ascii="Times New Roman" w:hAnsi="Times New Roman" w:cs="Times New Roman"/>
                      <w:color w:val="auto"/>
                      <w:szCs w:val="21"/>
                      <w:highlight w:val="none"/>
                      <w:vertAlign w:val="baseline"/>
                      <w:lang w:val="en-US" w:eastAsia="zh-CN"/>
                    </w:rPr>
                    <w:t>点</w:t>
                  </w:r>
                </w:p>
              </w:tc>
              <w:tc>
                <w:tcPr>
                  <w:tcW w:w="1115"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C</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rPr>
                    <w:t>点</w:t>
                  </w:r>
                </w:p>
              </w:tc>
              <w:tc>
                <w:tcPr>
                  <w:tcW w:w="1642"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屋顶M</w:t>
                  </w:r>
                  <w:r>
                    <w:rPr>
                      <w:rFonts w:hint="default" w:ascii="Times New Roman" w:hAnsi="Times New Roman" w:cs="Times New Roman"/>
                      <w:color w:val="auto"/>
                      <w:szCs w:val="21"/>
                      <w:highlight w:val="none"/>
                      <w:vertAlign w:val="subscript"/>
                      <w:lang w:val="en-US" w:eastAsia="zh-CN"/>
                    </w:rPr>
                    <w:t>1</w:t>
                  </w:r>
                  <w:r>
                    <w:rPr>
                      <w:rFonts w:hint="default" w:ascii="Times New Roman" w:hAnsi="Times New Roman" w:cs="Times New Roman"/>
                      <w:color w:val="auto"/>
                      <w:szCs w:val="21"/>
                      <w:highlight w:val="none"/>
                      <w:vertAlign w:val="baseline"/>
                      <w:lang w:val="en-US" w:eastAsia="zh-CN"/>
                    </w:rPr>
                    <w:t>、</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rPr>
                    <w:t>点</w:t>
                  </w:r>
                </w:p>
              </w:tc>
              <w:tc>
                <w:tcPr>
                  <w:tcW w:w="1614"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侧墙</w:t>
                  </w:r>
                  <w:r>
                    <w:rPr>
                      <w:rFonts w:hint="default" w:ascii="Times New Roman" w:hAnsi="Times New Roman" w:cs="Times New Roman"/>
                      <w:color w:val="auto"/>
                      <w:szCs w:val="21"/>
                      <w:highlight w:val="none"/>
                      <w:lang w:val="en-US" w:eastAsia="zh-CN"/>
                    </w:rPr>
                    <w:t>E</w:t>
                  </w:r>
                  <w:r>
                    <w:rPr>
                      <w:rFonts w:hint="default" w:ascii="Times New Roman" w:hAnsi="Times New Roman" w:cs="Times New Roman"/>
                      <w:color w:val="auto"/>
                      <w:szCs w:val="21"/>
                      <w:highlight w:val="none"/>
                      <w:vertAlign w:val="subscript"/>
                      <w:lang w:val="en-US" w:eastAsia="zh-CN"/>
                    </w:rPr>
                    <w:t>1</w:t>
                  </w:r>
                  <w:r>
                    <w:rPr>
                      <w:rFonts w:hint="default" w:ascii="Times New Roman" w:hAnsi="Times New Roman" w:cs="Times New Roman"/>
                      <w:color w:val="auto"/>
                      <w:szCs w:val="21"/>
                      <w:highlight w:val="none"/>
                      <w:vertAlign w:val="baseline"/>
                      <w:lang w:val="en-US" w:eastAsia="zh-CN"/>
                    </w:rPr>
                    <w:t>、</w:t>
                  </w:r>
                  <w:r>
                    <w:rPr>
                      <w:rFonts w:hint="default" w:ascii="Times New Roman" w:hAnsi="Times New Roman" w:cs="Times New Roman"/>
                      <w:color w:val="auto"/>
                      <w:szCs w:val="21"/>
                      <w:highlight w:val="none"/>
                      <w:lang w:val="en-US" w:eastAsia="zh-CN"/>
                    </w:rPr>
                    <w:t>E</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90" w:type="dxa"/>
                  <w:tcBorders>
                    <w:top w:val="single" w:color="auto" w:sz="12" w:space="0"/>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He(μSv/h)</w:t>
                  </w:r>
                </w:p>
              </w:tc>
              <w:tc>
                <w:tcPr>
                  <w:tcW w:w="1046"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196"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134"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115" w:type="dxa"/>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642" w:type="dxa"/>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1.25</w:t>
                  </w:r>
                </w:p>
              </w:tc>
              <w:tc>
                <w:tcPr>
                  <w:tcW w:w="1614" w:type="dxa"/>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R（m）</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7.</w:t>
                  </w:r>
                  <w:r>
                    <w:rPr>
                      <w:rFonts w:hint="default" w:ascii="Times New Roman" w:hAnsi="Times New Roman" w:cs="Times New Roman"/>
                      <w:color w:val="auto"/>
                      <w:szCs w:val="21"/>
                      <w:highlight w:val="none"/>
                      <w:lang w:val="en-US" w:eastAsia="zh-CN"/>
                    </w:rPr>
                    <w:t>67</w:t>
                  </w:r>
                </w:p>
              </w:tc>
              <w:tc>
                <w:tcPr>
                  <w:tcW w:w="11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7.31</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7.</w:t>
                  </w:r>
                  <w:r>
                    <w:rPr>
                      <w:rFonts w:hint="default" w:ascii="Times New Roman" w:hAnsi="Times New Roman" w:cs="Times New Roman"/>
                      <w:color w:val="auto"/>
                      <w:szCs w:val="21"/>
                      <w:highlight w:val="none"/>
                      <w:lang w:val="en-US" w:eastAsia="zh-CN"/>
                    </w:rPr>
                    <w:t>98</w:t>
                  </w:r>
                </w:p>
              </w:tc>
              <w:tc>
                <w:tcPr>
                  <w:tcW w:w="111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7.64</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4.87</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0</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(μSv.m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/h)</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c>
                <w:tcPr>
                  <w:tcW w:w="11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c>
                <w:tcPr>
                  <w:tcW w:w="111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1"/>
                      <w:szCs w:val="21"/>
                      <w:highlight w:val="none"/>
                      <w:lang w:val="en-US" w:eastAsia="zh-CN"/>
                    </w:rPr>
                    <w:t>f</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1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11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透射因子B</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2.04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4</w:t>
                  </w:r>
                </w:p>
              </w:tc>
              <w:tc>
                <w:tcPr>
                  <w:tcW w:w="11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1.86</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4</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2.21</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-4</w:t>
                  </w:r>
                </w:p>
              </w:tc>
              <w:tc>
                <w:tcPr>
                  <w:tcW w:w="111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2.03</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-4</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8.24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-5</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1.01</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TVL</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（cm）</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19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115"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35</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TVL（cm）</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w:t>
                  </w:r>
                </w:p>
              </w:tc>
              <w:tc>
                <w:tcPr>
                  <w:tcW w:w="119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w:t>
                  </w:r>
                </w:p>
              </w:tc>
              <w:tc>
                <w:tcPr>
                  <w:tcW w:w="1115"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31</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Xe（cm）</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118</w:t>
                  </w:r>
                </w:p>
              </w:tc>
              <w:tc>
                <w:tcPr>
                  <w:tcW w:w="11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119</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117</w:t>
                  </w:r>
                </w:p>
              </w:tc>
              <w:tc>
                <w:tcPr>
                  <w:tcW w:w="111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118</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130</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斜射角θ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27</w:t>
                  </w:r>
                </w:p>
              </w:tc>
              <w:tc>
                <w:tcPr>
                  <w:tcW w:w="11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33</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33</w:t>
                  </w:r>
                </w:p>
              </w:tc>
              <w:tc>
                <w:tcPr>
                  <w:tcW w:w="111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28</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24</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（cm）</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105</w:t>
                  </w:r>
                </w:p>
              </w:tc>
              <w:tc>
                <w:tcPr>
                  <w:tcW w:w="11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100</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98</w:t>
                  </w:r>
                </w:p>
              </w:tc>
              <w:tc>
                <w:tcPr>
                  <w:tcW w:w="111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104</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119</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90"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设计屏蔽厚度（cm）</w:t>
                  </w:r>
                </w:p>
              </w:tc>
              <w:tc>
                <w:tcPr>
                  <w:tcW w:w="104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170</w:t>
                  </w:r>
                </w:p>
              </w:tc>
              <w:tc>
                <w:tcPr>
                  <w:tcW w:w="11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170</w:t>
                  </w:r>
                </w:p>
              </w:tc>
              <w:tc>
                <w:tcPr>
                  <w:tcW w:w="11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w:t>
                  </w:r>
                </w:p>
              </w:tc>
              <w:tc>
                <w:tcPr>
                  <w:tcW w:w="111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w:t>
                  </w:r>
                </w:p>
              </w:tc>
              <w:tc>
                <w:tcPr>
                  <w:tcW w:w="164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170</w:t>
                  </w:r>
                </w:p>
              </w:tc>
              <w:tc>
                <w:tcPr>
                  <w:tcW w:w="1614"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90" w:type="dxa"/>
                  <w:tcBorders>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设计是否满足要求</w:t>
                  </w:r>
                </w:p>
              </w:tc>
              <w:tc>
                <w:tcPr>
                  <w:tcW w:w="1046"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196"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134"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115"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642"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满足</w:t>
                  </w:r>
                </w:p>
              </w:tc>
              <w:tc>
                <w:tcPr>
                  <w:tcW w:w="1614"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表11-4 与主屏蔽区相连的次屏蔽区散射辐射屏蔽厚度核算</w:t>
            </w:r>
          </w:p>
          <w:tbl>
            <w:tblPr>
              <w:tblStyle w:val="17"/>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763"/>
              <w:gridCol w:w="1499"/>
              <w:gridCol w:w="1499"/>
              <w:gridCol w:w="1317"/>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1482" w:type="dxa"/>
                  <w:tcBorders>
                    <w:top w:val="single" w:color="auto" w:sz="12" w:space="0"/>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参数</w:t>
                  </w:r>
                </w:p>
              </w:tc>
              <w:tc>
                <w:tcPr>
                  <w:tcW w:w="1763"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vertAlign w:val="subscript"/>
                      <w:lang w:val="en-US" w:eastAsia="zh-CN"/>
                    </w:rPr>
                    <w:t>1</w:t>
                  </w:r>
                  <w:r>
                    <w:rPr>
                      <w:rFonts w:hint="default" w:ascii="Times New Roman" w:hAnsi="Times New Roman" w:cs="Times New Roman"/>
                      <w:color w:val="auto"/>
                      <w:szCs w:val="21"/>
                      <w:highlight w:val="none"/>
                    </w:rPr>
                    <w:t>点</w:t>
                  </w:r>
                </w:p>
              </w:tc>
              <w:tc>
                <w:tcPr>
                  <w:tcW w:w="1499"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rPr>
                    <w:t>点</w:t>
                  </w:r>
                </w:p>
              </w:tc>
              <w:tc>
                <w:tcPr>
                  <w:tcW w:w="1499"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C</w:t>
                  </w:r>
                  <w:r>
                    <w:rPr>
                      <w:rFonts w:hint="default" w:ascii="Times New Roman" w:hAnsi="Times New Roman" w:cs="Times New Roman"/>
                      <w:color w:val="auto"/>
                      <w:szCs w:val="21"/>
                      <w:highlight w:val="none"/>
                      <w:vertAlign w:val="subscript"/>
                      <w:lang w:val="en-US" w:eastAsia="zh-CN"/>
                    </w:rPr>
                    <w:t>1</w:t>
                  </w:r>
                  <w:r>
                    <w:rPr>
                      <w:rFonts w:hint="default" w:ascii="Times New Roman" w:hAnsi="Times New Roman" w:cs="Times New Roman"/>
                      <w:color w:val="auto"/>
                      <w:szCs w:val="21"/>
                      <w:highlight w:val="none"/>
                    </w:rPr>
                    <w:t>点</w:t>
                  </w:r>
                </w:p>
              </w:tc>
              <w:tc>
                <w:tcPr>
                  <w:tcW w:w="1317"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C</w:t>
                  </w:r>
                  <w:r>
                    <w:rPr>
                      <w:rFonts w:hint="default" w:ascii="Times New Roman" w:hAnsi="Times New Roman" w:cs="Times New Roman"/>
                      <w:color w:val="auto"/>
                      <w:szCs w:val="21"/>
                      <w:highlight w:val="none"/>
                      <w:vertAlign w:val="subscript"/>
                      <w:lang w:val="en-US" w:eastAsia="zh-CN"/>
                    </w:rPr>
                    <w:t>3</w:t>
                  </w:r>
                  <w:r>
                    <w:rPr>
                      <w:rFonts w:hint="default" w:ascii="Times New Roman" w:hAnsi="Times New Roman" w:cs="Times New Roman"/>
                      <w:color w:val="auto"/>
                      <w:szCs w:val="21"/>
                      <w:highlight w:val="none"/>
                    </w:rPr>
                    <w:t>点</w:t>
                  </w:r>
                </w:p>
              </w:tc>
              <w:tc>
                <w:tcPr>
                  <w:tcW w:w="1317"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屋顶M点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482" w:type="dxa"/>
                  <w:tcBorders>
                    <w:top w:val="single" w:color="auto" w:sz="12" w:space="0"/>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He(μSv/h)</w:t>
                  </w:r>
                </w:p>
              </w:tc>
              <w:tc>
                <w:tcPr>
                  <w:tcW w:w="1763"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499" w:type="dxa"/>
                  <w:tcBorders>
                    <w:top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499"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317" w:type="dxa"/>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317" w:type="dxa"/>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R（m）</w:t>
                  </w:r>
                </w:p>
              </w:tc>
              <w:tc>
                <w:tcPr>
                  <w:tcW w:w="176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7.</w:t>
                  </w:r>
                  <w:r>
                    <w:rPr>
                      <w:rFonts w:hint="default" w:ascii="Times New Roman" w:hAnsi="Times New Roman" w:cs="Times New Roman"/>
                      <w:color w:val="auto"/>
                      <w:szCs w:val="21"/>
                      <w:highlight w:val="none"/>
                      <w:lang w:val="en-US" w:eastAsia="zh-CN"/>
                    </w:rPr>
                    <w:t>67</w:t>
                  </w:r>
                </w:p>
              </w:tc>
              <w:tc>
                <w:tcPr>
                  <w:tcW w:w="149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7.31</w:t>
                  </w:r>
                </w:p>
              </w:tc>
              <w:tc>
                <w:tcPr>
                  <w:tcW w:w="149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7.</w:t>
                  </w:r>
                  <w:r>
                    <w:rPr>
                      <w:rFonts w:hint="default" w:ascii="Times New Roman" w:hAnsi="Times New Roman" w:cs="Times New Roman"/>
                      <w:color w:val="auto"/>
                      <w:szCs w:val="21"/>
                      <w:highlight w:val="none"/>
                      <w:lang w:val="en-US" w:eastAsia="zh-CN"/>
                    </w:rPr>
                    <w:t>98</w:t>
                  </w:r>
                </w:p>
              </w:tc>
              <w:tc>
                <w:tcPr>
                  <w:tcW w:w="1317"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7.67</w:t>
                  </w:r>
                </w:p>
              </w:tc>
              <w:tc>
                <w:tcPr>
                  <w:tcW w:w="1317"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(μSv.m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/h）</w:t>
                  </w:r>
                </w:p>
              </w:tc>
              <w:tc>
                <w:tcPr>
                  <w:tcW w:w="17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3.6</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α</w:t>
                  </w:r>
                  <w:r>
                    <w:rPr>
                      <w:rFonts w:hint="default" w:ascii="Times New Roman" w:hAnsi="Times New Roman" w:cs="Times New Roman"/>
                      <w:color w:val="auto"/>
                      <w:szCs w:val="21"/>
                      <w:highlight w:val="none"/>
                      <w:vertAlign w:val="subscript"/>
                    </w:rPr>
                    <w:t>ph</w:t>
                  </w:r>
                  <w:r>
                    <w:rPr>
                      <w:rFonts w:hint="default" w:ascii="Times New Roman" w:hAnsi="Times New Roman" w:cs="Times New Roman"/>
                      <w:color w:val="auto"/>
                      <w:szCs w:val="21"/>
                      <w:highlight w:val="none"/>
                    </w:rPr>
                    <w:t xml:space="preserve"> </w:t>
                  </w:r>
                </w:p>
              </w:tc>
              <w:tc>
                <w:tcPr>
                  <w:tcW w:w="17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1.35×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1.35×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1.35×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F(cm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w:t>
                  </w:r>
                </w:p>
              </w:tc>
              <w:tc>
                <w:tcPr>
                  <w:tcW w:w="17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40×40</w:t>
                  </w:r>
                  <w:r>
                    <w:rPr>
                      <w:rFonts w:hint="default" w:ascii="Times New Roman" w:hAnsi="Times New Roman" w:cs="Times New Roman"/>
                      <w:color w:val="auto"/>
                      <w:szCs w:val="21"/>
                      <w:highlight w:val="none"/>
                      <w:lang w:val="en-US" w:eastAsia="zh-CN"/>
                    </w:rPr>
                    <w:t xml:space="preserve">   </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40×40</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40×40</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40×40</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40×40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透射因子B</w:t>
                  </w:r>
                  <w:r>
                    <w:rPr>
                      <w:rFonts w:hint="default" w:ascii="Times New Roman" w:hAnsi="Times New Roman" w:cs="Times New Roman"/>
                      <w:color w:val="auto"/>
                      <w:szCs w:val="21"/>
                      <w:highlight w:val="none"/>
                      <w:vertAlign w:val="subscript"/>
                      <w:lang w:val="en-US" w:eastAsia="zh-CN"/>
                    </w:rPr>
                    <w:t>1</w:t>
                  </w:r>
                </w:p>
              </w:tc>
              <w:tc>
                <w:tcPr>
                  <w:tcW w:w="17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60</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-5</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-5</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73</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-5</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1.61</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-5</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lang w:val="en-US" w:eastAsia="zh-CN"/>
                    </w:rPr>
                    <w:t>6.47</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TVL（cm）</w:t>
                  </w:r>
                </w:p>
              </w:tc>
              <w:tc>
                <w:tcPr>
                  <w:tcW w:w="17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28</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有效屏蔽厚度Xe（cm）</w:t>
                  </w:r>
                </w:p>
              </w:tc>
              <w:tc>
                <w:tcPr>
                  <w:tcW w:w="17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134</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135</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133</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134</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斜射角θ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w:t>
                  </w:r>
                </w:p>
              </w:tc>
              <w:tc>
                <w:tcPr>
                  <w:tcW w:w="176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27</w:t>
                  </w:r>
                </w:p>
              </w:tc>
              <w:tc>
                <w:tcPr>
                  <w:tcW w:w="149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33</w:t>
                  </w:r>
                </w:p>
              </w:tc>
              <w:tc>
                <w:tcPr>
                  <w:tcW w:w="149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33</w:t>
                  </w:r>
                </w:p>
              </w:tc>
              <w:tc>
                <w:tcPr>
                  <w:tcW w:w="1317"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28</w:t>
                  </w:r>
                </w:p>
              </w:tc>
              <w:tc>
                <w:tcPr>
                  <w:tcW w:w="1317"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散射所需屏蔽厚（cm）</w:t>
                  </w:r>
                </w:p>
              </w:tc>
              <w:tc>
                <w:tcPr>
                  <w:tcW w:w="17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119</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113</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111</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119</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82"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设计厚度（cm）</w:t>
                  </w:r>
                </w:p>
              </w:tc>
              <w:tc>
                <w:tcPr>
                  <w:tcW w:w="17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0</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w:t>
                  </w:r>
                </w:p>
              </w:tc>
              <w:tc>
                <w:tcPr>
                  <w:tcW w:w="1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80</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170</w:t>
                  </w:r>
                </w:p>
              </w:tc>
              <w:tc>
                <w:tcPr>
                  <w:tcW w:w="1317"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2" w:type="dxa"/>
                  <w:tcBorders>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设计是否满足要求</w:t>
                  </w:r>
                </w:p>
              </w:tc>
              <w:tc>
                <w:tcPr>
                  <w:tcW w:w="1763"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499"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499"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317"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317"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满足</w:t>
                  </w:r>
                </w:p>
              </w:tc>
            </w:tr>
          </w:tbl>
          <w:p>
            <w:pPr>
              <w:keepNext w:val="0"/>
              <w:keepLines w:val="0"/>
              <w:suppressLineNumbers w:val="0"/>
              <w:spacing w:before="0" w:beforeAutospacing="0" w:after="0" w:afterAutospacing="0"/>
              <w:ind w:left="0" w:right="0" w:firstLine="361" w:firstLineChars="200"/>
              <w:jc w:val="left"/>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备注：①对于与主屏蔽区相连的次屏蔽区漏射辐射、散射辐射所需屏蔽厚度核算时，剂量率参考控制水平取主屏蔽方向的一半;②当未说明TVL</w:t>
            </w:r>
            <w:r>
              <w:rPr>
                <w:rFonts w:hint="default" w:ascii="Times New Roman" w:hAnsi="Times New Roman" w:cs="Times New Roman"/>
                <w:b/>
                <w:bCs/>
                <w:color w:val="auto"/>
                <w:sz w:val="18"/>
                <w:szCs w:val="18"/>
                <w:highlight w:val="none"/>
                <w:vertAlign w:val="subscript"/>
              </w:rPr>
              <w:t>1</w:t>
            </w:r>
            <w:r>
              <w:rPr>
                <w:rFonts w:hint="default" w:ascii="Times New Roman" w:hAnsi="Times New Roman" w:cs="Times New Roman"/>
                <w:b/>
                <w:bCs/>
                <w:color w:val="auto"/>
                <w:sz w:val="18"/>
                <w:szCs w:val="18"/>
                <w:highlight w:val="none"/>
              </w:rPr>
              <w:t>时，TVL</w:t>
            </w:r>
            <w:r>
              <w:rPr>
                <w:rFonts w:hint="default" w:ascii="Times New Roman" w:hAnsi="Times New Roman" w:cs="Times New Roman"/>
                <w:b/>
                <w:bCs/>
                <w:color w:val="auto"/>
                <w:sz w:val="18"/>
                <w:szCs w:val="18"/>
                <w:highlight w:val="none"/>
                <w:vertAlign w:val="subscript"/>
              </w:rPr>
              <w:t>1</w:t>
            </w:r>
            <w:r>
              <w:rPr>
                <w:rFonts w:hint="default" w:ascii="Times New Roman" w:hAnsi="Times New Roman" w:cs="Times New Roman"/>
                <w:b/>
                <w:bCs/>
                <w:color w:val="auto"/>
                <w:sz w:val="18"/>
                <w:szCs w:val="18"/>
                <w:highlight w:val="none"/>
              </w:rPr>
              <w:t>=TVL。</w:t>
            </w:r>
          </w:p>
          <w:p>
            <w:pPr>
              <w:keepNext w:val="0"/>
              <w:keepLines w:val="0"/>
              <w:suppressLineNumbers w:val="0"/>
              <w:spacing w:before="0" w:beforeAutospacing="0" w:after="0" w:afterAutospacing="0" w:line="360" w:lineRule="auto"/>
              <w:ind w:left="420" w:leftChars="200" w:right="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③</w:t>
            </w:r>
            <w:r>
              <w:rPr>
                <w:rFonts w:hint="default" w:ascii="Times New Roman" w:hAnsi="Times New Roman" w:cs="Times New Roman"/>
                <w:b/>
                <w:bCs/>
                <w:color w:val="auto"/>
                <w:sz w:val="24"/>
                <w:highlight w:val="none"/>
                <w:lang w:val="en-US" w:eastAsia="zh-CN"/>
              </w:rPr>
              <w:t>1#、3#</w:t>
            </w:r>
            <w:r>
              <w:rPr>
                <w:rFonts w:hint="default" w:ascii="Times New Roman" w:hAnsi="Times New Roman" w:cs="Times New Roman"/>
                <w:b/>
                <w:bCs/>
                <w:color w:val="auto"/>
                <w:sz w:val="24"/>
                <w:highlight w:val="none"/>
              </w:rPr>
              <w:t>防护门铅厚度（X）校核</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根据《放射治疗机房的辐射屏蔽规范第2部分：电子直线加速器放射治疗机房》（GBZ/T201.2-201l），防护门铅厚度校核公式为：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X=TVL·logB</w:t>
            </w:r>
            <w:r>
              <w:rPr>
                <w:rFonts w:hint="default" w:ascii="Times New Roman" w:hAnsi="Times New Roman" w:cs="Times New Roman"/>
                <w:bCs/>
                <w:color w:val="auto"/>
                <w:sz w:val="24"/>
                <w:szCs w:val="24"/>
                <w:highlight w:val="none"/>
                <w:vertAlign w:val="superscript"/>
              </w:rPr>
              <w:t>-1</w:t>
            </w:r>
            <w:r>
              <w:rPr>
                <w:rFonts w:hint="default" w:ascii="Times New Roman" w:hAnsi="Times New Roman" w:cs="Times New Roman"/>
                <w:color w:val="auto"/>
                <w:sz w:val="24"/>
                <w:szCs w:val="24"/>
                <w:highlight w:val="none"/>
              </w:rPr>
              <w:t>………………………………………（式11-5）</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32"/>
                <w:sz w:val="24"/>
                <w:szCs w:val="24"/>
                <w:highlight w:val="none"/>
              </w:rPr>
              <w:object>
                <v:shape id="_x0000_i1032" o:spt="75" type="#_x0000_t75" style="height:38pt;width:69pt;" o:ole="t" filled="f" o:preferrelative="t" stroked="f" coordsize="21600,21600">
                  <v:path/>
                  <v:fill on="f" focussize="0,0"/>
                  <v:stroke on="f"/>
                  <v:imagedata r:id="rId39" o:title=""/>
                  <o:lock v:ext="edit" aspectratio="t"/>
                  <w10:wrap type="none"/>
                  <w10:anchorlock/>
                </v:shape>
                <o:OLEObject Type="Embed" ProgID="Equation.KSEE3" ShapeID="_x0000_i1032" DrawAspect="Content" ObjectID="_1468075732" r:id="rId38">
                  <o:LockedField>false</o:LockedField>
                </o:OLEObject>
              </w:object>
            </w:r>
            <w:r>
              <w:rPr>
                <w:rFonts w:hint="default" w:ascii="Times New Roman" w:hAnsi="Times New Roman" w:cs="Times New Roman"/>
                <w:color w:val="auto"/>
                <w:sz w:val="24"/>
                <w:szCs w:val="24"/>
                <w:highlight w:val="none"/>
                <w:vertAlign w:val="subscript"/>
              </w:rPr>
              <w:t>　</w:t>
            </w:r>
            <w:r>
              <w:rPr>
                <w:rFonts w:hint="default" w:ascii="Times New Roman" w:hAnsi="Times New Roman" w:cs="Times New Roman"/>
                <w:color w:val="auto"/>
                <w:sz w:val="24"/>
                <w:szCs w:val="24"/>
                <w:highlight w:val="none"/>
              </w:rPr>
              <w:t>…………………………………（式11-6）</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bCs/>
                <w:color w:val="auto"/>
                <w:position w:val="-32"/>
                <w:sz w:val="24"/>
                <w:szCs w:val="24"/>
                <w:highlight w:val="none"/>
              </w:rPr>
              <w:object>
                <v:shape id="_x0000_i1033" o:spt="75" type="#_x0000_t75" style="height:33.9pt;width:151pt;" o:ole="t" filled="f" o:preferrelative="t" stroked="f" coordsize="21600,21600">
                  <v:path/>
                  <v:fill on="f" focussize="0,0"/>
                  <v:stroke on="f"/>
                  <v:imagedata r:id="rId41" o:title=""/>
                  <o:lock v:ext="edit" aspectratio="t"/>
                  <w10:wrap type="none"/>
                  <w10:anchorlock/>
                </v:shape>
                <o:OLEObject Type="Embed" ProgID="Equation.3" ShapeID="_x0000_i1033" DrawAspect="Content" ObjectID="_1468075733" r:id="rId40">
                  <o:LockedField>false</o:LockedField>
                </o:OLEObject>
              </w:object>
            </w:r>
            <w:r>
              <w:rPr>
                <w:rFonts w:hint="default" w:ascii="Times New Roman" w:hAnsi="Times New Roman" w:cs="Times New Roman"/>
                <w:color w:val="auto"/>
                <w:sz w:val="24"/>
                <w:szCs w:val="24"/>
                <w:highlight w:val="none"/>
              </w:rPr>
              <w:t>…………………(式11-7)</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color w:val="auto"/>
                <w:sz w:val="21"/>
                <w:szCs w:val="21"/>
                <w:highlight w:val="none"/>
              </w:rPr>
            </w:pPr>
            <w:r>
              <w:rPr>
                <w:rFonts w:hint="default" w:ascii="Times New Roman" w:hAnsi="Times New Roman" w:cs="Times New Roman"/>
                <w:bCs/>
                <w:color w:val="auto"/>
                <w:sz w:val="21"/>
                <w:szCs w:val="21"/>
                <w:highlight w:val="none"/>
              </w:rPr>
              <w:t>X—防护门铅当量厚度，mm；</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TVL—单位mm，根据（GBZ/T201.2-2011）中5.2.6.1c）可知，入口处散射辐射能量约为0.2MeV，对应的铅TVL取值为5；</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B—辐射屏蔽透射因子；</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12"/>
                <w:sz w:val="21"/>
                <w:szCs w:val="21"/>
                <w:highlight w:val="none"/>
              </w:rPr>
              <w:object>
                <v:shape id="_x0000_i1034" o:spt="75" type="#_x0000_t75" style="height:16.35pt;width:13.75pt;" o:ole="t" filled="f" o:preferrelative="t" stroked="f" coordsize="21600,21600">
                  <v:path/>
                  <v:fill on="f" focussize="0,0"/>
                  <v:stroke on="f"/>
                  <v:imagedata r:id="rId43" o:title=""/>
                  <o:lock v:ext="edit" aspectratio="t"/>
                  <w10:wrap type="none"/>
                  <w10:anchorlock/>
                </v:shape>
                <o:OLEObject Type="Embed" ProgID="Equation.KSEE3" ShapeID="_x0000_i1034" DrawAspect="Content" ObjectID="_1468075734" r:id="rId42">
                  <o:LockedField>false</o:LockedField>
                </o:OLEObject>
              </w:objec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剂量率参考控制水平</w:t>
            </w:r>
            <w:r>
              <w:rPr>
                <w:rFonts w:hint="default" w:ascii="Times New Roman" w:hAnsi="Times New Roman" w:cs="Times New Roman"/>
                <w:color w:val="auto"/>
                <w:sz w:val="21"/>
                <w:szCs w:val="21"/>
                <w:highlight w:val="none"/>
              </w:rPr>
              <w:t>，μSv/h；</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14"/>
                <w:sz w:val="21"/>
                <w:szCs w:val="21"/>
                <w:highlight w:val="none"/>
              </w:rPr>
              <w:object>
                <v:shape id="_x0000_i1035" o:spt="75" type="#_x0000_t75" style="height:17.3pt;width:14.65pt;" o:ole="t" filled="f" o:preferrelative="t" stroked="f" coordsize="21600,21600">
                  <v:path/>
                  <v:fill on="f" focussize="0,0"/>
                  <v:stroke on="f"/>
                  <v:imagedata r:id="rId45" o:title=""/>
                  <o:lock v:ext="edit" aspectratio="t"/>
                  <w10:wrap type="none"/>
                  <w10:anchorlock/>
                </v:shape>
                <o:OLEObject Type="Embed" ProgID="Equation.KSEE3" ShapeID="_x0000_i1035" DrawAspect="Content" ObjectID="_1468075735" r:id="rId44">
                  <o:LockedField>false</o:LockedField>
                </o:OLEObject>
              </w:objec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g</w:t>
            </w:r>
            <w:r>
              <w:rPr>
                <w:rFonts w:hint="default" w:ascii="Times New Roman" w:hAnsi="Times New Roman" w:cs="Times New Roman"/>
                <w:color w:val="auto"/>
                <w:sz w:val="21"/>
                <w:szCs w:val="21"/>
                <w:highlight w:val="none"/>
              </w:rPr>
              <w:t>处的散射辐射剂量率，μSv/h；</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186055" cy="212090"/>
                  <wp:effectExtent l="0" t="0" r="4445" b="1651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46"/>
                          <a:stretch>
                            <a:fillRect/>
                          </a:stretch>
                        </pic:blipFill>
                        <pic:spPr>
                          <a:xfrm>
                            <a:off x="0" y="0"/>
                            <a:ext cx="186055" cy="212090"/>
                          </a:xfrm>
                          <a:prstGeom prst="rect">
                            <a:avLst/>
                          </a:prstGeom>
                          <a:noFill/>
                          <a:ln>
                            <a:noFill/>
                          </a:ln>
                        </pic:spPr>
                      </pic:pic>
                    </a:graphicData>
                  </a:graphic>
                </wp:inline>
              </w:drawing>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加速器有用线束中心轴上距靶1m处的常用最高剂量率，</w:t>
            </w:r>
            <w:r>
              <w:rPr>
                <w:rFonts w:hint="default" w:ascii="Times New Roman" w:hAnsi="Times New Roman" w:cs="Times New Roman"/>
                <w:bCs/>
                <w:color w:val="auto"/>
                <w:sz w:val="21"/>
                <w:szCs w:val="21"/>
                <w:highlight w:val="none"/>
              </w:rPr>
              <w:t>μSv</w:t>
            </w:r>
            <w:r>
              <w:rPr>
                <w:rFonts w:hint="default" w:ascii="Times New Roman" w:hAnsi="Times New Roman" w:cs="Times New Roman"/>
                <w:bCs/>
                <w:color w:val="auto"/>
                <w:sz w:val="21"/>
                <w:szCs w:val="21"/>
                <w:highlight w:val="none"/>
                <w:lang w:val="en-US" w:eastAsia="zh-CN"/>
              </w:rPr>
              <w:t>·m</w:t>
            </w:r>
            <w:r>
              <w:rPr>
                <w:rFonts w:hint="default" w:ascii="Times New Roman" w:hAnsi="Times New Roman" w:cs="Times New Roman"/>
                <w:bCs/>
                <w:color w:val="auto"/>
                <w:sz w:val="21"/>
                <w:szCs w:val="21"/>
                <w:highlight w:val="none"/>
                <w:vertAlign w:val="superscript"/>
                <w:lang w:val="en-US" w:eastAsia="zh-CN"/>
              </w:rPr>
              <w:t>2</w:t>
            </w:r>
            <w:r>
              <w:rPr>
                <w:rFonts w:hint="default" w:ascii="Times New Roman" w:hAnsi="Times New Roman" w:cs="Times New Roman"/>
                <w:bCs/>
                <w:color w:val="auto"/>
                <w:sz w:val="21"/>
                <w:szCs w:val="21"/>
                <w:highlight w:val="none"/>
              </w:rPr>
              <w:t>/h；</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257175" cy="247650"/>
                  <wp:effectExtent l="0" t="0" r="9525" b="0"/>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47"/>
                          <a:stretch>
                            <a:fillRect/>
                          </a:stretch>
                        </pic:blipFill>
                        <pic:spPr>
                          <a:xfrm>
                            <a:off x="0" y="0"/>
                            <a:ext cx="257175" cy="247650"/>
                          </a:xfrm>
                          <a:prstGeom prst="rect">
                            <a:avLst/>
                          </a:prstGeom>
                          <a:noFill/>
                          <a:ln>
                            <a:noFill/>
                          </a:ln>
                        </pic:spPr>
                      </pic:pic>
                    </a:graphicData>
                  </a:graphic>
                </wp:inline>
              </w:drawing>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o</w:t>
            </w:r>
            <w:r>
              <w:rPr>
                <w:rFonts w:hint="default" w:ascii="Times New Roman" w:hAnsi="Times New Roman" w:cs="Times New Roman"/>
                <w:bCs/>
                <w:color w:val="auto"/>
                <w:sz w:val="21"/>
                <w:szCs w:val="21"/>
                <w:highlight w:val="none"/>
                <w:vertAlign w:val="subscript"/>
                <w:lang w:val="en-US" w:eastAsia="zh-CN"/>
              </w:rPr>
              <w:t>1</w:t>
            </w:r>
            <w:r>
              <w:rPr>
                <w:rFonts w:hint="default" w:ascii="Times New Roman" w:hAnsi="Times New Roman" w:cs="Times New Roman"/>
                <w:bCs/>
                <w:color w:val="auto"/>
                <w:sz w:val="21"/>
                <w:szCs w:val="21"/>
                <w:highlight w:val="none"/>
                <w:vertAlign w:val="baseline"/>
                <w:lang w:val="en-US" w:eastAsia="zh-CN"/>
              </w:rPr>
              <w:t>位置</w:t>
            </w:r>
            <w:r>
              <w:rPr>
                <w:rFonts w:hint="default" w:ascii="Times New Roman" w:hAnsi="Times New Roman" w:cs="Times New Roman"/>
                <w:bCs/>
                <w:color w:val="auto"/>
                <w:sz w:val="21"/>
                <w:szCs w:val="21"/>
                <w:highlight w:val="none"/>
                <w:lang w:val="en-US" w:eastAsia="zh-CN"/>
              </w:rPr>
              <w:t>穿过迷路内墙的泄露辐射在g处的剂量率</w:t>
            </w:r>
            <w:r>
              <w:rPr>
                <w:rFonts w:hint="default" w:ascii="Times New Roman" w:hAnsi="Times New Roman" w:cs="Times New Roman"/>
                <w:bCs/>
                <w:color w:val="auto"/>
                <w:sz w:val="21"/>
                <w:szCs w:val="21"/>
                <w:highlight w:val="none"/>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238125" cy="238125"/>
                  <wp:effectExtent l="0" t="0" r="0" b="6350"/>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48"/>
                          <a:stretch>
                            <a:fillRect/>
                          </a:stretch>
                        </pic:blipFill>
                        <pic:spPr>
                          <a:xfrm>
                            <a:off x="0" y="0"/>
                            <a:ext cx="238125" cy="238125"/>
                          </a:xfrm>
                          <a:prstGeom prst="rect">
                            <a:avLst/>
                          </a:prstGeom>
                          <a:noFill/>
                          <a:ln>
                            <a:noFill/>
                          </a:ln>
                        </pic:spPr>
                      </pic:pic>
                    </a:graphicData>
                  </a:graphic>
                </wp:inline>
              </w:drawing>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患者</w:t>
            </w:r>
            <w:r>
              <w:rPr>
                <w:rFonts w:hint="default" w:ascii="Times New Roman" w:hAnsi="Times New Roman" w:cs="Times New Roman"/>
                <w:color w:val="auto"/>
                <w:sz w:val="21"/>
                <w:szCs w:val="21"/>
                <w:highlight w:val="none"/>
              </w:rPr>
              <w:t>400cm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面积上的散射因子，</w:t>
            </w:r>
            <w:r>
              <w:rPr>
                <w:rFonts w:hint="default" w:ascii="Times New Roman" w:hAnsi="Times New Roman" w:cs="Times New Roman"/>
                <w:color w:val="auto"/>
                <w:sz w:val="21"/>
                <w:szCs w:val="21"/>
                <w:highlight w:val="none"/>
                <w:lang w:val="en-US" w:eastAsia="zh-CN"/>
              </w:rPr>
              <w:t>通常取</w:t>
            </w:r>
            <w:r>
              <w:rPr>
                <w:rFonts w:hint="default" w:ascii="Times New Roman" w:hAnsi="Times New Roman" w:cs="Times New Roman"/>
                <w:color w:val="auto"/>
                <w:sz w:val="21"/>
                <w:szCs w:val="21"/>
                <w:highlight w:val="none"/>
              </w:rPr>
              <w:t>45°散射角的值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本项目取</w:t>
            </w:r>
            <w:r>
              <w:rPr>
                <w:rFonts w:hint="default" w:ascii="Times New Roman" w:hAnsi="Times New Roman" w:cs="Times New Roman"/>
                <w:color w:val="auto"/>
                <w:sz w:val="21"/>
                <w:szCs w:val="21"/>
                <w:highlight w:val="none"/>
              </w:rPr>
              <w:t>1.3</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α</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砼</w:t>
            </w:r>
            <w:r>
              <w:rPr>
                <w:rFonts w:hint="default" w:ascii="Times New Roman" w:hAnsi="Times New Roman" w:cs="Times New Roman"/>
                <w:color w:val="auto"/>
                <w:sz w:val="21"/>
                <w:szCs w:val="21"/>
                <w:highlight w:val="none"/>
              </w:rPr>
              <w:t>墙入射的患者散射辐射</w:t>
            </w:r>
            <w:r>
              <w:rPr>
                <w:rFonts w:hint="default" w:ascii="Times New Roman" w:hAnsi="Times New Roman" w:cs="Times New Roman"/>
                <w:color w:val="auto"/>
                <w:sz w:val="21"/>
                <w:szCs w:val="21"/>
                <w:highlight w:val="none"/>
                <w:lang w:val="en-US" w:eastAsia="zh-CN"/>
              </w:rPr>
              <w:t>的散射</w:t>
            </w:r>
            <w:r>
              <w:rPr>
                <w:rFonts w:hint="default" w:ascii="Times New Roman" w:hAnsi="Times New Roman" w:cs="Times New Roman"/>
                <w:color w:val="auto"/>
                <w:sz w:val="21"/>
                <w:szCs w:val="21"/>
                <w:highlight w:val="none"/>
              </w:rPr>
              <w:t>因子，</w:t>
            </w:r>
            <w:r>
              <w:rPr>
                <w:rFonts w:hint="default" w:ascii="Times New Roman" w:hAnsi="Times New Roman" w:cs="Times New Roman"/>
                <w:color w:val="auto"/>
                <w:sz w:val="21"/>
                <w:szCs w:val="21"/>
                <w:highlight w:val="none"/>
                <w:lang w:val="en-US" w:eastAsia="zh-CN"/>
              </w:rPr>
              <w:t>通常取i处的入射角</w:t>
            </w:r>
            <w:r>
              <w:rPr>
                <w:rFonts w:hint="default" w:ascii="Times New Roman" w:hAnsi="Times New Roman" w:cs="Times New Roman"/>
                <w:color w:val="auto"/>
                <w:sz w:val="21"/>
                <w:szCs w:val="21"/>
                <w:highlight w:val="none"/>
              </w:rPr>
              <w:t>为45°，</w:t>
            </w:r>
            <w:r>
              <w:rPr>
                <w:rFonts w:hint="default" w:ascii="Times New Roman" w:hAnsi="Times New Roman" w:cs="Times New Roman"/>
                <w:color w:val="auto"/>
                <w:sz w:val="21"/>
                <w:szCs w:val="21"/>
                <w:highlight w:val="none"/>
                <w:lang w:val="en-US" w:eastAsia="zh-CN"/>
              </w:rPr>
              <w:t>散射角为</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查得混凝土墙45°入射、0°散射、1m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的散射因子α</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5.1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（查附录B表B.6）；</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A—散射面积，m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bCs/>
                <w:color w:val="auto"/>
                <w:sz w:val="21"/>
                <w:szCs w:val="21"/>
                <w:highlight w:val="none"/>
              </w:rPr>
              <w:t>经计算本项目</w:t>
            </w:r>
            <w:r>
              <w:rPr>
                <w:rFonts w:hint="default" w:ascii="Times New Roman" w:hAnsi="Times New Roman" w:cs="Times New Roman"/>
                <w:bCs/>
                <w:color w:val="auto"/>
                <w:sz w:val="21"/>
                <w:szCs w:val="21"/>
                <w:highlight w:val="none"/>
                <w:lang w:val="en-US" w:eastAsia="zh-CN"/>
              </w:rPr>
              <w:t>1#、3#均约</w:t>
            </w:r>
            <w:r>
              <w:rPr>
                <w:rFonts w:hint="default" w:ascii="Times New Roman" w:hAnsi="Times New Roman" w:cs="Times New Roman"/>
                <w:bCs/>
                <w:color w:val="auto"/>
                <w:sz w:val="21"/>
                <w:szCs w:val="21"/>
                <w:highlight w:val="none"/>
              </w:rPr>
              <w:t>为</w:t>
            </w:r>
            <w:r>
              <w:rPr>
                <w:rFonts w:hint="default" w:ascii="Times New Roman" w:hAnsi="Times New Roman" w:cs="Times New Roman"/>
                <w:bCs/>
                <w:color w:val="auto"/>
                <w:sz w:val="21"/>
                <w:szCs w:val="21"/>
                <w:highlight w:val="none"/>
                <w:lang w:val="en-US" w:eastAsia="zh-CN"/>
              </w:rPr>
              <w:t>20</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color w:val="auto"/>
                <w:sz w:val="21"/>
                <w:szCs w:val="21"/>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R</w:t>
            </w:r>
            <w:r>
              <w:rPr>
                <w:rFonts w:hint="default" w:ascii="Times New Roman" w:hAnsi="Times New Roman" w:cs="Times New Roman"/>
                <w:color w:val="auto"/>
                <w:sz w:val="21"/>
                <w:szCs w:val="21"/>
                <w:highlight w:val="none"/>
                <w:vertAlign w:val="subscript"/>
              </w:rPr>
              <w:t>1</w:t>
            </w:r>
            <w:r>
              <w:rPr>
                <w:rFonts w:hint="default" w:ascii="Times New Roman" w:hAnsi="Times New Roman" w:cs="Times New Roman"/>
                <w:color w:val="auto"/>
                <w:sz w:val="21"/>
                <w:szCs w:val="21"/>
                <w:highlight w:val="none"/>
              </w:rPr>
              <w:t xml:space="preserve"> —第一次散射路径；R</w:t>
            </w:r>
            <w:r>
              <w:rPr>
                <w:rFonts w:hint="default" w:ascii="Times New Roman" w:hAnsi="Times New Roman" w:cs="Times New Roman"/>
                <w:color w:val="auto"/>
                <w:sz w:val="21"/>
                <w:szCs w:val="21"/>
                <w:highlight w:val="none"/>
                <w:vertAlign w:val="subscript"/>
              </w:rPr>
              <w:t>1</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8.30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7.50m</w:t>
            </w:r>
            <w:r>
              <w:rPr>
                <w:rFonts w:hint="default" w:ascii="Times New Roman" w:hAnsi="Times New Roman" w:cs="Times New Roman"/>
                <w:color w:val="auto"/>
                <w:sz w:val="21"/>
                <w:szCs w:val="21"/>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R</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—第二次散射路径；R</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8.03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7.50m</w:t>
            </w:r>
            <w:r>
              <w:rPr>
                <w:rFonts w:hint="default" w:ascii="Times New Roman" w:hAnsi="Times New Roman" w:cs="Times New Roman"/>
                <w:color w:val="auto"/>
                <w:sz w:val="21"/>
                <w:szCs w:val="21"/>
                <w:highlight w:val="none"/>
              </w:rPr>
              <w:t>；</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F—治疗装置有用线束在等中心处的最大治疗野面积，cm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；本项目等中心处最大治疗野为40cm×40cm=1600cm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rPr>
              <w:t>经计算：</w:t>
            </w:r>
            <w:r>
              <w:rPr>
                <w:rFonts w:hint="default" w:ascii="Times New Roman" w:hAnsi="Times New Roman" w:cs="Times New Roman"/>
                <w:bCs/>
                <w:color w:val="auto"/>
                <w:sz w:val="24"/>
                <w:highlight w:val="none"/>
                <w:lang w:val="en-US" w:eastAsia="zh-CN"/>
              </w:rPr>
              <w:t>直线加速器1：</w:t>
            </w:r>
            <w:r>
              <w:rPr>
                <w:rFonts w:hint="default" w:ascii="Times New Roman" w:hAnsi="Times New Roman" w:cs="Times New Roman"/>
                <w:bCs/>
                <w:color w:val="auto"/>
                <w:sz w:val="24"/>
                <w:highlight w:val="none"/>
              </w:rPr>
              <w:t>H</w:t>
            </w:r>
            <w:r>
              <w:rPr>
                <w:rFonts w:hint="default" w:ascii="Times New Roman" w:hAnsi="Times New Roman" w:cs="Times New Roman"/>
                <w:bCs/>
                <w:color w:val="auto"/>
                <w:sz w:val="24"/>
                <w:highlight w:val="none"/>
                <w:vertAlign w:val="subscript"/>
                <w:lang w:val="en-US" w:eastAsia="zh-CN"/>
              </w:rPr>
              <w:t>g</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44.6</w:t>
            </w:r>
            <w:r>
              <w:rPr>
                <w:rFonts w:hint="default" w:ascii="Times New Roman" w:hAnsi="Times New Roman" w:cs="Times New Roman"/>
                <w:bCs/>
                <w:color w:val="auto"/>
                <w:sz w:val="24"/>
                <w:highlight w:val="none"/>
              </w:rPr>
              <w:t>μSv/h，B=</w:t>
            </w:r>
            <w:r>
              <w:rPr>
                <w:rFonts w:hint="default"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highlight w:val="none"/>
              </w:rPr>
              <w:t>0.</w:t>
            </w:r>
            <w:r>
              <w:rPr>
                <w:rFonts w:hint="default" w:ascii="Times New Roman" w:hAnsi="Times New Roman" w:cs="Times New Roman"/>
                <w:bCs/>
                <w:color w:val="auto"/>
                <w:sz w:val="24"/>
                <w:highlight w:val="none"/>
                <w:lang w:val="en-US" w:eastAsia="zh-CN"/>
              </w:rPr>
              <w:t>056</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最终得到防护门的铅当量厚度为：X=TVL·logB</w:t>
            </w:r>
            <w:r>
              <w:rPr>
                <w:rFonts w:hint="default" w:ascii="Times New Roman" w:hAnsi="Times New Roman" w:cs="Times New Roman"/>
                <w:b w:val="0"/>
                <w:bCs/>
                <w:color w:val="auto"/>
                <w:sz w:val="24"/>
                <w:highlight w:val="none"/>
                <w:vertAlign w:val="superscript"/>
              </w:rPr>
              <w:t>-1</w:t>
            </w:r>
            <w:r>
              <w:rPr>
                <w:rFonts w:hint="default" w:ascii="Times New Roman" w:hAnsi="Times New Roman" w:cs="Times New Roman"/>
                <w:b w:val="0"/>
                <w:bCs/>
                <w:color w:val="auto"/>
                <w:sz w:val="24"/>
                <w:highlight w:val="none"/>
              </w:rPr>
              <w:t>=</w:t>
            </w:r>
            <w:r>
              <w:rPr>
                <w:rFonts w:hint="default" w:ascii="Times New Roman" w:hAnsi="Times New Roman" w:cs="Times New Roman"/>
                <w:b w:val="0"/>
                <w:bCs/>
                <w:color w:val="auto"/>
                <w:sz w:val="24"/>
                <w:highlight w:val="none"/>
                <w:lang w:val="en-US" w:eastAsia="zh-CN"/>
              </w:rPr>
              <w:t>6.26</w:t>
            </w:r>
            <w:r>
              <w:rPr>
                <w:rFonts w:hint="default" w:ascii="Times New Roman" w:hAnsi="Times New Roman" w:cs="Times New Roman"/>
                <w:b w:val="0"/>
                <w:bCs/>
                <w:color w:val="auto"/>
                <w:sz w:val="24"/>
                <w:highlight w:val="none"/>
              </w:rPr>
              <w:t>mm。</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直线加速器3：</w:t>
            </w:r>
            <w:r>
              <w:rPr>
                <w:rFonts w:hint="default" w:ascii="Times New Roman" w:hAnsi="Times New Roman" w:cs="Times New Roman"/>
                <w:bCs/>
                <w:color w:val="auto"/>
                <w:sz w:val="24"/>
                <w:highlight w:val="none"/>
              </w:rPr>
              <w:t>H</w:t>
            </w:r>
            <w:r>
              <w:rPr>
                <w:rFonts w:hint="default" w:ascii="Times New Roman" w:hAnsi="Times New Roman" w:cs="Times New Roman"/>
                <w:bCs/>
                <w:color w:val="auto"/>
                <w:sz w:val="24"/>
                <w:highlight w:val="none"/>
                <w:vertAlign w:val="subscript"/>
                <w:lang w:val="en-US" w:eastAsia="zh-CN"/>
              </w:rPr>
              <w:t>g</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62.6</w:t>
            </w:r>
            <w:r>
              <w:rPr>
                <w:rFonts w:hint="default" w:ascii="Times New Roman" w:hAnsi="Times New Roman" w:cs="Times New Roman"/>
                <w:bCs/>
                <w:color w:val="auto"/>
                <w:sz w:val="24"/>
                <w:highlight w:val="none"/>
              </w:rPr>
              <w:t>μSv/h，B=</w:t>
            </w:r>
            <w:r>
              <w:rPr>
                <w:rFonts w:hint="default"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highlight w:val="none"/>
              </w:rPr>
              <w:t>0.</w:t>
            </w:r>
            <w:r>
              <w:rPr>
                <w:rFonts w:hint="default" w:ascii="Times New Roman" w:hAnsi="Times New Roman" w:cs="Times New Roman"/>
                <w:bCs/>
                <w:color w:val="auto"/>
                <w:sz w:val="24"/>
                <w:highlight w:val="none"/>
                <w:lang w:val="en-US" w:eastAsia="zh-CN"/>
              </w:rPr>
              <w:t>039</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b w:val="0"/>
                <w:bCs/>
                <w:color w:val="auto"/>
                <w:sz w:val="24"/>
                <w:highlight w:val="none"/>
              </w:rPr>
              <w:t>最终得到防护门的铅当量厚度为：X=TVL·logB</w:t>
            </w:r>
            <w:r>
              <w:rPr>
                <w:rFonts w:hint="default" w:ascii="Times New Roman" w:hAnsi="Times New Roman" w:cs="Times New Roman"/>
                <w:b w:val="0"/>
                <w:bCs/>
                <w:color w:val="auto"/>
                <w:sz w:val="24"/>
                <w:highlight w:val="none"/>
                <w:vertAlign w:val="superscript"/>
              </w:rPr>
              <w:t>-1</w:t>
            </w:r>
            <w:r>
              <w:rPr>
                <w:rFonts w:hint="default" w:ascii="Times New Roman" w:hAnsi="Times New Roman" w:cs="Times New Roman"/>
                <w:b w:val="0"/>
                <w:bCs/>
                <w:color w:val="auto"/>
                <w:sz w:val="24"/>
                <w:highlight w:val="none"/>
              </w:rPr>
              <w:t>=</w:t>
            </w:r>
            <w:r>
              <w:rPr>
                <w:rFonts w:hint="default" w:ascii="Times New Roman" w:hAnsi="Times New Roman" w:cs="Times New Roman"/>
                <w:b w:val="0"/>
                <w:bCs/>
                <w:color w:val="auto"/>
                <w:sz w:val="24"/>
                <w:highlight w:val="none"/>
                <w:lang w:val="en-US" w:eastAsia="zh-CN"/>
              </w:rPr>
              <w:t>6.99</w:t>
            </w:r>
            <w:r>
              <w:rPr>
                <w:rFonts w:hint="default" w:ascii="Times New Roman" w:hAnsi="Times New Roman" w:cs="Times New Roman"/>
                <w:b w:val="0"/>
                <w:bCs/>
                <w:color w:val="auto"/>
                <w:sz w:val="24"/>
                <w:highlight w:val="none"/>
              </w:rPr>
              <w:t>mm。</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由理论计算可知，</w:t>
            </w:r>
            <w:r>
              <w:rPr>
                <w:rFonts w:hint="default" w:ascii="Times New Roman" w:hAnsi="Times New Roman" w:cs="Times New Roman"/>
                <w:color w:val="auto"/>
                <w:sz w:val="24"/>
                <w:highlight w:val="none"/>
                <w:lang w:val="en-US" w:eastAsia="zh-CN"/>
              </w:rPr>
              <w:t>1#、3#</w:t>
            </w:r>
            <w:r>
              <w:rPr>
                <w:rFonts w:hint="default" w:ascii="Times New Roman" w:hAnsi="Times New Roman" w:cs="Times New Roman"/>
                <w:color w:val="auto"/>
                <w:sz w:val="24"/>
                <w:highlight w:val="none"/>
              </w:rPr>
              <w:t>入口铅防护门屏蔽厚度</w:t>
            </w:r>
            <w:r>
              <w:rPr>
                <w:rFonts w:hint="default" w:ascii="Times New Roman" w:hAnsi="Times New Roman" w:cs="Times New Roman"/>
                <w:color w:val="auto"/>
                <w:sz w:val="24"/>
                <w:highlight w:val="none"/>
                <w:lang w:val="en-US" w:eastAsia="zh-CN"/>
              </w:rPr>
              <w:t>分别</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6.26</w:t>
            </w:r>
            <w:r>
              <w:rPr>
                <w:rFonts w:hint="default" w:ascii="Times New Roman" w:hAnsi="Times New Roman" w:cs="Times New Roman"/>
                <w:color w:val="auto"/>
                <w:sz w:val="24"/>
                <w:highlight w:val="none"/>
              </w:rPr>
              <w:t>mm</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6.99mm</w:t>
            </w:r>
            <w:r>
              <w:rPr>
                <w:rFonts w:hint="default" w:ascii="Times New Roman" w:hAnsi="Times New Roman" w:cs="Times New Roman"/>
                <w:color w:val="auto"/>
                <w:sz w:val="24"/>
                <w:highlight w:val="none"/>
              </w:rPr>
              <w:t>，实际设计</w:t>
            </w:r>
            <w:r>
              <w:rPr>
                <w:rFonts w:hint="default" w:ascii="Times New Roman" w:hAnsi="Times New Roman" w:cs="Times New Roman"/>
                <w:color w:val="auto"/>
                <w:sz w:val="24"/>
                <w:highlight w:val="none"/>
                <w:lang w:val="en-US" w:eastAsia="zh-CN"/>
              </w:rPr>
              <w:t>均</w:t>
            </w:r>
            <w:r>
              <w:rPr>
                <w:rFonts w:hint="default" w:ascii="Times New Roman" w:hAnsi="Times New Roman" w:cs="Times New Roman"/>
                <w:color w:val="auto"/>
                <w:sz w:val="24"/>
                <w:highlight w:val="none"/>
              </w:rPr>
              <w:t>为1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mm，可满足屏蔽要求。</w:t>
            </w:r>
          </w:p>
          <w:p>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小结：经过对</w:t>
            </w:r>
            <w:r>
              <w:rPr>
                <w:rFonts w:hint="default" w:ascii="Times New Roman" w:hAnsi="Times New Roman" w:cs="Times New Roman"/>
                <w:b/>
                <w:bCs/>
                <w:color w:val="auto"/>
                <w:sz w:val="24"/>
                <w:highlight w:val="none"/>
                <w:lang w:val="en-US" w:eastAsia="zh-CN"/>
              </w:rPr>
              <w:t>1#、3#的</w:t>
            </w:r>
            <w:r>
              <w:rPr>
                <w:rFonts w:hint="default" w:ascii="Times New Roman" w:hAnsi="Times New Roman" w:eastAsia="宋体" w:cs="Times New Roman"/>
                <w:b/>
                <w:bCs/>
                <w:color w:val="auto"/>
                <w:sz w:val="24"/>
                <w:highlight w:val="none"/>
              </w:rPr>
              <w:t>屏蔽校核，墙体厚度、</w:t>
            </w:r>
            <w:r>
              <w:rPr>
                <w:rFonts w:hint="default" w:ascii="Times New Roman" w:hAnsi="Times New Roman" w:cs="Times New Roman"/>
                <w:b/>
                <w:bCs/>
                <w:color w:val="auto"/>
                <w:sz w:val="24"/>
                <w:highlight w:val="none"/>
                <w:lang w:eastAsia="zh-CN"/>
              </w:rPr>
              <w:t>迷路</w:t>
            </w:r>
            <w:r>
              <w:rPr>
                <w:rFonts w:hint="default" w:ascii="Times New Roman" w:hAnsi="Times New Roman" w:eastAsia="宋体" w:cs="Times New Roman"/>
                <w:b/>
                <w:bCs/>
                <w:color w:val="auto"/>
                <w:sz w:val="24"/>
                <w:highlight w:val="none"/>
              </w:rPr>
              <w:t>厚度、顶部厚度和防护门厚度均满足要求。</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lang w:val="en-US" w:eastAsia="zh-CN"/>
              </w:rPr>
              <w:t>4</w:t>
            </w: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lang w:val="en-US" w:eastAsia="zh-CN"/>
              </w:rPr>
              <w:t>10MV</w:t>
            </w:r>
            <w:r>
              <w:rPr>
                <w:rFonts w:hint="default" w:ascii="Times New Roman" w:hAnsi="Times New Roman" w:cs="Times New Roman"/>
                <w:b/>
                <w:color w:val="auto"/>
                <w:kern w:val="0"/>
                <w:sz w:val="24"/>
                <w:szCs w:val="24"/>
                <w:highlight w:val="none"/>
              </w:rPr>
              <w:t>电子直线加速器对关注点产生的剂量估算</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w:t>
            </w:r>
            <w:r>
              <w:rPr>
                <w:rFonts w:hint="default" w:ascii="Times New Roman" w:hAnsi="Times New Roman" w:cs="Times New Roman"/>
                <w:color w:val="auto"/>
                <w:sz w:val="24"/>
                <w:highlight w:val="none"/>
              </w:rPr>
              <w:t>《放射治疗机房的辐射屏蔽规范第2部分:电子直线加速器放射治疗机房》（GBZ/T201.2-201l），</w:t>
            </w:r>
            <w:r>
              <w:rPr>
                <w:rFonts w:hint="default" w:ascii="Times New Roman" w:hAnsi="Times New Roman" w:cs="Times New Roman"/>
                <w:bCs/>
                <w:color w:val="auto"/>
                <w:sz w:val="24"/>
                <w:highlight w:val="none"/>
              </w:rPr>
              <w:t>本项目医用电子直线加速器在运行过程中对关注点（附图11-</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和11-</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）处人员产生的最大剂量可根据以下公式进行计算：</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主射线束和泄露辐射剂量估算（式中各符号含义同前文）：</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24"/>
                <w:szCs w:val="21"/>
                <w:highlight w:val="none"/>
              </w:rPr>
              <w:object>
                <v:shape id="_x0000_i1036" o:spt="75" type="#_x0000_t75" style="height:29.6pt;width:71.5pt;" o:ole="t" filled="f" o:preferrelative="t" stroked="f" coordsize="21600,21600">
                  <v:path/>
                  <v:fill on="f" focussize="0,0"/>
                  <v:stroke on="f"/>
                  <v:imagedata r:id="rId50" o:title=""/>
                  <o:lock v:ext="edit" aspectratio="t"/>
                  <w10:wrap type="none"/>
                  <w10:anchorlock/>
                </v:shape>
                <o:OLEObject Type="Embed" ProgID="Equation.3" ShapeID="_x0000_i1036" DrawAspect="Content" ObjectID="_1468075736" r:id="rId49">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（式11-8）</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6"/>
                <w:szCs w:val="21"/>
                <w:highlight w:val="none"/>
              </w:rPr>
              <w:object>
                <v:shape id="_x0000_i1037" o:spt="75" type="#_x0000_t75" style="height:20.65pt;width:94.25pt;" o:ole="t" filled="f" o:preferrelative="t" stroked="f" coordsize="21600,21600">
                  <v:path/>
                  <v:fill on="f" focussize="0,0"/>
                  <v:stroke on="f"/>
                  <v:imagedata r:id="rId52" o:title=""/>
                  <o:lock v:ext="edit" aspectratio="t"/>
                  <w10:wrap type="none"/>
                  <w10:anchorlock/>
                </v:shape>
                <o:OLEObject Type="Embed" ProgID="Equation.3" ShapeID="_x0000_i1037" DrawAspect="Content" ObjectID="_1468075737" r:id="rId51">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（式11-9）</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6"/>
                <w:szCs w:val="21"/>
                <w:highlight w:val="none"/>
              </w:rPr>
              <w:object>
                <v:shape id="_x0000_i1038" o:spt="75" type="#_x0000_t75" style="height:16.4pt;width:84.05pt;" o:ole="t" filled="f" o:preferrelative="t" stroked="f" coordsize="21600,21600">
                  <v:path/>
                  <v:fill on="f" focussize="0,0"/>
                  <v:stroke on="f"/>
                  <v:imagedata r:id="rId54" o:title=""/>
                  <o:lock v:ext="edit" aspectratio="t"/>
                  <w10:wrap type="none"/>
                  <w10:anchorlock/>
                </v:shape>
                <o:OLEObject Type="Embed" ProgID="Equation.3" ShapeID="_x0000_i1038" DrawAspect="Content" ObjectID="_1468075738" r:id="rId53">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rPr>
              <w:t>0）</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患者一次散射辐射剂量估算</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34"/>
                <w:szCs w:val="21"/>
                <w:highlight w:val="none"/>
              </w:rPr>
              <w:object>
                <v:shape id="_x0000_i1039" o:spt="75" type="#_x0000_t75" style="height:33.7pt;width:128.1pt;" o:ole="t" filled="f" o:preferrelative="t" stroked="f" coordsize="21600,21600">
                  <v:path/>
                  <v:fill on="f" focussize="0,0"/>
                  <v:stroke on="f"/>
                  <v:imagedata r:id="rId56" o:title=""/>
                  <o:lock v:ext="edit" aspectratio="t"/>
                  <w10:wrap type="none"/>
                  <w10:anchorlock/>
                </v:shape>
                <o:OLEObject Type="Embed" ProgID="Equation.3" ShapeID="_x0000_i1039" DrawAspect="Content" ObjectID="_1468075739" r:id="rId55">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rPr>
              <w:t>1）</w:t>
            </w:r>
          </w:p>
          <w:p>
            <w:pPr>
              <w:keepNext w:val="0"/>
              <w:keepLines w:val="0"/>
              <w:suppressLineNumbers w:val="0"/>
              <w:spacing w:before="0" w:beforeAutospacing="0" w:after="0" w:afterAutospacing="0"/>
              <w:ind w:left="420" w:leftChars="200" w:right="0"/>
              <w:rPr>
                <w:rFonts w:hint="default" w:ascii="Times New Roman" w:hAnsi="Times New Roman" w:eastAsia="宋体" w:cs="Times New Roman"/>
                <w:bCs/>
                <w:color w:val="auto"/>
                <w:sz w:val="24"/>
                <w:highlight w:val="none"/>
                <w:vertAlign w:val="subscript"/>
                <w:lang w:val="en-US" w:eastAsia="zh-CN"/>
              </w:rPr>
            </w:pPr>
            <w:r>
              <w:rPr>
                <w:rFonts w:hint="default" w:ascii="Times New Roman" w:hAnsi="Times New Roman" w:cs="Times New Roman"/>
                <w:bCs/>
                <w:color w:val="auto"/>
                <w:sz w:val="24"/>
                <w:highlight w:val="none"/>
              </w:rPr>
              <w:t>机房</w:t>
            </w:r>
            <w:r>
              <w:rPr>
                <w:rFonts w:hint="default" w:ascii="Times New Roman" w:hAnsi="Times New Roman" w:cs="Times New Roman"/>
                <w:bCs/>
                <w:color w:val="auto"/>
                <w:sz w:val="24"/>
                <w:highlight w:val="none"/>
                <w:lang w:eastAsia="zh-CN"/>
              </w:rPr>
              <w:t>迷路</w:t>
            </w:r>
            <w:r>
              <w:rPr>
                <w:rFonts w:hint="default" w:ascii="Times New Roman" w:hAnsi="Times New Roman" w:cs="Times New Roman"/>
                <w:bCs/>
                <w:color w:val="auto"/>
                <w:sz w:val="24"/>
                <w:highlight w:val="none"/>
              </w:rPr>
              <w:t>入口处X射线散射辐射剂量率H</w:t>
            </w:r>
            <w:r>
              <w:rPr>
                <w:rFonts w:hint="default" w:ascii="Times New Roman" w:hAnsi="Times New Roman" w:cs="Times New Roman"/>
                <w:bCs/>
                <w:color w:val="auto"/>
                <w:sz w:val="24"/>
                <w:highlight w:val="none"/>
                <w:vertAlign w:val="subscript"/>
                <w:lang w:val="en-US" w:eastAsia="zh-CN"/>
              </w:rPr>
              <w:t>g</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32"/>
                <w:szCs w:val="21"/>
                <w:highlight w:val="none"/>
              </w:rPr>
              <w:object>
                <v:shape id="_x0000_i1040" o:spt="75" type="#_x0000_t75" style="height:34.6pt;width:144.4pt;" o:ole="t" filled="f" o:preferrelative="t" stroked="f" coordsize="21600,21600">
                  <v:path/>
                  <v:fill on="f" focussize="0,0"/>
                  <v:stroke on="f"/>
                  <v:imagedata r:id="rId58" o:title=""/>
                  <o:lock v:ext="edit" aspectratio="t"/>
                  <w10:wrap type="none"/>
                  <w10:anchorlock/>
                </v:shape>
                <o:OLEObject Type="Embed" ProgID="Equation.3" ShapeID="_x0000_i1040" DrawAspect="Content" ObjectID="_1468075740" r:id="rId57">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rPr>
              <w:t>2）</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position w:val="-14"/>
                <w:szCs w:val="21"/>
                <w:highlight w:val="none"/>
              </w:rPr>
              <w:object>
                <v:shape id="_x0000_i1041" o:spt="75" type="#_x0000_t75" style="height:17.55pt;width:104.05pt;" o:ole="t" filled="f" o:preferrelative="t" stroked="f" coordsize="21600,21600">
                  <v:path/>
                  <v:fill on="f" focussize="0,0"/>
                  <v:stroke on="f"/>
                  <v:imagedata r:id="rId60" o:title=""/>
                  <o:lock v:ext="edit" aspectratio="t"/>
                  <w10:wrap type="none"/>
                  <w10:anchorlock/>
                </v:shape>
                <o:OLEObject Type="Embed" ProgID="Equation.3" ShapeID="_x0000_i1041" DrawAspect="Content" ObjectID="_1468075741" r:id="rId59">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rPr>
              <w:t>3）</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由式11-</w:t>
            </w:r>
            <w:r>
              <w:rPr>
                <w:rFonts w:hint="default" w:ascii="Times New Roman" w:hAnsi="Times New Roman" w:cs="Times New Roman"/>
                <w:bCs/>
                <w:color w:val="auto"/>
                <w:sz w:val="24"/>
                <w:highlight w:val="none"/>
                <w:lang w:val="en-US" w:eastAsia="zh-CN"/>
              </w:rPr>
              <w:t>14</w:t>
            </w:r>
            <w:r>
              <w:rPr>
                <w:rFonts w:hint="default" w:ascii="Times New Roman" w:hAnsi="Times New Roman" w:cs="Times New Roman"/>
                <w:bCs/>
                <w:color w:val="auto"/>
                <w:sz w:val="24"/>
                <w:highlight w:val="none"/>
              </w:rPr>
              <w:t>估算各关注点的年剂量：</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10"/>
                <w:szCs w:val="21"/>
                <w:highlight w:val="none"/>
              </w:rPr>
              <w:object>
                <v:shape id="_x0000_i1042" o:spt="75" type="#_x0000_t75" style="height:18pt;width:115.1pt;" o:ole="t" filled="f" o:preferrelative="t" stroked="f" coordsize="21600,21600">
                  <v:path/>
                  <v:fill on="f" focussize="0,0"/>
                  <v:stroke on="f"/>
                  <v:imagedata r:id="rId62" o:title=""/>
                  <o:lock v:ext="edit" aspectratio="t"/>
                  <w10:wrap type="none"/>
                  <w10:anchorlock/>
                </v:shape>
                <o:OLEObject Type="Embed" ProgID="Equation.3" ShapeID="_x0000_i1042" DrawAspect="Content" ObjectID="_1468075742" r:id="rId61">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rPr>
              <w:t>4）</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式中：</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H—关注点的剂量当量（(μSv/h)；</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E—关注点的年剂量（mSv/a）；</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h—工作负荷（h/a）；</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q—居留因子，经常有人员停留的地方取1，有部分时间有人员停留的地方取1/4，偶然有人员经过的地方取1/16；</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w:t>
            </w:r>
            <w:r>
              <w:rPr>
                <w:rFonts w:hint="default" w:ascii="Times New Roman" w:hAnsi="Times New Roman" w:cs="Times New Roman"/>
                <w:bCs/>
                <w:color w:val="auto"/>
                <w:szCs w:val="21"/>
                <w:highlight w:val="none"/>
                <w:vertAlign w:val="subscript"/>
              </w:rPr>
              <w:t>T</w:t>
            </w:r>
            <w:r>
              <w:rPr>
                <w:rFonts w:hint="default" w:ascii="Times New Roman" w:hAnsi="Times New Roman" w:cs="Times New Roman"/>
                <w:bCs/>
                <w:color w:val="auto"/>
                <w:szCs w:val="21"/>
                <w:highlight w:val="none"/>
              </w:rPr>
              <w:t>—组织权重因数，全身为1。</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由此估算的主射线束和泄露辐射对各关注点产生的剂量见表11-</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，由患者一次散射对各关注点产生的剂量见表11-</w:t>
            </w:r>
            <w:r>
              <w:rPr>
                <w:rFonts w:hint="default" w:ascii="Times New Roman" w:hAnsi="Times New Roman" w:cs="Times New Roman"/>
                <w:bCs/>
                <w:color w:val="auto"/>
                <w:sz w:val="24"/>
                <w:highlight w:val="none"/>
                <w:lang w:val="en-US" w:eastAsia="zh-CN"/>
              </w:rPr>
              <w:t>6</w:t>
            </w:r>
            <w:r>
              <w:rPr>
                <w:rFonts w:hint="default" w:ascii="Times New Roman" w:hAnsi="Times New Roman" w:cs="Times New Roman"/>
                <w:bCs/>
                <w:color w:val="auto"/>
                <w:sz w:val="24"/>
                <w:highlight w:val="none"/>
              </w:rPr>
              <w:t>，机房</w:t>
            </w:r>
            <w:r>
              <w:rPr>
                <w:rFonts w:hint="default" w:ascii="Times New Roman" w:hAnsi="Times New Roman" w:cs="Times New Roman"/>
                <w:bCs/>
                <w:color w:val="auto"/>
                <w:sz w:val="24"/>
                <w:highlight w:val="none"/>
                <w:lang w:eastAsia="zh-CN"/>
              </w:rPr>
              <w:t>迷路</w:t>
            </w:r>
            <w:r>
              <w:rPr>
                <w:rFonts w:hint="default" w:ascii="Times New Roman" w:hAnsi="Times New Roman" w:cs="Times New Roman"/>
                <w:bCs/>
                <w:color w:val="auto"/>
                <w:sz w:val="24"/>
                <w:highlight w:val="none"/>
              </w:rPr>
              <w:t>入口处由散射辐射产生的剂量见表11-</w:t>
            </w:r>
            <w:r>
              <w:rPr>
                <w:rFonts w:hint="default" w:ascii="Times New Roman" w:hAnsi="Times New Roman" w:cs="Times New Roman"/>
                <w:bCs/>
                <w:color w:val="auto"/>
                <w:sz w:val="24"/>
                <w:highlight w:val="none"/>
                <w:lang w:val="en-US" w:eastAsia="zh-CN"/>
              </w:rPr>
              <w:t>7</w:t>
            </w:r>
            <w:r>
              <w:rPr>
                <w:rFonts w:hint="default" w:ascii="Times New Roman" w:hAnsi="Times New Roman" w:cs="Times New Roman"/>
                <w:bCs/>
                <w:color w:val="auto"/>
                <w:sz w:val="24"/>
                <w:highlight w:val="none"/>
              </w:rPr>
              <w:t>。</w:t>
            </w: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pStyle w:val="2"/>
              <w:keepNext w:val="0"/>
              <w:keepLines w:val="0"/>
              <w:suppressLineNumbers w:val="0"/>
              <w:spacing w:before="0" w:beforeAutospacing="0" w:after="0" w:afterAutospacing="0"/>
              <w:ind w:left="0" w:right="0"/>
              <w:rPr>
                <w:rFonts w:hint="default" w:ascii="Times New Roman" w:hAnsi="Times New Roman" w:cs="Times New Roman"/>
                <w:b/>
                <w:color w:val="auto"/>
                <w:kern w:val="2"/>
                <w:sz w:val="21"/>
                <w:szCs w:val="21"/>
                <w:highlight w:val="none"/>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 xml:space="preserve"> </w:t>
            </w:r>
            <w:r>
              <w:rPr>
                <w:rFonts w:hint="eastAsia" w:ascii="Times New Roman" w:hAnsi="Times New Roman" w:cs="Times New Roman"/>
                <w:b/>
                <w:color w:val="auto"/>
                <w:sz w:val="21"/>
                <w:szCs w:val="21"/>
                <w:highlight w:val="none"/>
                <w:lang w:val="en-US" w:eastAsia="zh-CN"/>
              </w:rPr>
              <w:t>10MV</w:t>
            </w:r>
            <w:r>
              <w:rPr>
                <w:rFonts w:hint="default" w:ascii="Times New Roman" w:hAnsi="Times New Roman" w:cs="Times New Roman"/>
                <w:b/>
                <w:color w:val="auto"/>
                <w:sz w:val="21"/>
                <w:szCs w:val="21"/>
                <w:highlight w:val="none"/>
              </w:rPr>
              <w:t>加速器主射线束和泄露辐射对关注点的剂量估算表</w:t>
            </w:r>
          </w:p>
          <w:tbl>
            <w:tblPr>
              <w:tblStyle w:val="17"/>
              <w:tblW w:w="8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8"/>
              <w:gridCol w:w="639"/>
              <w:gridCol w:w="625"/>
              <w:gridCol w:w="658"/>
              <w:gridCol w:w="633"/>
              <w:gridCol w:w="634"/>
              <w:gridCol w:w="650"/>
              <w:gridCol w:w="608"/>
              <w:gridCol w:w="617"/>
              <w:gridCol w:w="650"/>
              <w:gridCol w:w="591"/>
              <w:gridCol w:w="642"/>
              <w:gridCol w:w="650"/>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6" w:hRule="atLeast"/>
                <w:tblHeader/>
                <w:jc w:val="center"/>
              </w:trPr>
              <w:tc>
                <w:tcPr>
                  <w:tcW w:w="648" w:type="dxa"/>
                  <w:tcBorders>
                    <w:top w:val="single" w:color="auto" w:sz="12" w:space="0"/>
                    <w:left w:val="nil"/>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计算</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参数</w:t>
                  </w:r>
                </w:p>
              </w:tc>
              <w:tc>
                <w:tcPr>
                  <w:tcW w:w="639"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主屏蔽区</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A</w:t>
                  </w:r>
                  <w:r>
                    <w:rPr>
                      <w:rFonts w:hint="default" w:ascii="Times New Roman" w:hAnsi="Times New Roman" w:cs="Times New Roman"/>
                      <w:color w:val="auto"/>
                      <w:sz w:val="15"/>
                      <w:szCs w:val="15"/>
                      <w:highlight w:val="none"/>
                      <w:vertAlign w:val="subscript"/>
                      <w:lang w:val="en-US" w:eastAsia="zh-CN"/>
                    </w:rPr>
                    <w:t>1</w:t>
                  </w:r>
                  <w:r>
                    <w:rPr>
                      <w:rFonts w:hint="default" w:ascii="Times New Roman" w:hAnsi="Times New Roman" w:cs="Times New Roman"/>
                      <w:color w:val="auto"/>
                      <w:sz w:val="15"/>
                      <w:szCs w:val="15"/>
                      <w:highlight w:val="none"/>
                      <w:vertAlign w:val="baseline"/>
                      <w:lang w:val="en-US" w:eastAsia="zh-CN"/>
                    </w:rPr>
                    <w:t>、A</w:t>
                  </w:r>
                  <w:r>
                    <w:rPr>
                      <w:rFonts w:hint="default" w:ascii="Times New Roman" w:hAnsi="Times New Roman" w:cs="Times New Roman"/>
                      <w:color w:val="auto"/>
                      <w:sz w:val="15"/>
                      <w:szCs w:val="15"/>
                      <w:highlight w:val="none"/>
                      <w:vertAlign w:val="subscript"/>
                      <w:lang w:val="en-US" w:eastAsia="zh-CN"/>
                    </w:rPr>
                    <w:t>3、</w:t>
                  </w:r>
                  <w:r>
                    <w:rPr>
                      <w:rFonts w:hint="default" w:ascii="Times New Roman" w:hAnsi="Times New Roman" w:cs="Times New Roman"/>
                      <w:color w:val="auto"/>
                      <w:sz w:val="15"/>
                      <w:szCs w:val="15"/>
                      <w:highlight w:val="none"/>
                      <w:lang w:val="en-US" w:eastAsia="zh-CN"/>
                    </w:rPr>
                    <w:t>B</w:t>
                  </w:r>
                  <w:r>
                    <w:rPr>
                      <w:rFonts w:hint="default" w:ascii="Times New Roman" w:hAnsi="Times New Roman" w:cs="Times New Roman"/>
                      <w:color w:val="auto"/>
                      <w:sz w:val="15"/>
                      <w:szCs w:val="15"/>
                      <w:highlight w:val="none"/>
                      <w:vertAlign w:val="subscript"/>
                      <w:lang w:val="en-US" w:eastAsia="zh-CN"/>
                    </w:rPr>
                    <w:t>1</w:t>
                  </w:r>
                  <w:r>
                    <w:rPr>
                      <w:rFonts w:hint="default" w:ascii="Times New Roman" w:hAnsi="Times New Roman" w:cs="Times New Roman"/>
                      <w:color w:val="auto"/>
                      <w:sz w:val="15"/>
                      <w:szCs w:val="15"/>
                      <w:highlight w:val="none"/>
                      <w:vertAlign w:val="baseline"/>
                      <w:lang w:val="en-US" w:eastAsia="zh-CN"/>
                    </w:rPr>
                    <w:t>、B</w:t>
                  </w:r>
                  <w:r>
                    <w:rPr>
                      <w:rFonts w:hint="default" w:ascii="Times New Roman" w:hAnsi="Times New Roman" w:cs="Times New Roman"/>
                      <w:color w:val="auto"/>
                      <w:sz w:val="15"/>
                      <w:szCs w:val="15"/>
                      <w:highlight w:val="none"/>
                      <w:vertAlign w:val="subscript"/>
                      <w:lang w:val="en-US" w:eastAsia="zh-CN"/>
                    </w:rPr>
                    <w:t>3</w:t>
                  </w:r>
                </w:p>
              </w:tc>
              <w:tc>
                <w:tcPr>
                  <w:tcW w:w="625"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主屏蔽区</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H</w:t>
                  </w:r>
                  <w:r>
                    <w:rPr>
                      <w:rFonts w:hint="default" w:ascii="Times New Roman" w:hAnsi="Times New Roman" w:cs="Times New Roman"/>
                      <w:color w:val="auto"/>
                      <w:sz w:val="15"/>
                      <w:szCs w:val="15"/>
                      <w:highlight w:val="none"/>
                      <w:vertAlign w:val="subscript"/>
                      <w:lang w:val="en-US" w:eastAsia="zh-CN"/>
                    </w:rPr>
                    <w:t>1</w:t>
                  </w:r>
                  <w:r>
                    <w:rPr>
                      <w:rFonts w:hint="default" w:ascii="Times New Roman" w:hAnsi="Times New Roman" w:cs="Times New Roman"/>
                      <w:color w:val="auto"/>
                      <w:sz w:val="15"/>
                      <w:szCs w:val="15"/>
                      <w:highlight w:val="none"/>
                      <w:vertAlign w:val="baseline"/>
                      <w:lang w:val="en-US" w:eastAsia="zh-CN"/>
                    </w:rPr>
                    <w:t>、H</w:t>
                  </w:r>
                  <w:r>
                    <w:rPr>
                      <w:rFonts w:hint="default" w:ascii="Times New Roman" w:hAnsi="Times New Roman" w:cs="Times New Roman"/>
                      <w:color w:val="auto"/>
                      <w:sz w:val="15"/>
                      <w:szCs w:val="15"/>
                      <w:highlight w:val="none"/>
                      <w:vertAlign w:val="subscript"/>
                      <w:lang w:val="en-US" w:eastAsia="zh-CN"/>
                    </w:rPr>
                    <w:t>3</w:t>
                  </w:r>
                </w:p>
              </w:tc>
              <w:tc>
                <w:tcPr>
                  <w:tcW w:w="658"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eastAsia="zh-CN"/>
                    </w:rPr>
                  </w:pPr>
                  <w:r>
                    <w:rPr>
                      <w:rFonts w:hint="default" w:ascii="Times New Roman" w:hAnsi="Times New Roman" w:cs="Times New Roman"/>
                      <w:color w:val="auto"/>
                      <w:sz w:val="15"/>
                      <w:szCs w:val="15"/>
                      <w:highlight w:val="none"/>
                      <w:lang w:eastAsia="zh-CN"/>
                    </w:rPr>
                    <w:t>迷路</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外墙</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F</w:t>
                  </w:r>
                  <w:r>
                    <w:rPr>
                      <w:rFonts w:hint="default" w:ascii="Times New Roman" w:hAnsi="Times New Roman" w:cs="Times New Roman"/>
                      <w:color w:val="auto"/>
                      <w:sz w:val="15"/>
                      <w:szCs w:val="15"/>
                      <w:highlight w:val="none"/>
                      <w:vertAlign w:val="subscript"/>
                      <w:lang w:val="en-US" w:eastAsia="zh-CN"/>
                    </w:rPr>
                    <w:t>1</w:t>
                  </w:r>
                  <w:r>
                    <w:rPr>
                      <w:rFonts w:hint="default" w:ascii="Times New Roman" w:hAnsi="Times New Roman" w:cs="Times New Roman"/>
                      <w:color w:val="auto"/>
                      <w:sz w:val="15"/>
                      <w:szCs w:val="15"/>
                      <w:highlight w:val="none"/>
                      <w:vertAlign w:val="baseline"/>
                      <w:lang w:val="en-US" w:eastAsia="zh-CN"/>
                    </w:rPr>
                    <w:t>、F</w:t>
                  </w:r>
                  <w:r>
                    <w:rPr>
                      <w:rFonts w:hint="default" w:ascii="Times New Roman" w:hAnsi="Times New Roman" w:cs="Times New Roman"/>
                      <w:color w:val="auto"/>
                      <w:sz w:val="15"/>
                      <w:szCs w:val="15"/>
                      <w:highlight w:val="none"/>
                      <w:vertAlign w:val="subscript"/>
                      <w:lang w:val="en-US" w:eastAsia="zh-CN"/>
                    </w:rPr>
                    <w:t>3</w:t>
                  </w:r>
                </w:p>
              </w:tc>
              <w:tc>
                <w:tcPr>
                  <w:tcW w:w="633"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eastAsia="zh-CN"/>
                    </w:rPr>
                  </w:pPr>
                  <w:r>
                    <w:rPr>
                      <w:rFonts w:hint="default" w:ascii="Times New Roman" w:hAnsi="Times New Roman" w:cs="Times New Roman"/>
                      <w:color w:val="auto"/>
                      <w:sz w:val="15"/>
                      <w:szCs w:val="15"/>
                      <w:highlight w:val="none"/>
                      <w:lang w:eastAsia="zh-CN"/>
                    </w:rPr>
                    <w:t>迷路</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外墙</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K</w:t>
                  </w:r>
                  <w:r>
                    <w:rPr>
                      <w:rFonts w:hint="default" w:ascii="Times New Roman" w:hAnsi="Times New Roman" w:cs="Times New Roman"/>
                      <w:color w:val="auto"/>
                      <w:sz w:val="15"/>
                      <w:szCs w:val="15"/>
                      <w:highlight w:val="none"/>
                      <w:vertAlign w:val="subscript"/>
                      <w:lang w:val="en-US" w:eastAsia="zh-CN"/>
                    </w:rPr>
                    <w:t>1</w:t>
                  </w:r>
                </w:p>
              </w:tc>
              <w:tc>
                <w:tcPr>
                  <w:tcW w:w="634"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eastAsia="zh-CN"/>
                    </w:rPr>
                  </w:pPr>
                  <w:r>
                    <w:rPr>
                      <w:rFonts w:hint="default" w:ascii="Times New Roman" w:hAnsi="Times New Roman" w:cs="Times New Roman"/>
                      <w:color w:val="auto"/>
                      <w:sz w:val="15"/>
                      <w:szCs w:val="15"/>
                      <w:highlight w:val="none"/>
                      <w:lang w:eastAsia="zh-CN"/>
                    </w:rPr>
                    <w:t>迷路</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外墙</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rPr>
                    <w:t>K</w:t>
                  </w:r>
                  <w:r>
                    <w:rPr>
                      <w:rFonts w:hint="default" w:ascii="Times New Roman" w:hAnsi="Times New Roman" w:cs="Times New Roman"/>
                      <w:color w:val="auto"/>
                      <w:sz w:val="15"/>
                      <w:szCs w:val="15"/>
                      <w:highlight w:val="none"/>
                      <w:vertAlign w:val="subscript"/>
                      <w:lang w:val="en-US" w:eastAsia="zh-CN"/>
                    </w:rPr>
                    <w:t>3</w:t>
                  </w:r>
                </w:p>
              </w:tc>
              <w:tc>
                <w:tcPr>
                  <w:tcW w:w="650"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迷路入口处G</w:t>
                  </w:r>
                  <w:r>
                    <w:rPr>
                      <w:rFonts w:hint="default" w:ascii="Times New Roman" w:hAnsi="Times New Roman" w:cs="Times New Roman"/>
                      <w:color w:val="auto"/>
                      <w:sz w:val="15"/>
                      <w:szCs w:val="15"/>
                      <w:highlight w:val="none"/>
                      <w:vertAlign w:val="subscript"/>
                      <w:lang w:val="en-US" w:eastAsia="zh-CN"/>
                    </w:rPr>
                    <w:t>1</w:t>
                  </w:r>
                </w:p>
              </w:tc>
              <w:tc>
                <w:tcPr>
                  <w:tcW w:w="608"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迷路入口处G</w:t>
                  </w:r>
                  <w:r>
                    <w:rPr>
                      <w:rFonts w:hint="default" w:ascii="Times New Roman" w:hAnsi="Times New Roman" w:cs="Times New Roman"/>
                      <w:color w:val="auto"/>
                      <w:sz w:val="15"/>
                      <w:szCs w:val="15"/>
                      <w:highlight w:val="none"/>
                      <w:vertAlign w:val="subscript"/>
                      <w:lang w:val="en-US" w:eastAsia="zh-CN"/>
                    </w:rPr>
                    <w:t>3</w:t>
                  </w:r>
                </w:p>
              </w:tc>
              <w:tc>
                <w:tcPr>
                  <w:tcW w:w="617"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墙体</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D</w:t>
                  </w:r>
                  <w:r>
                    <w:rPr>
                      <w:rFonts w:hint="default" w:ascii="Times New Roman" w:hAnsi="Times New Roman" w:cs="Times New Roman"/>
                      <w:color w:val="auto"/>
                      <w:sz w:val="15"/>
                      <w:szCs w:val="15"/>
                      <w:highlight w:val="none"/>
                      <w:vertAlign w:val="subscript"/>
                      <w:lang w:val="en-US" w:eastAsia="zh-CN"/>
                    </w:rPr>
                    <w:t>1</w:t>
                  </w:r>
                </w:p>
              </w:tc>
              <w:tc>
                <w:tcPr>
                  <w:tcW w:w="650"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墙体</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D</w:t>
                  </w:r>
                  <w:r>
                    <w:rPr>
                      <w:rFonts w:hint="default" w:ascii="Times New Roman" w:hAnsi="Times New Roman" w:cs="Times New Roman"/>
                      <w:color w:val="auto"/>
                      <w:sz w:val="15"/>
                      <w:szCs w:val="15"/>
                      <w:highlight w:val="none"/>
                      <w:vertAlign w:val="subscript"/>
                      <w:lang w:val="en-US" w:eastAsia="zh-CN"/>
                    </w:rPr>
                    <w:t>3</w:t>
                  </w:r>
                </w:p>
              </w:tc>
              <w:tc>
                <w:tcPr>
                  <w:tcW w:w="591"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墙体</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C</w:t>
                  </w:r>
                  <w:r>
                    <w:rPr>
                      <w:rFonts w:hint="default" w:ascii="Times New Roman" w:hAnsi="Times New Roman" w:cs="Times New Roman"/>
                      <w:color w:val="auto"/>
                      <w:sz w:val="15"/>
                      <w:szCs w:val="15"/>
                      <w:highlight w:val="none"/>
                      <w:vertAlign w:val="subscript"/>
                      <w:lang w:val="en-US" w:eastAsia="zh-CN"/>
                    </w:rPr>
                    <w:t>1</w:t>
                  </w:r>
                </w:p>
              </w:tc>
              <w:tc>
                <w:tcPr>
                  <w:tcW w:w="642" w:type="dxa"/>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墙体</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C</w:t>
                  </w:r>
                  <w:r>
                    <w:rPr>
                      <w:rFonts w:hint="default" w:ascii="Times New Roman" w:hAnsi="Times New Roman" w:cs="Times New Roman"/>
                      <w:color w:val="auto"/>
                      <w:sz w:val="15"/>
                      <w:szCs w:val="15"/>
                      <w:highlight w:val="none"/>
                      <w:vertAlign w:val="subscript"/>
                      <w:lang w:val="en-US" w:eastAsia="zh-CN"/>
                    </w:rPr>
                    <w:t>3</w:t>
                  </w:r>
                </w:p>
              </w:tc>
              <w:tc>
                <w:tcPr>
                  <w:tcW w:w="650" w:type="dxa"/>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墙体</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E</w:t>
                  </w:r>
                  <w:r>
                    <w:rPr>
                      <w:rFonts w:hint="default" w:ascii="Times New Roman" w:hAnsi="Times New Roman" w:cs="Times New Roman"/>
                      <w:color w:val="auto"/>
                      <w:sz w:val="15"/>
                      <w:szCs w:val="15"/>
                      <w:highlight w:val="none"/>
                      <w:vertAlign w:val="subscript"/>
                      <w:lang w:val="en-US" w:eastAsia="zh-CN"/>
                    </w:rPr>
                    <w:t>1</w:t>
                  </w:r>
                </w:p>
              </w:tc>
              <w:tc>
                <w:tcPr>
                  <w:tcW w:w="649" w:type="dxa"/>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顶部</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M</w:t>
                  </w:r>
                  <w:r>
                    <w:rPr>
                      <w:rFonts w:hint="default" w:ascii="Times New Roman" w:hAnsi="Times New Roman" w:cs="Times New Roman"/>
                      <w:color w:val="auto"/>
                      <w:sz w:val="15"/>
                      <w:szCs w:val="15"/>
                      <w:highlight w:val="none"/>
                      <w:vertAlign w:val="subscrip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1" w:hRule="atLeast"/>
                <w:jc w:val="center"/>
              </w:trPr>
              <w:tc>
                <w:tcPr>
                  <w:tcW w:w="648" w:type="dxa"/>
                  <w:tcBorders>
                    <w:top w:val="single" w:color="auto" w:sz="12" w:space="0"/>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设计</w:t>
                  </w:r>
                  <w:r>
                    <w:rPr>
                      <w:rFonts w:hint="default" w:ascii="Times New Roman" w:hAnsi="Times New Roman" w:cs="Times New Roman"/>
                      <w:color w:val="auto"/>
                      <w:sz w:val="15"/>
                      <w:szCs w:val="15"/>
                      <w:highlight w:val="none"/>
                      <w:lang w:val="en-US" w:eastAsia="zh-CN"/>
                    </w:rPr>
                    <w:t>墙体</w:t>
                  </w:r>
                  <w:r>
                    <w:rPr>
                      <w:rFonts w:hint="default" w:ascii="Times New Roman" w:hAnsi="Times New Roman" w:cs="Times New Roman"/>
                      <w:color w:val="auto"/>
                      <w:sz w:val="15"/>
                      <w:szCs w:val="15"/>
                      <w:highlight w:val="none"/>
                    </w:rPr>
                    <w:t>厚度 X（cm）</w:t>
                  </w:r>
                </w:p>
              </w:tc>
              <w:tc>
                <w:tcPr>
                  <w:tcW w:w="639"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300</w:t>
                  </w:r>
                </w:p>
              </w:tc>
              <w:tc>
                <w:tcPr>
                  <w:tcW w:w="625" w:type="dxa"/>
                  <w:tcBorders>
                    <w:top w:val="single" w:color="auto" w:sz="12"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300</w:t>
                  </w:r>
                </w:p>
              </w:tc>
              <w:tc>
                <w:tcPr>
                  <w:tcW w:w="658"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170</w:t>
                  </w:r>
                </w:p>
              </w:tc>
              <w:tc>
                <w:tcPr>
                  <w:tcW w:w="633"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170</w:t>
                  </w:r>
                </w:p>
              </w:tc>
              <w:tc>
                <w:tcPr>
                  <w:tcW w:w="634"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170</w:t>
                  </w:r>
                </w:p>
              </w:tc>
              <w:tc>
                <w:tcPr>
                  <w:tcW w:w="650"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w:t>
                  </w:r>
                  <w:r>
                    <w:rPr>
                      <w:rFonts w:hint="default" w:ascii="Times New Roman" w:hAnsi="Times New Roman" w:cs="Times New Roman"/>
                      <w:color w:val="auto"/>
                      <w:sz w:val="15"/>
                      <w:szCs w:val="15"/>
                      <w:highlight w:val="none"/>
                      <w:lang w:val="en-US" w:eastAsia="zh-CN"/>
                    </w:rPr>
                    <w:t>7</w:t>
                  </w:r>
                  <w:r>
                    <w:rPr>
                      <w:rFonts w:hint="default" w:ascii="Times New Roman" w:hAnsi="Times New Roman" w:cs="Times New Roman"/>
                      <w:color w:val="auto"/>
                      <w:sz w:val="15"/>
                      <w:szCs w:val="15"/>
                      <w:highlight w:val="none"/>
                    </w:rPr>
                    <w:t>0</w:t>
                  </w:r>
                </w:p>
              </w:tc>
              <w:tc>
                <w:tcPr>
                  <w:tcW w:w="608"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170</w:t>
                  </w:r>
                </w:p>
              </w:tc>
              <w:tc>
                <w:tcPr>
                  <w:tcW w:w="617"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rPr>
                    <w:t>1</w:t>
                  </w:r>
                  <w:r>
                    <w:rPr>
                      <w:rFonts w:hint="default" w:ascii="Times New Roman" w:hAnsi="Times New Roman" w:cs="Times New Roman"/>
                      <w:color w:val="auto"/>
                      <w:sz w:val="15"/>
                      <w:szCs w:val="15"/>
                      <w:highlight w:val="none"/>
                      <w:lang w:val="en-US" w:eastAsia="zh-CN"/>
                    </w:rPr>
                    <w:t>7</w:t>
                  </w:r>
                  <w:r>
                    <w:rPr>
                      <w:rFonts w:hint="default" w:ascii="Times New Roman" w:hAnsi="Times New Roman" w:cs="Times New Roman"/>
                      <w:color w:val="auto"/>
                      <w:sz w:val="15"/>
                      <w:szCs w:val="15"/>
                      <w:highlight w:val="none"/>
                    </w:rPr>
                    <w:t>0</w:t>
                  </w:r>
                </w:p>
              </w:tc>
              <w:tc>
                <w:tcPr>
                  <w:tcW w:w="650"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180</w:t>
                  </w:r>
                </w:p>
              </w:tc>
              <w:tc>
                <w:tcPr>
                  <w:tcW w:w="591"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180</w:t>
                  </w:r>
                </w:p>
              </w:tc>
              <w:tc>
                <w:tcPr>
                  <w:tcW w:w="642" w:type="dxa"/>
                  <w:tcBorders>
                    <w:top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170</w:t>
                  </w:r>
                </w:p>
              </w:tc>
              <w:tc>
                <w:tcPr>
                  <w:tcW w:w="650" w:type="dxa"/>
                  <w:tcBorders>
                    <w:top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170</w:t>
                  </w:r>
                </w:p>
              </w:tc>
              <w:tc>
                <w:tcPr>
                  <w:tcW w:w="649" w:type="dxa"/>
                  <w:tcBorders>
                    <w:top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斜射角θ</w:t>
                  </w:r>
                </w:p>
              </w:tc>
              <w:tc>
                <w:tcPr>
                  <w:tcW w:w="63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0</w:t>
                  </w:r>
                </w:p>
              </w:tc>
              <w:tc>
                <w:tcPr>
                  <w:tcW w:w="62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0</w:t>
                  </w:r>
                </w:p>
              </w:tc>
              <w:tc>
                <w:tcPr>
                  <w:tcW w:w="65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0</w:t>
                  </w:r>
                </w:p>
              </w:tc>
              <w:tc>
                <w:tcPr>
                  <w:tcW w:w="6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23</w:t>
                  </w:r>
                  <w:r>
                    <w:rPr>
                      <w:rFonts w:hint="default" w:ascii="Times New Roman" w:hAnsi="Times New Roman" w:cs="Times New Roman"/>
                      <w:color w:val="auto"/>
                      <w:sz w:val="15"/>
                      <w:szCs w:val="15"/>
                      <w:highlight w:val="none"/>
                    </w:rPr>
                    <w:t>°</w:t>
                  </w:r>
                </w:p>
              </w:tc>
              <w:tc>
                <w:tcPr>
                  <w:tcW w:w="63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16</w:t>
                  </w:r>
                  <w:r>
                    <w:rPr>
                      <w:rFonts w:hint="default" w:ascii="Times New Roman" w:hAnsi="Times New Roman" w:cs="Times New Roman"/>
                      <w:color w:val="auto"/>
                      <w:sz w:val="15"/>
                      <w:szCs w:val="15"/>
                      <w:highlight w:val="none"/>
                    </w:rPr>
                    <w:t>°</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25</w:t>
                  </w:r>
                  <w:r>
                    <w:rPr>
                      <w:rFonts w:hint="default" w:ascii="Times New Roman" w:hAnsi="Times New Roman" w:cs="Times New Roman"/>
                      <w:color w:val="auto"/>
                      <w:sz w:val="15"/>
                      <w:szCs w:val="15"/>
                      <w:highlight w:val="none"/>
                    </w:rPr>
                    <w:t>°</w:t>
                  </w:r>
                </w:p>
              </w:tc>
              <w:tc>
                <w:tcPr>
                  <w:tcW w:w="60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28°</w:t>
                  </w:r>
                </w:p>
              </w:tc>
              <w:tc>
                <w:tcPr>
                  <w:tcW w:w="6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27</w:t>
                  </w:r>
                  <w:r>
                    <w:rPr>
                      <w:rFonts w:hint="default" w:ascii="Times New Roman" w:hAnsi="Times New Roman" w:cs="Times New Roman"/>
                      <w:color w:val="auto"/>
                      <w:sz w:val="15"/>
                      <w:szCs w:val="15"/>
                      <w:highlight w:val="none"/>
                    </w:rPr>
                    <w:t>°</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33°</w:t>
                  </w:r>
                </w:p>
              </w:tc>
              <w:tc>
                <w:tcPr>
                  <w:tcW w:w="5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33</w:t>
                  </w:r>
                  <w:r>
                    <w:rPr>
                      <w:rFonts w:hint="default" w:ascii="Times New Roman" w:hAnsi="Times New Roman" w:cs="Times New Roman"/>
                      <w:color w:val="auto"/>
                      <w:sz w:val="15"/>
                      <w:szCs w:val="15"/>
                      <w:highlight w:val="none"/>
                    </w:rPr>
                    <w:t>°</w:t>
                  </w:r>
                </w:p>
              </w:tc>
              <w:tc>
                <w:tcPr>
                  <w:tcW w:w="642"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28°</w:t>
                  </w:r>
                </w:p>
              </w:tc>
              <w:tc>
                <w:tcPr>
                  <w:tcW w:w="650"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0</w:t>
                  </w:r>
                </w:p>
              </w:tc>
              <w:tc>
                <w:tcPr>
                  <w:tcW w:w="649"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24</w:t>
                  </w:r>
                  <w:r>
                    <w:rPr>
                      <w:rFonts w:hint="default" w:ascii="Times New Roman" w:hAnsi="Times New Roman" w:cs="Times New Roman"/>
                      <w:color w:val="auto"/>
                      <w:sz w:val="15"/>
                      <w:szCs w:val="15"/>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 xml:space="preserve"> Xe（cm）</w:t>
                  </w:r>
                </w:p>
              </w:tc>
              <w:tc>
                <w:tcPr>
                  <w:tcW w:w="63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300</w:t>
                  </w:r>
                </w:p>
              </w:tc>
              <w:tc>
                <w:tcPr>
                  <w:tcW w:w="62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300</w:t>
                  </w:r>
                </w:p>
              </w:tc>
              <w:tc>
                <w:tcPr>
                  <w:tcW w:w="65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170</w:t>
                  </w:r>
                </w:p>
              </w:tc>
              <w:tc>
                <w:tcPr>
                  <w:tcW w:w="6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184</w:t>
                  </w:r>
                </w:p>
              </w:tc>
              <w:tc>
                <w:tcPr>
                  <w:tcW w:w="63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177</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187</w:t>
                  </w:r>
                </w:p>
              </w:tc>
              <w:tc>
                <w:tcPr>
                  <w:tcW w:w="60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192</w:t>
                  </w:r>
                </w:p>
              </w:tc>
              <w:tc>
                <w:tcPr>
                  <w:tcW w:w="6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190</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214</w:t>
                  </w:r>
                </w:p>
              </w:tc>
              <w:tc>
                <w:tcPr>
                  <w:tcW w:w="5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214</w:t>
                  </w:r>
                </w:p>
              </w:tc>
              <w:tc>
                <w:tcPr>
                  <w:tcW w:w="642"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192</w:t>
                  </w:r>
                </w:p>
              </w:tc>
              <w:tc>
                <w:tcPr>
                  <w:tcW w:w="650"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170</w:t>
                  </w:r>
                </w:p>
              </w:tc>
              <w:tc>
                <w:tcPr>
                  <w:tcW w:w="649"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TVL</w:t>
                  </w:r>
                  <w:r>
                    <w:rPr>
                      <w:rFonts w:hint="default" w:ascii="Times New Roman" w:hAnsi="Times New Roman" w:cs="Times New Roman"/>
                      <w:bCs/>
                      <w:color w:val="auto"/>
                      <w:sz w:val="15"/>
                      <w:szCs w:val="15"/>
                      <w:highlight w:val="none"/>
                      <w:vertAlign w:val="subscript"/>
                    </w:rPr>
                    <w:t>1</w:t>
                  </w:r>
                  <w:r>
                    <w:rPr>
                      <w:rFonts w:hint="default" w:ascii="Times New Roman" w:hAnsi="Times New Roman" w:cs="Times New Roman"/>
                      <w:bCs/>
                      <w:color w:val="auto"/>
                      <w:sz w:val="15"/>
                      <w:szCs w:val="15"/>
                      <w:highlight w:val="none"/>
                    </w:rPr>
                    <w:t>（cm）</w:t>
                  </w:r>
                </w:p>
              </w:tc>
              <w:tc>
                <w:tcPr>
                  <w:tcW w:w="63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41</w:t>
                  </w:r>
                </w:p>
              </w:tc>
              <w:tc>
                <w:tcPr>
                  <w:tcW w:w="62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41</w:t>
                  </w:r>
                </w:p>
              </w:tc>
              <w:tc>
                <w:tcPr>
                  <w:tcW w:w="65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35</w:t>
                  </w:r>
                </w:p>
              </w:tc>
              <w:tc>
                <w:tcPr>
                  <w:tcW w:w="6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c>
                <w:tcPr>
                  <w:tcW w:w="63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c>
                <w:tcPr>
                  <w:tcW w:w="60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c>
                <w:tcPr>
                  <w:tcW w:w="6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c>
                <w:tcPr>
                  <w:tcW w:w="5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c>
                <w:tcPr>
                  <w:tcW w:w="642"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c>
                <w:tcPr>
                  <w:tcW w:w="650"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c>
                <w:tcPr>
                  <w:tcW w:w="649"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TVL（cm)</w:t>
                  </w:r>
                </w:p>
              </w:tc>
              <w:tc>
                <w:tcPr>
                  <w:tcW w:w="63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37</w:t>
                  </w:r>
                </w:p>
              </w:tc>
              <w:tc>
                <w:tcPr>
                  <w:tcW w:w="62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37</w:t>
                  </w:r>
                </w:p>
              </w:tc>
              <w:tc>
                <w:tcPr>
                  <w:tcW w:w="65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31</w:t>
                  </w:r>
                </w:p>
              </w:tc>
              <w:tc>
                <w:tcPr>
                  <w:tcW w:w="6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31</w:t>
                  </w:r>
                </w:p>
              </w:tc>
              <w:tc>
                <w:tcPr>
                  <w:tcW w:w="63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31</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31</w:t>
                  </w:r>
                </w:p>
              </w:tc>
              <w:tc>
                <w:tcPr>
                  <w:tcW w:w="60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31</w:t>
                  </w:r>
                </w:p>
              </w:tc>
              <w:tc>
                <w:tcPr>
                  <w:tcW w:w="6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31</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31</w:t>
                  </w:r>
                </w:p>
              </w:tc>
              <w:tc>
                <w:tcPr>
                  <w:tcW w:w="5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31</w:t>
                  </w:r>
                </w:p>
              </w:tc>
              <w:tc>
                <w:tcPr>
                  <w:tcW w:w="642"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31</w:t>
                  </w:r>
                </w:p>
              </w:tc>
              <w:tc>
                <w:tcPr>
                  <w:tcW w:w="650"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31</w:t>
                  </w:r>
                </w:p>
              </w:tc>
              <w:tc>
                <w:tcPr>
                  <w:tcW w:w="649"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透射因子B</w:t>
                  </w:r>
                </w:p>
              </w:tc>
              <w:tc>
                <w:tcPr>
                  <w:tcW w:w="63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eastAsia="zh-CN"/>
                    </w:rPr>
                  </w:pPr>
                  <w:r>
                    <w:rPr>
                      <w:rFonts w:hint="default" w:ascii="Times New Roman" w:hAnsi="Times New Roman" w:cs="Times New Roman"/>
                      <w:color w:val="auto"/>
                      <w:sz w:val="15"/>
                      <w:szCs w:val="15"/>
                      <w:highlight w:val="none"/>
                      <w:lang w:val="en-US" w:eastAsia="zh-CN"/>
                    </w:rPr>
                    <w:t>1.00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8</w:t>
                  </w:r>
                </w:p>
              </w:tc>
              <w:tc>
                <w:tcPr>
                  <w:tcW w:w="62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1.00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8</w:t>
                  </w:r>
                </w:p>
              </w:tc>
              <w:tc>
                <w:tcPr>
                  <w:tcW w:w="65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4.42</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6</w:t>
                  </w:r>
                </w:p>
              </w:tc>
              <w:tc>
                <w:tcPr>
                  <w:tcW w:w="6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1.48</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-6</w:t>
                  </w:r>
                </w:p>
              </w:tc>
              <w:tc>
                <w:tcPr>
                  <w:tcW w:w="63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2.66</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-6</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eastAsia="zh-CN"/>
                    </w:rPr>
                  </w:pPr>
                  <w:r>
                    <w:rPr>
                      <w:rFonts w:hint="default" w:ascii="Times New Roman" w:hAnsi="Times New Roman" w:cs="Times New Roman"/>
                      <w:color w:val="auto"/>
                      <w:sz w:val="15"/>
                      <w:szCs w:val="15"/>
                      <w:highlight w:val="none"/>
                    </w:rPr>
                    <w:t>1.</w:t>
                  </w:r>
                  <w:r>
                    <w:rPr>
                      <w:rFonts w:hint="default" w:ascii="Times New Roman" w:hAnsi="Times New Roman" w:cs="Times New Roman"/>
                      <w:color w:val="auto"/>
                      <w:sz w:val="15"/>
                      <w:szCs w:val="15"/>
                      <w:highlight w:val="none"/>
                      <w:lang w:val="en-US" w:eastAsia="zh-CN"/>
                    </w:rPr>
                    <w:t>20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6</w:t>
                  </w:r>
                </w:p>
              </w:tc>
              <w:tc>
                <w:tcPr>
                  <w:tcW w:w="60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8.28</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-7</w:t>
                  </w:r>
                </w:p>
              </w:tc>
              <w:tc>
                <w:tcPr>
                  <w:tcW w:w="6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9.43</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-7</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1.61</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-7</w:t>
                  </w:r>
                </w:p>
              </w:tc>
              <w:tc>
                <w:tcPr>
                  <w:tcW w:w="5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1.61</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-7</w:t>
                  </w:r>
                </w:p>
              </w:tc>
              <w:tc>
                <w:tcPr>
                  <w:tcW w:w="642"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8.28</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-7</w:t>
                  </w:r>
                </w:p>
              </w:tc>
              <w:tc>
                <w:tcPr>
                  <w:tcW w:w="650"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4.42</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6</w:t>
                  </w:r>
                </w:p>
              </w:tc>
              <w:tc>
                <w:tcPr>
                  <w:tcW w:w="649"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eastAsia="zh-CN"/>
                    </w:rPr>
                  </w:pPr>
                  <w:r>
                    <w:rPr>
                      <w:rFonts w:hint="default" w:ascii="Times New Roman" w:hAnsi="Times New Roman" w:cs="Times New Roman"/>
                      <w:color w:val="auto"/>
                      <w:sz w:val="15"/>
                      <w:szCs w:val="15"/>
                      <w:highlight w:val="none"/>
                      <w:lang w:val="en-US" w:eastAsia="zh-CN"/>
                    </w:rPr>
                    <w:t>1.34</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H</w:t>
                  </w:r>
                  <w:r>
                    <w:rPr>
                      <w:rFonts w:hint="default" w:ascii="Times New Roman" w:hAnsi="Times New Roman" w:cs="Times New Roman"/>
                      <w:bCs/>
                      <w:color w:val="auto"/>
                      <w:sz w:val="15"/>
                      <w:szCs w:val="15"/>
                      <w:highlight w:val="none"/>
                      <w:vertAlign w:val="subscript"/>
                    </w:rPr>
                    <w:t>0</w:t>
                  </w:r>
                  <w:r>
                    <w:rPr>
                      <w:rFonts w:hint="default" w:ascii="Times New Roman" w:hAnsi="Times New Roman" w:cs="Times New Roman"/>
                      <w:bCs/>
                      <w:color w:val="auto"/>
                      <w:sz w:val="15"/>
                      <w:szCs w:val="15"/>
                      <w:highlight w:val="none"/>
                    </w:rPr>
                    <w:t>（μSv.m</w:t>
                  </w:r>
                  <w:r>
                    <w:rPr>
                      <w:rFonts w:hint="default" w:ascii="Times New Roman" w:hAnsi="Times New Roman" w:cs="Times New Roman"/>
                      <w:bCs/>
                      <w:color w:val="auto"/>
                      <w:sz w:val="15"/>
                      <w:szCs w:val="15"/>
                      <w:highlight w:val="none"/>
                      <w:vertAlign w:val="superscript"/>
                    </w:rPr>
                    <w:t>2</w:t>
                  </w:r>
                  <w:r>
                    <w:rPr>
                      <w:rFonts w:hint="default" w:ascii="Times New Roman" w:hAnsi="Times New Roman" w:cs="Times New Roman"/>
                      <w:bCs/>
                      <w:color w:val="auto"/>
                      <w:sz w:val="15"/>
                      <w:szCs w:val="15"/>
                      <w:highlight w:val="none"/>
                    </w:rPr>
                    <w:t xml:space="preserve"> /h）</w:t>
                  </w:r>
                </w:p>
              </w:tc>
              <w:tc>
                <w:tcPr>
                  <w:tcW w:w="63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2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5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34"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08"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50"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5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42"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50"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c>
                <w:tcPr>
                  <w:tcW w:w="649"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3.60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f</w:t>
                  </w:r>
                </w:p>
              </w:tc>
              <w:tc>
                <w:tcPr>
                  <w:tcW w:w="63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1</w:t>
                  </w:r>
                </w:p>
              </w:tc>
              <w:tc>
                <w:tcPr>
                  <w:tcW w:w="62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1</w:t>
                  </w:r>
                </w:p>
              </w:tc>
              <w:tc>
                <w:tcPr>
                  <w:tcW w:w="65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3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08"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50"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5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42"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50"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49"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R（m)</w:t>
                  </w:r>
                </w:p>
              </w:tc>
              <w:tc>
                <w:tcPr>
                  <w:tcW w:w="63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6.75</w:t>
                  </w:r>
                </w:p>
              </w:tc>
              <w:tc>
                <w:tcPr>
                  <w:tcW w:w="62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5.70</w:t>
                  </w:r>
                </w:p>
              </w:tc>
              <w:tc>
                <w:tcPr>
                  <w:tcW w:w="65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9.40</w:t>
                  </w:r>
                </w:p>
              </w:tc>
              <w:tc>
                <w:tcPr>
                  <w:tcW w:w="63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8.30</w:t>
                  </w:r>
                </w:p>
              </w:tc>
              <w:tc>
                <w:tcPr>
                  <w:tcW w:w="63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9.76</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10.45</w:t>
                  </w:r>
                </w:p>
              </w:tc>
              <w:tc>
                <w:tcPr>
                  <w:tcW w:w="608"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10.70</w:t>
                  </w:r>
                </w:p>
              </w:tc>
              <w:tc>
                <w:tcPr>
                  <w:tcW w:w="617"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7.67</w:t>
                  </w:r>
                </w:p>
              </w:tc>
              <w:tc>
                <w:tcPr>
                  <w:tcW w:w="65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7.29</w:t>
                  </w:r>
                </w:p>
              </w:tc>
              <w:tc>
                <w:tcPr>
                  <w:tcW w:w="5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7.31</w:t>
                  </w:r>
                </w:p>
              </w:tc>
              <w:tc>
                <w:tcPr>
                  <w:tcW w:w="642"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7.67</w:t>
                  </w:r>
                </w:p>
              </w:tc>
              <w:tc>
                <w:tcPr>
                  <w:tcW w:w="650"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5.40</w:t>
                  </w:r>
                </w:p>
              </w:tc>
              <w:tc>
                <w:tcPr>
                  <w:tcW w:w="649"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剂量当量H(μSv/h)</w:t>
                  </w:r>
                </w:p>
              </w:tc>
              <w:tc>
                <w:tcPr>
                  <w:tcW w:w="639"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color w:val="auto"/>
                      <w:sz w:val="15"/>
                      <w:szCs w:val="15"/>
                      <w:highlight w:val="none"/>
                      <w:lang w:val="en-US" w:eastAsia="zh-CN"/>
                    </w:rPr>
                    <w:t>7.90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2</w:t>
                  </w:r>
                </w:p>
              </w:tc>
              <w:tc>
                <w:tcPr>
                  <w:tcW w:w="62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color w:val="auto"/>
                      <w:sz w:val="15"/>
                      <w:szCs w:val="15"/>
                      <w:highlight w:val="none"/>
                      <w:lang w:val="en-US" w:eastAsia="zh-CN"/>
                    </w:rPr>
                    <w:t>1.11</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-1</w:t>
                  </w:r>
                </w:p>
              </w:tc>
              <w:tc>
                <w:tcPr>
                  <w:tcW w:w="658"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1.80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2</w:t>
                  </w:r>
                </w:p>
              </w:tc>
              <w:tc>
                <w:tcPr>
                  <w:tcW w:w="633"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color w:val="auto"/>
                      <w:sz w:val="15"/>
                      <w:szCs w:val="15"/>
                      <w:highlight w:val="none"/>
                      <w:lang w:val="en-US" w:eastAsia="zh-CN"/>
                    </w:rPr>
                    <w:t>7.76</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3</w:t>
                  </w:r>
                </w:p>
              </w:tc>
              <w:tc>
                <w:tcPr>
                  <w:tcW w:w="634"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1.00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2</w:t>
                  </w:r>
                </w:p>
              </w:tc>
              <w:tc>
                <w:tcPr>
                  <w:tcW w:w="65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3.95</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08"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2.60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17"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color w:val="auto"/>
                      <w:sz w:val="15"/>
                      <w:szCs w:val="15"/>
                      <w:highlight w:val="none"/>
                      <w:lang w:val="en-US" w:eastAsia="zh-CN"/>
                    </w:rPr>
                    <w:t>6.35</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3</w:t>
                  </w:r>
                </w:p>
              </w:tc>
              <w:tc>
                <w:tcPr>
                  <w:tcW w:w="650"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1.09</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3</w:t>
                  </w:r>
                </w:p>
              </w:tc>
              <w:tc>
                <w:tcPr>
                  <w:tcW w:w="591"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en-US" w:eastAsia="zh-CN"/>
                    </w:rPr>
                    <w:t>1.08</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c>
                <w:tcPr>
                  <w:tcW w:w="642"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2.60</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3</w:t>
                  </w:r>
                </w:p>
              </w:tc>
              <w:tc>
                <w:tcPr>
                  <w:tcW w:w="650"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5.45</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2</w:t>
                  </w:r>
                </w:p>
              </w:tc>
              <w:tc>
                <w:tcPr>
                  <w:tcW w:w="649"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9.01</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工作负荷（h）</w:t>
                  </w:r>
                </w:p>
              </w:tc>
              <w:tc>
                <w:tcPr>
                  <w:tcW w:w="639"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val="en-US" w:eastAsia="zh-CN"/>
                    </w:rPr>
                  </w:pPr>
                  <w:r>
                    <w:rPr>
                      <w:rFonts w:hint="eastAsia" w:ascii="Times New Roman" w:hAnsi="Times New Roman" w:cs="Times New Roman"/>
                      <w:bCs/>
                      <w:color w:val="auto"/>
                      <w:sz w:val="15"/>
                      <w:szCs w:val="15"/>
                      <w:highlight w:val="none"/>
                      <w:lang w:val="en-US" w:eastAsia="zh-CN"/>
                    </w:rPr>
                    <w:t>750</w:t>
                  </w:r>
                </w:p>
              </w:tc>
              <w:tc>
                <w:tcPr>
                  <w:tcW w:w="62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15"/>
                      <w:szCs w:val="15"/>
                      <w:highlight w:val="none"/>
                      <w:lang w:val="en-US" w:eastAsia="zh-CN"/>
                    </w:rPr>
                  </w:pPr>
                  <w:r>
                    <w:rPr>
                      <w:rFonts w:hint="eastAsia" w:ascii="Times New Roman" w:hAnsi="Times New Roman" w:cs="Times New Roman"/>
                      <w:bCs/>
                      <w:color w:val="auto"/>
                      <w:sz w:val="15"/>
                      <w:szCs w:val="15"/>
                      <w:highlight w:val="none"/>
                      <w:lang w:val="en-US" w:eastAsia="zh-CN"/>
                    </w:rPr>
                    <w:t>750</w:t>
                  </w:r>
                </w:p>
              </w:tc>
              <w:tc>
                <w:tcPr>
                  <w:tcW w:w="658"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eastAsia" w:ascii="Times New Roman" w:hAnsi="Times New Roman" w:cs="Times New Roman"/>
                      <w:bCs/>
                      <w:color w:val="auto"/>
                      <w:sz w:val="15"/>
                      <w:szCs w:val="15"/>
                      <w:highlight w:val="none"/>
                      <w:lang w:val="en-US" w:eastAsia="zh-CN"/>
                    </w:rPr>
                    <w:t>750</w:t>
                  </w:r>
                </w:p>
              </w:tc>
              <w:tc>
                <w:tcPr>
                  <w:tcW w:w="633"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eastAsia" w:ascii="Times New Roman" w:hAnsi="Times New Roman" w:cs="Times New Roman"/>
                      <w:bCs/>
                      <w:color w:val="auto"/>
                      <w:sz w:val="15"/>
                      <w:szCs w:val="15"/>
                      <w:highlight w:val="none"/>
                      <w:lang w:val="en-US" w:eastAsia="zh-CN"/>
                    </w:rPr>
                    <w:t>750</w:t>
                  </w:r>
                </w:p>
              </w:tc>
              <w:tc>
                <w:tcPr>
                  <w:tcW w:w="63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15"/>
                      <w:szCs w:val="15"/>
                      <w:highlight w:val="none"/>
                      <w:lang w:val="en-US" w:eastAsia="zh-CN"/>
                    </w:rPr>
                  </w:pPr>
                  <w:r>
                    <w:rPr>
                      <w:rFonts w:hint="eastAsia" w:ascii="Times New Roman" w:hAnsi="Times New Roman" w:cs="Times New Roman"/>
                      <w:bCs/>
                      <w:color w:val="auto"/>
                      <w:sz w:val="15"/>
                      <w:szCs w:val="15"/>
                      <w:highlight w:val="none"/>
                      <w:lang w:val="en-US" w:eastAsia="zh-CN"/>
                    </w:rPr>
                    <w:t>750</w:t>
                  </w:r>
                </w:p>
              </w:tc>
              <w:tc>
                <w:tcPr>
                  <w:tcW w:w="65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eastAsia" w:ascii="Times New Roman" w:hAnsi="Times New Roman" w:cs="Times New Roman"/>
                      <w:bCs/>
                      <w:color w:val="auto"/>
                      <w:sz w:val="15"/>
                      <w:szCs w:val="15"/>
                      <w:highlight w:val="none"/>
                      <w:lang w:val="en-US" w:eastAsia="zh-CN"/>
                    </w:rPr>
                    <w:t>750</w:t>
                  </w:r>
                </w:p>
              </w:tc>
              <w:tc>
                <w:tcPr>
                  <w:tcW w:w="608"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eastAsia" w:ascii="Times New Roman" w:hAnsi="Times New Roman" w:cs="Times New Roman"/>
                      <w:bCs/>
                      <w:color w:val="auto"/>
                      <w:sz w:val="15"/>
                      <w:szCs w:val="15"/>
                      <w:highlight w:val="none"/>
                      <w:lang w:val="en-US" w:eastAsia="zh-CN"/>
                    </w:rPr>
                    <w:t>750</w:t>
                  </w:r>
                </w:p>
              </w:tc>
              <w:tc>
                <w:tcPr>
                  <w:tcW w:w="617"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eastAsia" w:ascii="Times New Roman" w:hAnsi="Times New Roman" w:cs="Times New Roman"/>
                      <w:bCs/>
                      <w:color w:val="auto"/>
                      <w:sz w:val="15"/>
                      <w:szCs w:val="15"/>
                      <w:highlight w:val="none"/>
                      <w:lang w:val="en-US" w:eastAsia="zh-CN"/>
                    </w:rPr>
                    <w:t>750</w:t>
                  </w:r>
                </w:p>
              </w:tc>
              <w:tc>
                <w:tcPr>
                  <w:tcW w:w="650"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eastAsia" w:ascii="Times New Roman" w:hAnsi="Times New Roman" w:cs="Times New Roman"/>
                      <w:bCs/>
                      <w:color w:val="auto"/>
                      <w:sz w:val="15"/>
                      <w:szCs w:val="15"/>
                      <w:highlight w:val="none"/>
                      <w:lang w:val="en-US" w:eastAsia="zh-CN"/>
                    </w:rPr>
                    <w:t>750</w:t>
                  </w:r>
                </w:p>
              </w:tc>
              <w:tc>
                <w:tcPr>
                  <w:tcW w:w="591"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eastAsia" w:ascii="Times New Roman" w:hAnsi="Times New Roman" w:cs="Times New Roman"/>
                      <w:bCs/>
                      <w:color w:val="auto"/>
                      <w:sz w:val="15"/>
                      <w:szCs w:val="15"/>
                      <w:highlight w:val="none"/>
                      <w:lang w:val="en-US" w:eastAsia="zh-CN"/>
                    </w:rPr>
                    <w:t>750</w:t>
                  </w:r>
                </w:p>
              </w:tc>
              <w:tc>
                <w:tcPr>
                  <w:tcW w:w="642"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eastAsia" w:ascii="Times New Roman" w:hAnsi="Times New Roman" w:cs="Times New Roman"/>
                      <w:bCs/>
                      <w:color w:val="auto"/>
                      <w:sz w:val="15"/>
                      <w:szCs w:val="15"/>
                      <w:highlight w:val="none"/>
                      <w:lang w:val="en-US" w:eastAsia="zh-CN"/>
                    </w:rPr>
                    <w:t>750</w:t>
                  </w:r>
                </w:p>
              </w:tc>
              <w:tc>
                <w:tcPr>
                  <w:tcW w:w="650"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lang w:val="en-US" w:eastAsia="zh-CN"/>
                    </w:rPr>
                  </w:pPr>
                  <w:r>
                    <w:rPr>
                      <w:rFonts w:hint="eastAsia" w:ascii="Times New Roman" w:hAnsi="Times New Roman" w:cs="Times New Roman"/>
                      <w:bCs/>
                      <w:color w:val="auto"/>
                      <w:sz w:val="15"/>
                      <w:szCs w:val="15"/>
                      <w:highlight w:val="none"/>
                      <w:lang w:val="en-US" w:eastAsia="zh-CN"/>
                    </w:rPr>
                    <w:t>750</w:t>
                  </w:r>
                </w:p>
              </w:tc>
              <w:tc>
                <w:tcPr>
                  <w:tcW w:w="649"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eastAsia" w:ascii="Times New Roman" w:hAnsi="Times New Roman" w:cs="Times New Roman"/>
                      <w:bCs/>
                      <w:color w:val="auto"/>
                      <w:sz w:val="15"/>
                      <w:szCs w:val="15"/>
                      <w:highlight w:val="none"/>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居留因子（q）</w:t>
                  </w:r>
                </w:p>
              </w:tc>
              <w:tc>
                <w:tcPr>
                  <w:tcW w:w="639"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1/4</w:t>
                  </w:r>
                </w:p>
              </w:tc>
              <w:tc>
                <w:tcPr>
                  <w:tcW w:w="62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bCs/>
                      <w:color w:val="auto"/>
                      <w:sz w:val="15"/>
                      <w:szCs w:val="15"/>
                      <w:highlight w:val="none"/>
                    </w:rPr>
                    <w:t>1/4</w:t>
                  </w:r>
                </w:p>
              </w:tc>
              <w:tc>
                <w:tcPr>
                  <w:tcW w:w="658"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bCs/>
                      <w:color w:val="auto"/>
                      <w:sz w:val="15"/>
                      <w:szCs w:val="15"/>
                      <w:highlight w:val="none"/>
                      <w:lang w:val="en-US" w:eastAsia="zh-CN"/>
                    </w:rPr>
                    <w:t>1</w:t>
                  </w:r>
                </w:p>
              </w:tc>
              <w:tc>
                <w:tcPr>
                  <w:tcW w:w="633"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bCs/>
                      <w:color w:val="auto"/>
                      <w:sz w:val="15"/>
                      <w:szCs w:val="15"/>
                      <w:highlight w:val="none"/>
                      <w:lang w:val="en-US" w:eastAsia="zh-CN"/>
                    </w:rPr>
                    <w:t>1</w:t>
                  </w:r>
                </w:p>
              </w:tc>
              <w:tc>
                <w:tcPr>
                  <w:tcW w:w="634"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1/4</w:t>
                  </w:r>
                </w:p>
              </w:tc>
              <w:tc>
                <w:tcPr>
                  <w:tcW w:w="65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1/4</w:t>
                  </w:r>
                </w:p>
              </w:tc>
              <w:tc>
                <w:tcPr>
                  <w:tcW w:w="608"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cs="Times New Roman"/>
                      <w:bCs/>
                      <w:color w:val="auto"/>
                      <w:sz w:val="15"/>
                      <w:szCs w:val="15"/>
                      <w:highlight w:val="none"/>
                    </w:rPr>
                    <w:t>1/4</w:t>
                  </w:r>
                </w:p>
              </w:tc>
              <w:tc>
                <w:tcPr>
                  <w:tcW w:w="617"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bCs/>
                      <w:color w:val="auto"/>
                      <w:sz w:val="15"/>
                      <w:szCs w:val="15"/>
                      <w:highlight w:val="none"/>
                    </w:rPr>
                    <w:t>1/4</w:t>
                  </w:r>
                </w:p>
              </w:tc>
              <w:tc>
                <w:tcPr>
                  <w:tcW w:w="650"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cs="Times New Roman"/>
                      <w:bCs/>
                      <w:color w:val="auto"/>
                      <w:sz w:val="15"/>
                      <w:szCs w:val="15"/>
                      <w:highlight w:val="none"/>
                    </w:rPr>
                    <w:t>1/4</w:t>
                  </w:r>
                </w:p>
              </w:tc>
              <w:tc>
                <w:tcPr>
                  <w:tcW w:w="591"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1/4</w:t>
                  </w:r>
                </w:p>
              </w:tc>
              <w:tc>
                <w:tcPr>
                  <w:tcW w:w="642"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cs="Times New Roman"/>
                      <w:bCs/>
                      <w:color w:val="auto"/>
                      <w:sz w:val="15"/>
                      <w:szCs w:val="15"/>
                      <w:highlight w:val="none"/>
                    </w:rPr>
                    <w:t>1/4</w:t>
                  </w:r>
                </w:p>
              </w:tc>
              <w:tc>
                <w:tcPr>
                  <w:tcW w:w="650"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1/4</w:t>
                  </w:r>
                </w:p>
              </w:tc>
              <w:tc>
                <w:tcPr>
                  <w:tcW w:w="649"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648"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年剂量E(mSv/a)</w:t>
                  </w:r>
                </w:p>
              </w:tc>
              <w:tc>
                <w:tcPr>
                  <w:tcW w:w="639"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color w:val="auto"/>
                      <w:sz w:val="15"/>
                      <w:szCs w:val="15"/>
                      <w:highlight w:val="none"/>
                      <w:lang w:val="en-US" w:eastAsia="zh-CN"/>
                    </w:rPr>
                    <w:t>1.</w:t>
                  </w:r>
                  <w:r>
                    <w:rPr>
                      <w:rFonts w:hint="eastAsia" w:ascii="Times New Roman" w:hAnsi="Times New Roman" w:cs="Times New Roman"/>
                      <w:color w:val="auto"/>
                      <w:sz w:val="15"/>
                      <w:szCs w:val="15"/>
                      <w:highlight w:val="none"/>
                      <w:lang w:val="en-US" w:eastAsia="zh-CN"/>
                    </w:rPr>
                    <w:t>47</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-2</w:t>
                  </w:r>
                </w:p>
              </w:tc>
              <w:tc>
                <w:tcPr>
                  <w:tcW w:w="62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15"/>
                      <w:szCs w:val="15"/>
                      <w:highlight w:val="none"/>
                      <w:lang w:eastAsia="zh-CN"/>
                    </w:rPr>
                  </w:pPr>
                  <w:r>
                    <w:rPr>
                      <w:rFonts w:hint="eastAsia" w:ascii="Times New Roman" w:hAnsi="Times New Roman" w:cs="Times New Roman"/>
                      <w:color w:val="auto"/>
                      <w:sz w:val="15"/>
                      <w:szCs w:val="15"/>
                      <w:highlight w:val="none"/>
                      <w:lang w:val="en-US" w:eastAsia="zh-CN"/>
                    </w:rPr>
                    <w:t>2.07</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2</w:t>
                  </w:r>
                </w:p>
              </w:tc>
              <w:tc>
                <w:tcPr>
                  <w:tcW w:w="658"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1.</w:t>
                  </w:r>
                  <w:r>
                    <w:rPr>
                      <w:rFonts w:hint="eastAsia" w:ascii="Times New Roman" w:hAnsi="Times New Roman" w:cs="Times New Roman"/>
                      <w:color w:val="auto"/>
                      <w:sz w:val="15"/>
                      <w:szCs w:val="15"/>
                      <w:highlight w:val="none"/>
                      <w:lang w:val="en-US" w:eastAsia="zh-CN"/>
                    </w:rPr>
                    <w:t>34</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2</w:t>
                  </w:r>
                </w:p>
              </w:tc>
              <w:tc>
                <w:tcPr>
                  <w:tcW w:w="633"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val="en-US" w:eastAsia="zh-CN"/>
                    </w:rPr>
                  </w:pPr>
                  <w:r>
                    <w:rPr>
                      <w:rFonts w:hint="eastAsia" w:ascii="Times New Roman" w:hAnsi="Times New Roman" w:cs="Times New Roman"/>
                      <w:color w:val="auto"/>
                      <w:sz w:val="15"/>
                      <w:szCs w:val="15"/>
                      <w:highlight w:val="none"/>
                      <w:lang w:val="en-US" w:eastAsia="zh-CN"/>
                    </w:rPr>
                    <w:t>5.81</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3</w:t>
                  </w:r>
                </w:p>
              </w:tc>
              <w:tc>
                <w:tcPr>
                  <w:tcW w:w="63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eastAsia" w:ascii="Times New Roman" w:hAnsi="Times New Roman" w:cs="Times New Roman"/>
                      <w:color w:val="auto"/>
                      <w:sz w:val="15"/>
                      <w:szCs w:val="15"/>
                      <w:highlight w:val="none"/>
                      <w:lang w:val="en-US" w:eastAsia="zh-CN"/>
                    </w:rPr>
                    <w:t>1.88</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3</w:t>
                  </w:r>
                </w:p>
              </w:tc>
              <w:tc>
                <w:tcPr>
                  <w:tcW w:w="65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eastAsia="zh-CN"/>
                    </w:rPr>
                  </w:pPr>
                  <w:r>
                    <w:rPr>
                      <w:rFonts w:hint="eastAsia" w:ascii="Times New Roman" w:hAnsi="Times New Roman" w:cs="Times New Roman"/>
                      <w:color w:val="auto"/>
                      <w:sz w:val="15"/>
                      <w:szCs w:val="15"/>
                      <w:highlight w:val="none"/>
                      <w:lang w:val="en-US" w:eastAsia="zh-CN"/>
                    </w:rPr>
                    <w:t>7.39</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4</w:t>
                  </w:r>
                </w:p>
              </w:tc>
              <w:tc>
                <w:tcPr>
                  <w:tcW w:w="608"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default" w:ascii="Times New Roman" w:hAnsi="Times New Roman" w:cs="Times New Roman"/>
                      <w:color w:val="auto"/>
                      <w:sz w:val="15"/>
                      <w:szCs w:val="15"/>
                      <w:highlight w:val="none"/>
                      <w:lang w:val="en-US" w:eastAsia="zh-CN"/>
                    </w:rPr>
                    <w:t>4.</w:t>
                  </w:r>
                  <w:r>
                    <w:rPr>
                      <w:rFonts w:hint="eastAsia" w:ascii="Times New Roman" w:hAnsi="Times New Roman" w:cs="Times New Roman"/>
                      <w:color w:val="auto"/>
                      <w:sz w:val="15"/>
                      <w:szCs w:val="15"/>
                      <w:highlight w:val="none"/>
                      <w:lang w:val="en-US" w:eastAsia="zh-CN"/>
                    </w:rPr>
                    <w:t>87</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4</w:t>
                  </w:r>
                </w:p>
              </w:tc>
              <w:tc>
                <w:tcPr>
                  <w:tcW w:w="617"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color w:val="auto"/>
                      <w:sz w:val="15"/>
                      <w:szCs w:val="15"/>
                      <w:highlight w:val="none"/>
                      <w:lang w:val="en-US" w:eastAsia="zh-CN"/>
                    </w:rPr>
                    <w:t>1.1</w:t>
                  </w:r>
                  <w:r>
                    <w:rPr>
                      <w:rFonts w:hint="eastAsia" w:ascii="Times New Roman" w:hAnsi="Times New Roman" w:cs="Times New Roman"/>
                      <w:color w:val="auto"/>
                      <w:sz w:val="15"/>
                      <w:szCs w:val="15"/>
                      <w:highlight w:val="none"/>
                      <w:lang w:val="en-US" w:eastAsia="zh-CN"/>
                    </w:rPr>
                    <w:t>8</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3</w:t>
                  </w:r>
                </w:p>
              </w:tc>
              <w:tc>
                <w:tcPr>
                  <w:tcW w:w="65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cs="Times New Roman"/>
                      <w:color w:val="auto"/>
                      <w:sz w:val="15"/>
                      <w:szCs w:val="15"/>
                      <w:highlight w:val="none"/>
                      <w:lang w:val="en-US" w:eastAsia="zh-CN"/>
                    </w:rPr>
                    <w:t>2.03</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4</w:t>
                  </w:r>
                </w:p>
              </w:tc>
              <w:tc>
                <w:tcPr>
                  <w:tcW w:w="591"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lang w:val="en-US" w:eastAsia="zh-CN"/>
                    </w:rPr>
                    <w:t>2.02</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-4</w:t>
                  </w:r>
                </w:p>
              </w:tc>
              <w:tc>
                <w:tcPr>
                  <w:tcW w:w="642"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lang w:val="en-US" w:eastAsia="zh-CN"/>
                    </w:rPr>
                    <w:t>4.</w:t>
                  </w:r>
                  <w:r>
                    <w:rPr>
                      <w:rFonts w:hint="eastAsia" w:ascii="Times New Roman" w:hAnsi="Times New Roman" w:cs="Times New Roman"/>
                      <w:color w:val="auto"/>
                      <w:sz w:val="15"/>
                      <w:szCs w:val="15"/>
                      <w:highlight w:val="none"/>
                      <w:lang w:val="en-US" w:eastAsia="zh-CN"/>
                    </w:rPr>
                    <w:t>87</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4</w:t>
                  </w:r>
                </w:p>
              </w:tc>
              <w:tc>
                <w:tcPr>
                  <w:tcW w:w="650"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15"/>
                      <w:szCs w:val="15"/>
                      <w:highlight w:val="none"/>
                      <w:lang w:val="en-US" w:eastAsia="zh-CN" w:bidi="ar-SA"/>
                    </w:rPr>
                  </w:pPr>
                  <w:r>
                    <w:rPr>
                      <w:rFonts w:hint="eastAsia" w:ascii="Times New Roman" w:hAnsi="Times New Roman" w:cs="Times New Roman"/>
                      <w:color w:val="auto"/>
                      <w:sz w:val="15"/>
                      <w:szCs w:val="15"/>
                      <w:highlight w:val="none"/>
                      <w:lang w:val="en-US" w:eastAsia="zh-CN"/>
                    </w:rPr>
                    <w:t>1.02</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eastAsia" w:ascii="Times New Roman" w:hAnsi="Times New Roman" w:cs="Times New Roman"/>
                      <w:color w:val="auto"/>
                      <w:sz w:val="15"/>
                      <w:szCs w:val="15"/>
                      <w:highlight w:val="none"/>
                      <w:vertAlign w:val="superscript"/>
                      <w:lang w:val="en-US" w:eastAsia="zh-CN"/>
                    </w:rPr>
                    <w:t>2</w:t>
                  </w:r>
                </w:p>
              </w:tc>
              <w:tc>
                <w:tcPr>
                  <w:tcW w:w="649"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15"/>
                      <w:szCs w:val="15"/>
                      <w:highlight w:val="none"/>
                      <w:lang w:eastAsia="zh-CN"/>
                    </w:rPr>
                  </w:pPr>
                  <w:r>
                    <w:rPr>
                      <w:rFonts w:hint="default" w:ascii="Times New Roman" w:hAnsi="Times New Roman" w:cs="Times New Roman"/>
                      <w:color w:val="auto"/>
                      <w:sz w:val="15"/>
                      <w:szCs w:val="15"/>
                      <w:highlight w:val="none"/>
                      <w:lang w:val="en-US" w:eastAsia="zh-CN"/>
                    </w:rPr>
                    <w:t>1.</w:t>
                  </w:r>
                  <w:r>
                    <w:rPr>
                      <w:rFonts w:hint="eastAsia" w:ascii="Times New Roman" w:hAnsi="Times New Roman" w:cs="Times New Roman"/>
                      <w:color w:val="auto"/>
                      <w:sz w:val="15"/>
                      <w:szCs w:val="15"/>
                      <w:highlight w:val="none"/>
                      <w:lang w:val="en-US" w:eastAsia="zh-CN"/>
                    </w:rPr>
                    <w:t>69</w:t>
                  </w:r>
                  <w:r>
                    <w:rPr>
                      <w:rFonts w:hint="default" w:ascii="Times New Roman" w:hAnsi="Times New Roman" w:cs="Times New Roman"/>
                      <w:color w:val="auto"/>
                      <w:sz w:val="15"/>
                      <w:szCs w:val="15"/>
                      <w:highlight w:val="none"/>
                    </w:rPr>
                    <w:t>×10</w:t>
                  </w:r>
                  <w:r>
                    <w:rPr>
                      <w:rFonts w:hint="default" w:ascii="Times New Roman" w:hAnsi="Times New Roman" w:cs="Times New Roman"/>
                      <w:color w:val="auto"/>
                      <w:sz w:val="15"/>
                      <w:szCs w:val="15"/>
                      <w:highlight w:val="none"/>
                      <w:vertAlign w:val="superscript"/>
                    </w:rPr>
                    <w:t>-</w:t>
                  </w:r>
                  <w:r>
                    <w:rPr>
                      <w:rFonts w:hint="default" w:ascii="Times New Roman" w:hAnsi="Times New Roman" w:cs="Times New Roman"/>
                      <w:color w:val="auto"/>
                      <w:sz w:val="15"/>
                      <w:szCs w:val="15"/>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648" w:type="dxa"/>
                  <w:tcBorders>
                    <w:left w:val="nil"/>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15"/>
                      <w:szCs w:val="15"/>
                      <w:highlight w:val="none"/>
                    </w:rPr>
                  </w:pPr>
                  <w:r>
                    <w:rPr>
                      <w:rFonts w:hint="default" w:ascii="Times New Roman" w:hAnsi="Times New Roman" w:cs="Times New Roman"/>
                      <w:bCs/>
                      <w:color w:val="auto"/>
                      <w:sz w:val="15"/>
                      <w:szCs w:val="15"/>
                      <w:highlight w:val="none"/>
                    </w:rPr>
                    <w:t>受照类型</w:t>
                  </w:r>
                </w:p>
              </w:tc>
              <w:tc>
                <w:tcPr>
                  <w:tcW w:w="639"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625"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658"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职业人员</w:t>
                  </w:r>
                </w:p>
              </w:tc>
              <w:tc>
                <w:tcPr>
                  <w:tcW w:w="633"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15"/>
                      <w:szCs w:val="15"/>
                      <w:highlight w:val="none"/>
                      <w:lang w:val="en-US" w:eastAsia="zh-CN"/>
                    </w:rPr>
                  </w:pPr>
                  <w:r>
                    <w:rPr>
                      <w:rFonts w:hint="default" w:ascii="Times New Roman" w:hAnsi="Times New Roman" w:cs="Times New Roman"/>
                      <w:color w:val="auto"/>
                      <w:sz w:val="15"/>
                      <w:szCs w:val="15"/>
                      <w:highlight w:val="none"/>
                    </w:rPr>
                    <w:t>公众</w:t>
                  </w:r>
                </w:p>
              </w:tc>
              <w:tc>
                <w:tcPr>
                  <w:tcW w:w="634"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650"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608"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617"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650"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591"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642" w:type="dxa"/>
                  <w:tcBorders>
                    <w:bottom w:val="single" w:color="auto" w:sz="12" w:space="0"/>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650" w:type="dxa"/>
                  <w:tcBorders>
                    <w:bottom w:val="single" w:color="auto" w:sz="12" w:space="0"/>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c>
                <w:tcPr>
                  <w:tcW w:w="649" w:type="dxa"/>
                  <w:tcBorders>
                    <w:bottom w:val="single" w:color="auto" w:sz="12" w:space="0"/>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公众</w:t>
                  </w:r>
                </w:p>
              </w:tc>
            </w:tr>
          </w:tbl>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6</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eastAsia="zh-CN"/>
              </w:rPr>
              <w:t>加速器治疗室</w:t>
            </w:r>
            <w:r>
              <w:rPr>
                <w:rFonts w:hint="default" w:ascii="Times New Roman" w:hAnsi="Times New Roman" w:cs="Times New Roman"/>
                <w:b/>
                <w:color w:val="auto"/>
                <w:sz w:val="21"/>
                <w:szCs w:val="21"/>
                <w:highlight w:val="none"/>
              </w:rPr>
              <w:t>患者一次散射对关注点的剂量估算表</w:t>
            </w:r>
          </w:p>
          <w:tbl>
            <w:tblPr>
              <w:tblStyle w:val="17"/>
              <w:tblW w:w="88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65"/>
              <w:gridCol w:w="1434"/>
              <w:gridCol w:w="1611"/>
              <w:gridCol w:w="1444"/>
              <w:gridCol w:w="16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88" w:type="dxa"/>
                  <w:vMerge w:val="restart"/>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计算参数</w:t>
                  </w:r>
                </w:p>
              </w:tc>
              <w:tc>
                <w:tcPr>
                  <w:tcW w:w="7771" w:type="dxa"/>
                  <w:gridSpan w:val="5"/>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与主屏蔽区相连的次屏蔽区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88" w:type="dxa"/>
                  <w:vMerge w:val="continue"/>
                  <w:tcBorders>
                    <w:top w:val="single" w:color="auto" w:sz="12"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p>
              </w:tc>
              <w:tc>
                <w:tcPr>
                  <w:tcW w:w="1665"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墙体</w:t>
                  </w:r>
                  <w:r>
                    <w:rPr>
                      <w:rFonts w:hint="default" w:ascii="Times New Roman" w:hAnsi="Times New Roman" w:cs="Times New Roman"/>
                      <w:color w:val="auto"/>
                      <w:sz w:val="21"/>
                      <w:szCs w:val="21"/>
                      <w:highlight w:val="none"/>
                      <w:lang w:val="en-US" w:eastAsia="zh-CN"/>
                    </w:rPr>
                    <w:t>D</w:t>
                  </w:r>
                  <w:r>
                    <w:rPr>
                      <w:rFonts w:hint="default" w:ascii="Times New Roman" w:hAnsi="Times New Roman" w:cs="Times New Roman"/>
                      <w:color w:val="auto"/>
                      <w:sz w:val="21"/>
                      <w:szCs w:val="21"/>
                      <w:highlight w:val="none"/>
                      <w:vertAlign w:val="subscript"/>
                      <w:lang w:val="en-US" w:eastAsia="zh-CN"/>
                    </w:rPr>
                    <w:t>1</w:t>
                  </w:r>
                  <w:r>
                    <w:rPr>
                      <w:rFonts w:hint="default" w:ascii="Times New Roman" w:hAnsi="Times New Roman" w:cs="Times New Roman"/>
                      <w:color w:val="auto"/>
                      <w:sz w:val="21"/>
                      <w:szCs w:val="21"/>
                      <w:highlight w:val="none"/>
                    </w:rPr>
                    <w:t>点</w:t>
                  </w:r>
                </w:p>
              </w:tc>
              <w:tc>
                <w:tcPr>
                  <w:tcW w:w="1434"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w:t>
                  </w:r>
                  <w:r>
                    <w:rPr>
                      <w:rFonts w:hint="default" w:ascii="Times New Roman" w:hAnsi="Times New Roman" w:cs="Times New Roman"/>
                      <w:color w:val="auto"/>
                      <w:sz w:val="21"/>
                      <w:szCs w:val="21"/>
                      <w:highlight w:val="none"/>
                      <w:lang w:val="en-US" w:eastAsia="zh-CN"/>
                    </w:rPr>
                    <w:t>D</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rPr>
                    <w:t>点</w:t>
                  </w:r>
                </w:p>
              </w:tc>
              <w:tc>
                <w:tcPr>
                  <w:tcW w:w="1611"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w:t>
                  </w: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1</w:t>
                  </w:r>
                  <w:r>
                    <w:rPr>
                      <w:rFonts w:hint="default" w:ascii="Times New Roman" w:hAnsi="Times New Roman" w:cs="Times New Roman"/>
                      <w:color w:val="auto"/>
                      <w:sz w:val="21"/>
                      <w:szCs w:val="21"/>
                      <w:highlight w:val="none"/>
                    </w:rPr>
                    <w:t>点</w:t>
                  </w:r>
                </w:p>
              </w:tc>
              <w:tc>
                <w:tcPr>
                  <w:tcW w:w="1444"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w:t>
                  </w: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rPr>
                    <w:t>点</w:t>
                  </w:r>
                </w:p>
              </w:tc>
              <w:tc>
                <w:tcPr>
                  <w:tcW w:w="1617"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顶部M</w:t>
                  </w:r>
                  <w:r>
                    <w:rPr>
                      <w:rFonts w:hint="default" w:ascii="Times New Roman" w:hAnsi="Times New Roman" w:cs="Times New Roman"/>
                      <w:color w:val="auto"/>
                      <w:sz w:val="21"/>
                      <w:szCs w:val="21"/>
                      <w:highlight w:val="none"/>
                      <w:vertAlign w:val="subscript"/>
                      <w:lang w:val="en-US" w:eastAsia="zh-CN"/>
                    </w:rPr>
                    <w:t>1</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rPr>
                    <w:t>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88"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屏蔽厚度X（cm）</w:t>
                  </w:r>
                </w:p>
              </w:tc>
              <w:tc>
                <w:tcPr>
                  <w:tcW w:w="1665" w:type="dxa"/>
                  <w:tcBorders>
                    <w:top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0</w:t>
                  </w:r>
                </w:p>
              </w:tc>
              <w:tc>
                <w:tcPr>
                  <w:tcW w:w="1434"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180</w:t>
                  </w:r>
                </w:p>
              </w:tc>
              <w:tc>
                <w:tcPr>
                  <w:tcW w:w="1611" w:type="dxa"/>
                  <w:tcBorders>
                    <w:top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180</w:t>
                  </w:r>
                </w:p>
              </w:tc>
              <w:tc>
                <w:tcPr>
                  <w:tcW w:w="1444"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170</w:t>
                  </w:r>
                </w:p>
              </w:tc>
              <w:tc>
                <w:tcPr>
                  <w:tcW w:w="1617" w:type="dxa"/>
                  <w:tcBorders>
                    <w:top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斜射角θ</w:t>
                  </w:r>
                </w:p>
              </w:tc>
              <w:tc>
                <w:tcPr>
                  <w:tcW w:w="1665"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27</w:t>
                  </w:r>
                  <w:r>
                    <w:rPr>
                      <w:rFonts w:hint="default" w:ascii="Times New Roman" w:hAnsi="Times New Roman" w:cs="Times New Roman"/>
                      <w:color w:val="auto"/>
                      <w:sz w:val="21"/>
                      <w:szCs w:val="21"/>
                      <w:highlight w:val="none"/>
                    </w:rPr>
                    <w:t>°</w:t>
                  </w:r>
                </w:p>
              </w:tc>
              <w:tc>
                <w:tcPr>
                  <w:tcW w:w="1434"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161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33</w:t>
                  </w:r>
                  <w:r>
                    <w:rPr>
                      <w:rFonts w:hint="default" w:ascii="Times New Roman" w:hAnsi="Times New Roman" w:cs="Times New Roman"/>
                      <w:color w:val="auto"/>
                      <w:sz w:val="21"/>
                      <w:szCs w:val="21"/>
                      <w:highlight w:val="none"/>
                    </w:rPr>
                    <w:t>°</w:t>
                  </w:r>
                </w:p>
              </w:tc>
              <w:tc>
                <w:tcPr>
                  <w:tcW w:w="1444"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161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Xe（cm）</w:t>
                  </w:r>
                </w:p>
              </w:tc>
              <w:tc>
                <w:tcPr>
                  <w:tcW w:w="1665"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190</w:t>
                  </w:r>
                </w:p>
              </w:tc>
              <w:tc>
                <w:tcPr>
                  <w:tcW w:w="1434"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214</w:t>
                  </w:r>
                </w:p>
              </w:tc>
              <w:tc>
                <w:tcPr>
                  <w:tcW w:w="161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214</w:t>
                  </w:r>
                </w:p>
              </w:tc>
              <w:tc>
                <w:tcPr>
                  <w:tcW w:w="1444"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192</w:t>
                  </w:r>
                </w:p>
              </w:tc>
              <w:tc>
                <w:tcPr>
                  <w:tcW w:w="161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TVL（cm）</w:t>
                  </w:r>
                </w:p>
              </w:tc>
              <w:tc>
                <w:tcPr>
                  <w:tcW w:w="166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28</w:t>
                  </w:r>
                </w:p>
              </w:tc>
              <w:tc>
                <w:tcPr>
                  <w:tcW w:w="14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28</w:t>
                  </w:r>
                </w:p>
              </w:tc>
              <w:tc>
                <w:tcPr>
                  <w:tcW w:w="16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14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28</w:t>
                  </w:r>
                </w:p>
              </w:tc>
              <w:tc>
                <w:tcPr>
                  <w:tcW w:w="161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B</w:t>
                  </w:r>
                </w:p>
              </w:tc>
              <w:tc>
                <w:tcPr>
                  <w:tcW w:w="166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1.53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7</w:t>
                  </w:r>
                </w:p>
              </w:tc>
              <w:tc>
                <w:tcPr>
                  <w:tcW w:w="14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8</w:t>
                  </w:r>
                </w:p>
              </w:tc>
              <w:tc>
                <w:tcPr>
                  <w:tcW w:w="16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5.76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8</w:t>
                  </w:r>
                </w:p>
              </w:tc>
              <w:tc>
                <w:tcPr>
                  <w:tcW w:w="14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7</w:t>
                  </w:r>
                </w:p>
              </w:tc>
              <w:tc>
                <w:tcPr>
                  <w:tcW w:w="161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2.25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H</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(μSv.m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/h)</w:t>
                  </w:r>
                </w:p>
              </w:tc>
              <w:tc>
                <w:tcPr>
                  <w:tcW w:w="166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3.6</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8</w:t>
                  </w:r>
                </w:p>
              </w:tc>
              <w:tc>
                <w:tcPr>
                  <w:tcW w:w="14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8</w:t>
                  </w:r>
                </w:p>
              </w:tc>
              <w:tc>
                <w:tcPr>
                  <w:tcW w:w="16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8</w:t>
                  </w:r>
                </w:p>
              </w:tc>
              <w:tc>
                <w:tcPr>
                  <w:tcW w:w="14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8</w:t>
                  </w:r>
                </w:p>
              </w:tc>
              <w:tc>
                <w:tcPr>
                  <w:tcW w:w="161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α</w:t>
                  </w:r>
                  <w:r>
                    <w:rPr>
                      <w:rFonts w:hint="default" w:ascii="Times New Roman" w:hAnsi="Times New Roman" w:cs="Times New Roman"/>
                      <w:bCs/>
                      <w:color w:val="auto"/>
                      <w:sz w:val="21"/>
                      <w:szCs w:val="21"/>
                      <w:highlight w:val="none"/>
                      <w:vertAlign w:val="subscript"/>
                    </w:rPr>
                    <w:t>ph</w:t>
                  </w:r>
                </w:p>
              </w:tc>
              <w:tc>
                <w:tcPr>
                  <w:tcW w:w="166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4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6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44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61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F(cm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w:t>
                  </w:r>
                </w:p>
              </w:tc>
              <w:tc>
                <w:tcPr>
                  <w:tcW w:w="16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r>
                    <w:rPr>
                      <w:rFonts w:hint="default" w:ascii="Times New Roman" w:hAnsi="Times New Roman" w:cs="Times New Roman"/>
                      <w:color w:val="auto"/>
                      <w:sz w:val="21"/>
                      <w:szCs w:val="21"/>
                      <w:highlight w:val="none"/>
                    </w:rPr>
                    <w:t>×40</w:t>
                  </w:r>
                </w:p>
              </w:tc>
              <w:tc>
                <w:tcPr>
                  <w:tcW w:w="14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r>
                    <w:rPr>
                      <w:rFonts w:hint="default" w:ascii="Times New Roman" w:hAnsi="Times New Roman" w:cs="Times New Roman"/>
                      <w:color w:val="auto"/>
                      <w:sz w:val="21"/>
                      <w:szCs w:val="21"/>
                      <w:highlight w:val="none"/>
                    </w:rPr>
                    <w:t>×40</w:t>
                  </w:r>
                </w:p>
              </w:tc>
              <w:tc>
                <w:tcPr>
                  <w:tcW w:w="1611"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r>
                    <w:rPr>
                      <w:rFonts w:hint="default" w:ascii="Times New Roman" w:hAnsi="Times New Roman" w:cs="Times New Roman"/>
                      <w:color w:val="auto"/>
                      <w:sz w:val="21"/>
                      <w:szCs w:val="21"/>
                      <w:highlight w:val="none"/>
                    </w:rPr>
                    <w:t>×40</w:t>
                  </w:r>
                </w:p>
              </w:tc>
              <w:tc>
                <w:tcPr>
                  <w:tcW w:w="14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r>
                    <w:rPr>
                      <w:rFonts w:hint="default" w:ascii="Times New Roman" w:hAnsi="Times New Roman" w:cs="Times New Roman"/>
                      <w:color w:val="auto"/>
                      <w:sz w:val="21"/>
                      <w:szCs w:val="21"/>
                      <w:highlight w:val="none"/>
                    </w:rPr>
                    <w:t>×40</w:t>
                  </w:r>
                </w:p>
              </w:tc>
              <w:tc>
                <w:tcPr>
                  <w:tcW w:w="16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r>
                    <w:rPr>
                      <w:rFonts w:hint="default" w:ascii="Times New Roman" w:hAnsi="Times New Roman" w:cs="Times New Roman"/>
                      <w:color w:val="auto"/>
                      <w:sz w:val="21"/>
                      <w:szCs w:val="21"/>
                      <w:highlight w:val="none"/>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R（m）</w:t>
                  </w:r>
                </w:p>
              </w:tc>
              <w:tc>
                <w:tcPr>
                  <w:tcW w:w="1665"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7.67</w:t>
                  </w:r>
                </w:p>
              </w:tc>
              <w:tc>
                <w:tcPr>
                  <w:tcW w:w="1434"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7.29</w:t>
                  </w:r>
                </w:p>
              </w:tc>
              <w:tc>
                <w:tcPr>
                  <w:tcW w:w="161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7.31</w:t>
                  </w:r>
                </w:p>
              </w:tc>
              <w:tc>
                <w:tcPr>
                  <w:tcW w:w="144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7.67</w:t>
                  </w:r>
                </w:p>
              </w:tc>
              <w:tc>
                <w:tcPr>
                  <w:tcW w:w="161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剂量当量H(μSv/h)</w:t>
                  </w:r>
                </w:p>
              </w:tc>
              <w:tc>
                <w:tcPr>
                  <w:tcW w:w="16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1.19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4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1.68</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611"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4.94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4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6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4.36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工作负荷（h）</w:t>
                  </w:r>
                </w:p>
              </w:tc>
              <w:tc>
                <w:tcPr>
                  <w:tcW w:w="16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750</w:t>
                  </w:r>
                </w:p>
              </w:tc>
              <w:tc>
                <w:tcPr>
                  <w:tcW w:w="14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c>
                <w:tcPr>
                  <w:tcW w:w="1611"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750</w:t>
                  </w:r>
                </w:p>
              </w:tc>
              <w:tc>
                <w:tcPr>
                  <w:tcW w:w="14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c>
                <w:tcPr>
                  <w:tcW w:w="16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居留因子（q）</w:t>
                  </w:r>
                </w:p>
              </w:tc>
              <w:tc>
                <w:tcPr>
                  <w:tcW w:w="16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1/4</w:t>
                  </w:r>
                </w:p>
              </w:tc>
              <w:tc>
                <w:tcPr>
                  <w:tcW w:w="14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1611"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14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16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年剂量E(mSv/a)</w:t>
                  </w:r>
                </w:p>
              </w:tc>
              <w:tc>
                <w:tcPr>
                  <w:tcW w:w="16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2.23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4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3.14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4</w:t>
                  </w:r>
                </w:p>
              </w:tc>
              <w:tc>
                <w:tcPr>
                  <w:tcW w:w="1611"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9.24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4</w:t>
                  </w:r>
                </w:p>
              </w:tc>
              <w:tc>
                <w:tcPr>
                  <w:tcW w:w="14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93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6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8.16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8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受照类型</w:t>
                  </w:r>
                </w:p>
              </w:tc>
              <w:tc>
                <w:tcPr>
                  <w:tcW w:w="16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c>
                <w:tcPr>
                  <w:tcW w:w="14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c>
                <w:tcPr>
                  <w:tcW w:w="1611"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c>
                <w:tcPr>
                  <w:tcW w:w="14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c>
                <w:tcPr>
                  <w:tcW w:w="16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r>
          </w:tbl>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7</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eastAsia="zh-CN"/>
              </w:rPr>
              <w:t>加速器治疗室迷路</w:t>
            </w:r>
            <w:r>
              <w:rPr>
                <w:rFonts w:hint="default" w:ascii="Times New Roman" w:hAnsi="Times New Roman" w:cs="Times New Roman"/>
                <w:b/>
                <w:color w:val="auto"/>
                <w:sz w:val="21"/>
                <w:szCs w:val="21"/>
                <w:highlight w:val="none"/>
              </w:rPr>
              <w:t>入口处由散射辐射产生的剂量估算表</w:t>
            </w:r>
          </w:p>
          <w:tbl>
            <w:tblPr>
              <w:tblStyle w:val="17"/>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3280"/>
              <w:gridCol w:w="3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38" w:type="dxa"/>
                  <w:tcBorders>
                    <w:top w:val="single" w:color="auto" w:sz="12" w:space="0"/>
                    <w:left w:val="nil"/>
                    <w:bottom w:val="single" w:color="auto" w:sz="12"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计算参数</w:t>
                  </w:r>
                </w:p>
              </w:tc>
              <w:tc>
                <w:tcPr>
                  <w:tcW w:w="3280" w:type="dxa"/>
                  <w:tcBorders>
                    <w:top w:val="single" w:color="auto" w:sz="12" w:space="0"/>
                    <w:bottom w:val="single" w:color="auto" w:sz="12" w:space="0"/>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迷路入口处</w:t>
                  </w:r>
                  <w:r>
                    <w:rPr>
                      <w:rFonts w:hint="default" w:ascii="Times New Roman" w:hAnsi="Times New Roman" w:cs="Times New Roman"/>
                      <w:bCs/>
                      <w:color w:val="auto"/>
                      <w:sz w:val="21"/>
                      <w:szCs w:val="21"/>
                      <w:highlight w:val="none"/>
                    </w:rPr>
                    <w:t>（关注点</w:t>
                  </w:r>
                  <w:r>
                    <w:rPr>
                      <w:rFonts w:hint="default" w:ascii="Times New Roman" w:hAnsi="Times New Roman" w:cs="Times New Roman"/>
                      <w:bCs/>
                      <w:color w:val="auto"/>
                      <w:sz w:val="21"/>
                      <w:szCs w:val="21"/>
                      <w:highlight w:val="none"/>
                      <w:lang w:val="en-US" w:eastAsia="zh-CN"/>
                    </w:rPr>
                    <w:t>G</w:t>
                  </w:r>
                  <w:r>
                    <w:rPr>
                      <w:rFonts w:hint="default" w:ascii="Times New Roman" w:hAnsi="Times New Roman" w:cs="Times New Roman"/>
                      <w:color w:val="auto"/>
                      <w:sz w:val="21"/>
                      <w:szCs w:val="21"/>
                      <w:highlight w:val="none"/>
                      <w:vertAlign w:val="subscript"/>
                      <w:lang w:val="en-US" w:eastAsia="zh-CN"/>
                    </w:rPr>
                    <w:t>1</w:t>
                  </w:r>
                  <w:r>
                    <w:rPr>
                      <w:rFonts w:hint="default" w:ascii="Times New Roman" w:hAnsi="Times New Roman" w:cs="Times New Roman"/>
                      <w:bCs/>
                      <w:color w:val="auto"/>
                      <w:sz w:val="21"/>
                      <w:szCs w:val="21"/>
                      <w:highlight w:val="none"/>
                    </w:rPr>
                    <w:t>）</w:t>
                  </w:r>
                </w:p>
              </w:tc>
              <w:tc>
                <w:tcPr>
                  <w:tcW w:w="3280" w:type="dxa"/>
                  <w:tcBorders>
                    <w:top w:val="single" w:color="auto" w:sz="12" w:space="0"/>
                    <w:bottom w:val="single" w:color="auto" w:sz="12" w:space="0"/>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迷路入口处</w:t>
                  </w:r>
                  <w:r>
                    <w:rPr>
                      <w:rFonts w:hint="default" w:ascii="Times New Roman" w:hAnsi="Times New Roman" w:cs="Times New Roman"/>
                      <w:bCs/>
                      <w:color w:val="auto"/>
                      <w:sz w:val="21"/>
                      <w:szCs w:val="21"/>
                      <w:highlight w:val="none"/>
                    </w:rPr>
                    <w:t>（关注点</w:t>
                  </w:r>
                  <w:r>
                    <w:rPr>
                      <w:rFonts w:hint="default" w:ascii="Times New Roman" w:hAnsi="Times New Roman" w:cs="Times New Roman"/>
                      <w:bCs/>
                      <w:color w:val="auto"/>
                      <w:sz w:val="21"/>
                      <w:szCs w:val="21"/>
                      <w:highlight w:val="none"/>
                      <w:lang w:val="en-US" w:eastAsia="zh-CN"/>
                    </w:rPr>
                    <w:t>G</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238" w:type="dxa"/>
                  <w:tcBorders>
                    <w:top w:val="single" w:color="auto" w:sz="12" w:space="0"/>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机房入口处的散射辐剂量率H</w:t>
                  </w:r>
                  <w:r>
                    <w:rPr>
                      <w:rFonts w:hint="default" w:ascii="Times New Roman" w:hAnsi="Times New Roman" w:cs="Times New Roman"/>
                      <w:bCs/>
                      <w:color w:val="auto"/>
                      <w:sz w:val="21"/>
                      <w:szCs w:val="21"/>
                      <w:highlight w:val="none"/>
                      <w:vertAlign w:val="subscript"/>
                      <w:lang w:val="en-US" w:eastAsia="zh-CN"/>
                    </w:rPr>
                    <w:t>g</w:t>
                  </w:r>
                  <w:r>
                    <w:rPr>
                      <w:rFonts w:hint="default" w:ascii="Times New Roman" w:hAnsi="Times New Roman" w:cs="Times New Roman"/>
                      <w:bCs/>
                      <w:color w:val="auto"/>
                      <w:sz w:val="21"/>
                      <w:szCs w:val="21"/>
                      <w:highlight w:val="none"/>
                    </w:rPr>
                    <w:t>（μSv/h）</w:t>
                  </w:r>
                </w:p>
              </w:tc>
              <w:tc>
                <w:tcPr>
                  <w:tcW w:w="3280" w:type="dxa"/>
                  <w:tcBorders>
                    <w:top w:val="single" w:color="auto" w:sz="12" w:space="0"/>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44.6</w:t>
                  </w:r>
                </w:p>
              </w:tc>
              <w:tc>
                <w:tcPr>
                  <w:tcW w:w="3280" w:type="dxa"/>
                  <w:tcBorders>
                    <w:top w:val="single" w:color="auto" w:sz="12" w:space="0"/>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238" w:type="dxa"/>
                  <w:tcBorders>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屏蔽厚度X（mm）</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5</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238" w:type="dxa"/>
                  <w:tcBorders>
                    <w:lef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剂量当量H</w:t>
                  </w:r>
                  <w:r>
                    <w:rPr>
                      <w:rFonts w:hint="default" w:ascii="Times New Roman" w:hAnsi="Times New Roman" w:cs="Times New Roman"/>
                      <w:bCs/>
                      <w:color w:val="auto"/>
                      <w:sz w:val="21"/>
                      <w:szCs w:val="21"/>
                      <w:highlight w:val="none"/>
                      <w:vertAlign w:val="subscript"/>
                      <w:lang w:val="en-US" w:eastAsia="zh-CN"/>
                    </w:rPr>
                    <w:t>c</w:t>
                  </w:r>
                  <w:r>
                    <w:rPr>
                      <w:rFonts w:hint="default" w:ascii="Times New Roman" w:hAnsi="Times New Roman" w:cs="Times New Roman"/>
                      <w:bCs/>
                      <w:color w:val="auto"/>
                      <w:sz w:val="21"/>
                      <w:szCs w:val="21"/>
                      <w:highlight w:val="none"/>
                    </w:rPr>
                    <w:t>(μSv/h)</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4.85×10</w:t>
                  </w:r>
                  <w:r>
                    <w:rPr>
                      <w:rFonts w:hint="default" w:ascii="Times New Roman" w:hAnsi="Times New Roman" w:cs="Times New Roman"/>
                      <w:bCs/>
                      <w:color w:val="auto"/>
                      <w:sz w:val="21"/>
                      <w:szCs w:val="21"/>
                      <w:highlight w:val="none"/>
                      <w:vertAlign w:val="superscript"/>
                      <w:lang w:val="en-US" w:eastAsia="zh-CN"/>
                    </w:rPr>
                    <w:t>-2</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6.53×10</w:t>
                  </w:r>
                  <w:r>
                    <w:rPr>
                      <w:rFonts w:hint="default" w:ascii="Times New Roman" w:hAnsi="Times New Roman" w:cs="Times New Roman"/>
                      <w:bCs/>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238" w:type="dxa"/>
                  <w:tcBorders>
                    <w:lef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TVL（mm）</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5</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238" w:type="dxa"/>
                  <w:tcBorders>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工作负荷（h）</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750</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238" w:type="dxa"/>
                  <w:tcBorders>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居留因子（m)</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4</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238" w:type="dxa"/>
                  <w:tcBorders>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关注点年剂量</w:t>
                  </w:r>
                  <w:r>
                    <w:rPr>
                      <w:rFonts w:hint="default" w:ascii="Times New Roman" w:hAnsi="Times New Roman" w:cs="Times New Roman"/>
                      <w:bCs/>
                      <w:color w:val="auto"/>
                      <w:sz w:val="21"/>
                      <w:szCs w:val="21"/>
                      <w:highlight w:val="none"/>
                    </w:rPr>
                    <w:t>(mSv/a)</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9.08</w:t>
                  </w:r>
                  <w:r>
                    <w:rPr>
                      <w:rFonts w:hint="default" w:ascii="Times New Roman" w:hAnsi="Times New Roman" w:cs="Times New Roman"/>
                      <w:bCs/>
                      <w:color w:val="auto"/>
                      <w:sz w:val="21"/>
                      <w:szCs w:val="21"/>
                      <w:highlight w:val="none"/>
                      <w:lang w:val="en-US" w:eastAsia="zh-CN"/>
                    </w:rPr>
                    <w:t>×10</w:t>
                  </w:r>
                  <w:r>
                    <w:rPr>
                      <w:rFonts w:hint="default" w:ascii="Times New Roman" w:hAnsi="Times New Roman" w:cs="Times New Roman"/>
                      <w:bCs/>
                      <w:color w:val="auto"/>
                      <w:sz w:val="21"/>
                      <w:szCs w:val="21"/>
                      <w:highlight w:val="none"/>
                      <w:vertAlign w:val="superscript"/>
                      <w:lang w:val="en-US" w:eastAsia="zh-CN"/>
                    </w:rPr>
                    <w:t>-3</w:t>
                  </w:r>
                </w:p>
              </w:tc>
              <w:tc>
                <w:tcPr>
                  <w:tcW w:w="3280" w:type="dxa"/>
                  <w:tcBorders>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r>
                    <w:rPr>
                      <w:rFonts w:hint="eastAsia" w:ascii="Times New Roman" w:hAnsi="Times New Roman" w:cs="Times New Roman"/>
                      <w:bCs/>
                      <w:color w:val="auto"/>
                      <w:sz w:val="21"/>
                      <w:szCs w:val="21"/>
                      <w:highlight w:val="none"/>
                      <w:lang w:val="en-US" w:eastAsia="zh-CN"/>
                    </w:rPr>
                    <w:t>21</w:t>
                  </w:r>
                  <w:r>
                    <w:rPr>
                      <w:rFonts w:hint="default" w:ascii="Times New Roman" w:hAnsi="Times New Roman" w:cs="Times New Roman"/>
                      <w:bCs/>
                      <w:color w:val="auto"/>
                      <w:sz w:val="21"/>
                      <w:szCs w:val="21"/>
                      <w:highlight w:val="none"/>
                      <w:lang w:val="en-US" w:eastAsia="zh-CN"/>
                    </w:rPr>
                    <w:t>×10</w:t>
                  </w:r>
                  <w:r>
                    <w:rPr>
                      <w:rFonts w:hint="default" w:ascii="Times New Roman" w:hAnsi="Times New Roman" w:cs="Times New Roman"/>
                      <w:bCs/>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38" w:type="dxa"/>
                  <w:tcBorders>
                    <w:left w:val="nil"/>
                    <w:bottom w:val="single" w:color="auto" w:sz="12"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受照类型</w:t>
                  </w:r>
                </w:p>
              </w:tc>
              <w:tc>
                <w:tcPr>
                  <w:tcW w:w="3280" w:type="dxa"/>
                  <w:tcBorders>
                    <w:bottom w:val="single" w:color="auto" w:sz="12" w:space="0"/>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公众</w:t>
                  </w:r>
                </w:p>
              </w:tc>
              <w:tc>
                <w:tcPr>
                  <w:tcW w:w="3280" w:type="dxa"/>
                  <w:tcBorders>
                    <w:bottom w:val="single" w:color="auto" w:sz="12" w:space="0"/>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r>
          </w:tbl>
          <w:p>
            <w:pPr>
              <w:keepNext w:val="0"/>
              <w:keepLines w:val="0"/>
              <w:suppressLineNumbers w:val="0"/>
              <w:spacing w:before="0" w:beforeAutospacing="0" w:after="0" w:afterAutospacing="0" w:line="360" w:lineRule="auto"/>
              <w:ind w:left="0" w:right="0" w:firstLine="573"/>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由于</w:t>
            </w:r>
            <w:r>
              <w:rPr>
                <w:rFonts w:hint="default" w:ascii="Times New Roman" w:hAnsi="Times New Roman" w:cs="Times New Roman"/>
                <w:bCs/>
                <w:color w:val="auto"/>
                <w:sz w:val="24"/>
                <w:highlight w:val="none"/>
              </w:rPr>
              <w:t>墙体</w:t>
            </w:r>
            <w:r>
              <w:rPr>
                <w:rFonts w:hint="default" w:ascii="Times New Roman" w:hAnsi="Times New Roman" w:cs="Times New Roman"/>
                <w:b w:val="0"/>
                <w:bCs/>
                <w:color w:val="auto"/>
                <w:sz w:val="24"/>
                <w:szCs w:val="24"/>
                <w:highlight w:val="none"/>
                <w:lang w:val="en-US" w:eastAsia="zh-CN"/>
              </w:rPr>
              <w:t>D</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lang w:val="en-US" w:eastAsia="zh-CN"/>
              </w:rPr>
              <w:t>D</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b w:val="0"/>
                <w:bCs/>
                <w:color w:val="auto"/>
                <w:sz w:val="24"/>
                <w:szCs w:val="24"/>
                <w:highlight w:val="none"/>
              </w:rPr>
              <w:t>点</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C</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b w:val="0"/>
                <w:bCs/>
                <w:color w:val="auto"/>
                <w:sz w:val="24"/>
                <w:szCs w:val="24"/>
                <w:highlight w:val="none"/>
                <w:lang w:val="en-US" w:eastAsia="zh-CN"/>
              </w:rPr>
              <w:t>C</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b w:val="0"/>
                <w:bCs/>
                <w:color w:val="auto"/>
                <w:sz w:val="24"/>
                <w:szCs w:val="24"/>
                <w:highlight w:val="none"/>
                <w:lang w:val="en-US" w:eastAsia="zh-CN"/>
              </w:rPr>
              <w:t>点</w:t>
            </w:r>
            <w:r>
              <w:rPr>
                <w:rFonts w:hint="default" w:ascii="Times New Roman" w:hAnsi="Times New Roman" w:cs="Times New Roman"/>
                <w:bCs/>
                <w:color w:val="auto"/>
                <w:sz w:val="24"/>
                <w:highlight w:val="none"/>
              </w:rPr>
              <w:t>和顶部M</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bCs/>
                <w:color w:val="auto"/>
                <w:sz w:val="24"/>
                <w:highlight w:val="none"/>
              </w:rPr>
              <w:t>点既要受X射线漏射影响，亦要受机房患者一次散射影响，通过剂量叠加得到上述关注点的最终年剂量如下表所示：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8  D</w:t>
            </w:r>
            <w:r>
              <w:rPr>
                <w:rFonts w:hint="default" w:ascii="Times New Roman" w:hAnsi="Times New Roman" w:cs="Times New Roman"/>
                <w:b/>
                <w:bCs/>
                <w:color w:val="auto"/>
                <w:sz w:val="21"/>
                <w:szCs w:val="21"/>
                <w:highlight w:val="none"/>
                <w:vertAlign w:val="subscript"/>
                <w:lang w:val="en-US" w:eastAsia="zh-CN"/>
              </w:rPr>
              <w:t>1</w:t>
            </w:r>
            <w:r>
              <w:rPr>
                <w:rFonts w:hint="default" w:ascii="Times New Roman" w:hAnsi="Times New Roman" w:cs="Times New Roman"/>
                <w:b/>
                <w:bCs/>
                <w:color w:val="auto"/>
                <w:sz w:val="21"/>
                <w:szCs w:val="21"/>
                <w:highlight w:val="none"/>
                <w:lang w:val="en-US" w:eastAsia="zh-CN"/>
              </w:rPr>
              <w:t>、D</w:t>
            </w:r>
            <w:r>
              <w:rPr>
                <w:rFonts w:hint="default" w:ascii="Times New Roman" w:hAnsi="Times New Roman" w:cs="Times New Roman"/>
                <w:b/>
                <w:bCs/>
                <w:color w:val="auto"/>
                <w:sz w:val="21"/>
                <w:szCs w:val="21"/>
                <w:highlight w:val="none"/>
                <w:vertAlign w:val="subscript"/>
                <w:lang w:val="en-US" w:eastAsia="zh-CN"/>
              </w:rPr>
              <w:t>3</w:t>
            </w:r>
            <w:r>
              <w:rPr>
                <w:rFonts w:hint="default" w:ascii="Times New Roman" w:hAnsi="Times New Roman" w:cs="Times New Roman"/>
                <w:b/>
                <w:bCs/>
                <w:color w:val="auto"/>
                <w:sz w:val="21"/>
                <w:szCs w:val="21"/>
                <w:highlight w:val="none"/>
                <w:lang w:val="en-US" w:eastAsia="zh-CN"/>
              </w:rPr>
              <w:t>、C</w:t>
            </w:r>
            <w:r>
              <w:rPr>
                <w:rFonts w:hint="default" w:ascii="Times New Roman" w:hAnsi="Times New Roman" w:cs="Times New Roman"/>
                <w:b/>
                <w:bCs/>
                <w:color w:val="auto"/>
                <w:sz w:val="21"/>
                <w:szCs w:val="21"/>
                <w:highlight w:val="none"/>
                <w:vertAlign w:val="subscript"/>
                <w:lang w:val="en-US" w:eastAsia="zh-CN"/>
              </w:rPr>
              <w:t>1</w:t>
            </w:r>
            <w:r>
              <w:rPr>
                <w:rFonts w:hint="default" w:ascii="Times New Roman" w:hAnsi="Times New Roman" w:cs="Times New Roman"/>
                <w:b/>
                <w:bCs/>
                <w:color w:val="auto"/>
                <w:sz w:val="21"/>
                <w:szCs w:val="21"/>
                <w:highlight w:val="none"/>
                <w:vertAlign w:val="baseline"/>
                <w:lang w:val="en-US" w:eastAsia="zh-CN"/>
              </w:rPr>
              <w:t>、C</w:t>
            </w:r>
            <w:r>
              <w:rPr>
                <w:rFonts w:hint="default" w:ascii="Times New Roman" w:hAnsi="Times New Roman" w:cs="Times New Roman"/>
                <w:b/>
                <w:bCs/>
                <w:color w:val="auto"/>
                <w:sz w:val="21"/>
                <w:szCs w:val="21"/>
                <w:highlight w:val="none"/>
                <w:vertAlign w:val="subscript"/>
                <w:lang w:val="en-US" w:eastAsia="zh-CN"/>
              </w:rPr>
              <w:t>3</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vertAlign w:val="subscript"/>
                <w:lang w:val="en-US" w:eastAsia="zh-CN"/>
              </w:rPr>
              <w:t>1</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vertAlign w:val="subscript"/>
                <w:lang w:val="en-US" w:eastAsia="zh-CN"/>
              </w:rPr>
              <w:t>3</w:t>
            </w:r>
            <w:r>
              <w:rPr>
                <w:rFonts w:hint="default" w:ascii="Times New Roman" w:hAnsi="Times New Roman" w:cs="Times New Roman"/>
                <w:b/>
                <w:color w:val="auto"/>
                <w:sz w:val="21"/>
                <w:szCs w:val="21"/>
                <w:highlight w:val="none"/>
              </w:rPr>
              <w:t>关注点剂量叠加结果</w:t>
            </w:r>
          </w:p>
          <w:tbl>
            <w:tblPr>
              <w:tblStyle w:val="17"/>
              <w:tblW w:w="88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628"/>
              <w:gridCol w:w="1583"/>
              <w:gridCol w:w="1472"/>
              <w:gridCol w:w="1489"/>
              <w:gridCol w:w="1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87" w:type="dxa"/>
                  <w:vMerge w:val="restart"/>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计算参数</w:t>
                  </w:r>
                </w:p>
              </w:tc>
              <w:tc>
                <w:tcPr>
                  <w:tcW w:w="7772" w:type="dxa"/>
                  <w:gridSpan w:val="5"/>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与主屏蔽区相连的次屏蔽区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087" w:type="dxa"/>
                  <w:vMerge w:val="continue"/>
                  <w:tcBorders>
                    <w:top w:val="single" w:color="auto" w:sz="12"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628"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b/>
                      <w:color w:val="auto"/>
                      <w:sz w:val="21"/>
                      <w:szCs w:val="21"/>
                      <w:highlight w:val="none"/>
                      <w:lang w:val="en-US" w:eastAsia="zh-CN"/>
                    </w:rPr>
                    <w:t>D</w:t>
                  </w:r>
                  <w:r>
                    <w:rPr>
                      <w:rFonts w:hint="default" w:ascii="Times New Roman" w:hAnsi="Times New Roman" w:cs="Times New Roman"/>
                      <w:color w:val="auto"/>
                      <w:sz w:val="18"/>
                      <w:szCs w:val="18"/>
                      <w:highlight w:val="none"/>
                      <w:vertAlign w:val="subscript"/>
                      <w:lang w:val="en-US" w:eastAsia="zh-CN"/>
                    </w:rPr>
                    <w:t>1</w:t>
                  </w:r>
                  <w:r>
                    <w:rPr>
                      <w:rFonts w:hint="default" w:ascii="Times New Roman" w:hAnsi="Times New Roman" w:cs="Times New Roman"/>
                      <w:color w:val="auto"/>
                      <w:szCs w:val="21"/>
                      <w:highlight w:val="none"/>
                    </w:rPr>
                    <w:t>点</w:t>
                  </w:r>
                </w:p>
              </w:tc>
              <w:tc>
                <w:tcPr>
                  <w:tcW w:w="1583"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b/>
                      <w:color w:val="auto"/>
                      <w:sz w:val="21"/>
                      <w:szCs w:val="21"/>
                      <w:highlight w:val="none"/>
                      <w:lang w:val="en-US" w:eastAsia="zh-CN"/>
                    </w:rPr>
                    <w:t>D</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Cs w:val="21"/>
                      <w:highlight w:val="none"/>
                    </w:rPr>
                    <w:t>点</w:t>
                  </w:r>
                </w:p>
              </w:tc>
              <w:tc>
                <w:tcPr>
                  <w:tcW w:w="1472"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b/>
                      <w:color w:val="auto"/>
                      <w:sz w:val="21"/>
                      <w:szCs w:val="21"/>
                      <w:highlight w:val="none"/>
                      <w:lang w:val="en-US" w:eastAsia="zh-CN"/>
                    </w:rPr>
                    <w:t>C</w:t>
                  </w:r>
                  <w:r>
                    <w:rPr>
                      <w:rFonts w:hint="default" w:ascii="Times New Roman" w:hAnsi="Times New Roman" w:cs="Times New Roman"/>
                      <w:color w:val="auto"/>
                      <w:sz w:val="18"/>
                      <w:szCs w:val="18"/>
                      <w:highlight w:val="none"/>
                      <w:vertAlign w:val="subscript"/>
                      <w:lang w:val="en-US" w:eastAsia="zh-CN"/>
                    </w:rPr>
                    <w:t>1</w:t>
                  </w:r>
                  <w:r>
                    <w:rPr>
                      <w:rFonts w:hint="default" w:ascii="Times New Roman" w:hAnsi="Times New Roman" w:cs="Times New Roman"/>
                      <w:color w:val="auto"/>
                      <w:szCs w:val="21"/>
                      <w:highlight w:val="none"/>
                    </w:rPr>
                    <w:t>点</w:t>
                  </w:r>
                </w:p>
              </w:tc>
              <w:tc>
                <w:tcPr>
                  <w:tcW w:w="1489"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b/>
                      <w:bCs/>
                      <w:color w:val="auto"/>
                      <w:szCs w:val="21"/>
                      <w:highlight w:val="none"/>
                      <w:lang w:val="en-US" w:eastAsia="zh-CN"/>
                    </w:rPr>
                    <w:t>C</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Cs w:val="21"/>
                      <w:highlight w:val="none"/>
                    </w:rPr>
                    <w:t>点</w:t>
                  </w:r>
                </w:p>
              </w:tc>
              <w:tc>
                <w:tcPr>
                  <w:tcW w:w="1600"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顶部</w:t>
                  </w:r>
                  <w:r>
                    <w:rPr>
                      <w:rFonts w:hint="default" w:ascii="Times New Roman" w:hAnsi="Times New Roman" w:cs="Times New Roman"/>
                      <w:b/>
                      <w:bCs/>
                      <w:color w:val="auto"/>
                      <w:szCs w:val="21"/>
                      <w:highlight w:val="none"/>
                    </w:rPr>
                    <w:t>M</w:t>
                  </w:r>
                  <w:r>
                    <w:rPr>
                      <w:rFonts w:hint="default" w:ascii="Times New Roman" w:hAnsi="Times New Roman" w:cs="Times New Roman"/>
                      <w:color w:val="auto"/>
                      <w:sz w:val="18"/>
                      <w:szCs w:val="18"/>
                      <w:highlight w:val="none"/>
                      <w:vertAlign w:val="subscript"/>
                      <w:lang w:val="en-US" w:eastAsia="zh-CN"/>
                    </w:rPr>
                    <w:t>1</w:t>
                  </w:r>
                  <w:r>
                    <w:rPr>
                      <w:rFonts w:hint="default" w:ascii="Times New Roman" w:hAnsi="Times New Roman" w:cs="Times New Roman"/>
                      <w:color w:val="auto"/>
                      <w:sz w:val="18"/>
                      <w:szCs w:val="18"/>
                      <w:highlight w:val="none"/>
                      <w:vertAlign w:val="baseline"/>
                      <w:lang w:val="en-US" w:eastAsia="zh-CN"/>
                    </w:rPr>
                    <w:t>、</w:t>
                  </w:r>
                  <w:r>
                    <w:rPr>
                      <w:rFonts w:hint="default" w:ascii="Times New Roman" w:hAnsi="Times New Roman" w:cs="Times New Roman"/>
                      <w:b/>
                      <w:bCs/>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Cs w:val="21"/>
                      <w:highlight w:val="none"/>
                    </w:rPr>
                    <w:t>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087"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漏射影响(mSv/a)</w:t>
                  </w:r>
                </w:p>
              </w:tc>
              <w:tc>
                <w:tcPr>
                  <w:tcW w:w="1628" w:type="dxa"/>
                  <w:tcBorders>
                    <w:top w:val="single" w:color="auto" w:sz="12"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1.1</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583" w:type="dxa"/>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4</w:t>
                  </w:r>
                </w:p>
              </w:tc>
              <w:tc>
                <w:tcPr>
                  <w:tcW w:w="1472" w:type="dxa"/>
                  <w:tcBorders>
                    <w:top w:val="single" w:color="auto" w:sz="12"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2.02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-4</w:t>
                  </w:r>
                </w:p>
              </w:tc>
              <w:tc>
                <w:tcPr>
                  <w:tcW w:w="1489" w:type="dxa"/>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87</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4</w:t>
                  </w:r>
                </w:p>
              </w:tc>
              <w:tc>
                <w:tcPr>
                  <w:tcW w:w="1600" w:type="dxa"/>
                  <w:tcBorders>
                    <w:top w:val="single" w:color="auto" w:sz="12"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69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散射影响(mSv/a)</w:t>
                  </w:r>
                </w:p>
              </w:tc>
              <w:tc>
                <w:tcPr>
                  <w:tcW w:w="1628"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2.23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583"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3.14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4</w:t>
                  </w:r>
                </w:p>
              </w:tc>
              <w:tc>
                <w:tcPr>
                  <w:tcW w:w="1472"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9.24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4</w:t>
                  </w:r>
                </w:p>
              </w:tc>
              <w:tc>
                <w:tcPr>
                  <w:tcW w:w="148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93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600"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8.16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年剂量(mSv/a)</w:t>
                  </w:r>
                </w:p>
              </w:tc>
              <w:tc>
                <w:tcPr>
                  <w:tcW w:w="162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41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5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5.17</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4</w:t>
                  </w:r>
                </w:p>
              </w:tc>
              <w:tc>
                <w:tcPr>
                  <w:tcW w:w="14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48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42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60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9.</w:t>
                  </w:r>
                  <w:r>
                    <w:rPr>
                      <w:rFonts w:hint="eastAsia" w:ascii="Times New Roman" w:hAnsi="Times New Roman" w:cs="Times New Roman"/>
                      <w:color w:val="auto"/>
                      <w:sz w:val="21"/>
                      <w:szCs w:val="21"/>
                      <w:highlight w:val="none"/>
                      <w:lang w:val="en-US" w:eastAsia="zh-CN"/>
                    </w:rPr>
                    <w:t>85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0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受照类型</w:t>
                  </w:r>
                </w:p>
              </w:tc>
              <w:tc>
                <w:tcPr>
                  <w:tcW w:w="162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公众</w:t>
                  </w:r>
                </w:p>
              </w:tc>
              <w:tc>
                <w:tcPr>
                  <w:tcW w:w="158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公众</w:t>
                  </w:r>
                </w:p>
              </w:tc>
              <w:tc>
                <w:tcPr>
                  <w:tcW w:w="14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公众</w:t>
                  </w:r>
                </w:p>
              </w:tc>
              <w:tc>
                <w:tcPr>
                  <w:tcW w:w="148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公众</w:t>
                  </w:r>
                </w:p>
              </w:tc>
              <w:tc>
                <w:tcPr>
                  <w:tcW w:w="160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公众</w:t>
                  </w:r>
                </w:p>
              </w:tc>
            </w:tr>
          </w:tbl>
          <w:p>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color w:val="auto"/>
                <w:sz w:val="24"/>
                <w:highlight w:val="none"/>
              </w:rPr>
            </w:pPr>
            <w:r>
              <w:rPr>
                <w:rFonts w:hint="default" w:ascii="Times New Roman" w:hAnsi="Times New Roman" w:cs="Times New Roman"/>
                <w:b/>
                <w:bCs/>
                <w:color w:val="auto"/>
                <w:highlight w:val="none"/>
              </w:rPr>
              <w:t xml:space="preserve">     </w:t>
            </w:r>
            <w:r>
              <w:rPr>
                <w:rFonts w:hint="default" w:ascii="Times New Roman" w:hAnsi="Times New Roman" w:cs="Times New Roman"/>
                <w:color w:val="auto"/>
                <w:sz w:val="24"/>
                <w:highlight w:val="none"/>
              </w:rPr>
              <w:t>通过表11-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至11-</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可知，通过</w:t>
            </w:r>
            <w:r>
              <w:rPr>
                <w:rFonts w:hint="default" w:ascii="Times New Roman" w:hAnsi="Times New Roman" w:cs="Times New Roman"/>
                <w:color w:val="auto"/>
                <w:sz w:val="24"/>
                <w:highlight w:val="none"/>
                <w:lang w:val="en-US" w:eastAsia="zh-CN"/>
              </w:rPr>
              <w:t>1#、3#</w:t>
            </w:r>
            <w:r>
              <w:rPr>
                <w:rFonts w:hint="eastAsia" w:ascii="Times New Roman" w:hAnsi="Times New Roman" w:cs="Times New Roman"/>
                <w:color w:val="auto"/>
                <w:sz w:val="24"/>
                <w:highlight w:val="none"/>
                <w:lang w:val="en-US" w:eastAsia="zh-CN"/>
              </w:rPr>
              <w:t>加速器治疗室</w:t>
            </w:r>
            <w:r>
              <w:rPr>
                <w:rFonts w:hint="default" w:ascii="Times New Roman" w:hAnsi="Times New Roman" w:cs="Times New Roman"/>
                <w:color w:val="auto"/>
                <w:sz w:val="24"/>
                <w:highlight w:val="none"/>
              </w:rPr>
              <w:t>的实体防护后，照射类型为职业人员的年剂量最大为</w:t>
            </w:r>
            <w:r>
              <w:rPr>
                <w:rFonts w:hint="default" w:ascii="Times New Roman" w:hAnsi="Times New Roman" w:cs="Times New Roman"/>
                <w:color w:val="auto"/>
                <w:sz w:val="24"/>
                <w:szCs w:val="24"/>
                <w:highlight w:val="none"/>
                <w:lang w:val="en-US" w:eastAsia="zh-CN"/>
              </w:rPr>
              <w:t>1.26</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highlight w:val="none"/>
              </w:rPr>
              <w:t>mSv，照射类型为公众的年剂量最大为</w:t>
            </w:r>
            <w:r>
              <w:rPr>
                <w:rFonts w:hint="eastAsia" w:ascii="Times New Roman" w:hAnsi="Times New Roman" w:cs="Times New Roman"/>
                <w:color w:val="auto"/>
                <w:sz w:val="24"/>
                <w:szCs w:val="24"/>
                <w:highlight w:val="none"/>
                <w:lang w:val="en-US" w:eastAsia="zh-CN"/>
              </w:rPr>
              <w:t>2.07</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highlight w:val="none"/>
              </w:rPr>
              <w:t>mSv，分别低于5.0mSv和0.1mSv的剂量约束值。</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lang w:val="en-US" w:eastAsia="zh-CN"/>
              </w:rPr>
              <w:t>（5）</w:t>
            </w:r>
            <w:r>
              <w:rPr>
                <w:rFonts w:hint="default" w:ascii="Times New Roman" w:hAnsi="Times New Roman" w:cs="Times New Roman"/>
                <w:b/>
                <w:color w:val="auto"/>
                <w:kern w:val="0"/>
                <w:sz w:val="24"/>
                <w:szCs w:val="24"/>
                <w:highlight w:val="none"/>
              </w:rPr>
              <w:t>电子</w:t>
            </w:r>
            <w:r>
              <w:rPr>
                <w:rFonts w:hint="default" w:ascii="Times New Roman" w:hAnsi="Times New Roman" w:cs="Times New Roman"/>
                <w:b/>
                <w:color w:val="auto"/>
                <w:kern w:val="0"/>
                <w:sz w:val="24"/>
                <w:szCs w:val="24"/>
                <w:highlight w:val="none"/>
                <w:lang w:val="en-US" w:eastAsia="zh-CN"/>
              </w:rPr>
              <w:t>线</w:t>
            </w:r>
            <w:r>
              <w:rPr>
                <w:rFonts w:hint="default" w:ascii="Times New Roman" w:hAnsi="Times New Roman" w:cs="Times New Roman"/>
                <w:b/>
                <w:color w:val="auto"/>
                <w:kern w:val="0"/>
                <w:sz w:val="24"/>
                <w:szCs w:val="24"/>
                <w:highlight w:val="none"/>
              </w:rPr>
              <w:t>的环境影响分析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本项目10MV医用直线加速器在按电子模式工作时，</w:t>
            </w:r>
            <w:r>
              <w:rPr>
                <w:rFonts w:hint="default" w:ascii="Times New Roman" w:hAnsi="Times New Roman" w:cs="Times New Roman"/>
                <w:color w:val="auto"/>
                <w:sz w:val="24"/>
                <w:highlight w:val="none"/>
                <w:lang w:eastAsia="zh-CN"/>
              </w:rPr>
              <w:t>最大电子线能量为22MeV</w:t>
            </w:r>
            <w:r>
              <w:rPr>
                <w:rFonts w:hint="default" w:ascii="Times New Roman" w:hAnsi="Times New Roman" w:cs="Times New Roman"/>
                <w:color w:val="auto"/>
                <w:sz w:val="24"/>
                <w:highlight w:val="none"/>
              </w:rPr>
              <w:t>，根据</w:t>
            </w:r>
            <w:r>
              <w:rPr>
                <w:rFonts w:hint="default" w:ascii="Times New Roman" w:hAnsi="Times New Roman" w:cs="Times New Roman"/>
                <w:bCs/>
                <w:color w:val="auto"/>
                <w:sz w:val="24"/>
                <w:highlight w:val="none"/>
              </w:rPr>
              <w:t>《辐射防护手册》第三分册4.1.5加速器的辐射源（P</w:t>
            </w:r>
            <w:r>
              <w:rPr>
                <w:rFonts w:hint="default" w:ascii="Times New Roman" w:hAnsi="Times New Roman" w:cs="Times New Roman"/>
                <w:bCs/>
                <w:color w:val="auto"/>
                <w:sz w:val="24"/>
                <w:highlight w:val="none"/>
                <w:vertAlign w:val="subscript"/>
              </w:rPr>
              <w:t>95</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能量为E（MeV）的单能电子</w:t>
            </w:r>
            <w:r>
              <w:rPr>
                <w:rFonts w:hint="default" w:ascii="Times New Roman" w:hAnsi="Times New Roman" w:cs="Times New Roman"/>
                <w:color w:val="auto"/>
                <w:sz w:val="24"/>
                <w:highlight w:val="none"/>
                <w:lang w:val="en-US" w:eastAsia="zh-CN"/>
              </w:rPr>
              <w:t>线</w:t>
            </w:r>
            <w:r>
              <w:rPr>
                <w:rFonts w:hint="default" w:ascii="Times New Roman" w:hAnsi="Times New Roman" w:cs="Times New Roman"/>
                <w:color w:val="auto"/>
                <w:sz w:val="24"/>
                <w:highlight w:val="none"/>
              </w:rPr>
              <w:t>，在低Z物质中的</w:t>
            </w:r>
            <w:r>
              <w:rPr>
                <w:rFonts w:hint="default" w:ascii="Times New Roman" w:hAnsi="Times New Roman" w:cs="Times New Roman"/>
                <w:bCs/>
                <w:color w:val="auto"/>
                <w:sz w:val="24"/>
                <w:highlight w:val="none"/>
              </w:rPr>
              <w:t>射程（单位为g·cm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）约为能量（单位为MeV）的0.6倍。本项目10MV直线加速器以电子档工作时</w:t>
            </w:r>
            <w:r>
              <w:rPr>
                <w:rFonts w:hint="default" w:ascii="Times New Roman" w:hAnsi="Times New Roman" w:cs="Times New Roman"/>
                <w:bCs/>
                <w:color w:val="auto"/>
                <w:sz w:val="24"/>
                <w:highlight w:val="none"/>
                <w:lang w:eastAsia="zh-CN"/>
              </w:rPr>
              <w:t>最大电子线能量为22MeV</w:t>
            </w:r>
            <w:r>
              <w:rPr>
                <w:rFonts w:hint="default" w:ascii="Times New Roman" w:hAnsi="Times New Roman" w:cs="Times New Roman"/>
                <w:bCs/>
                <w:color w:val="auto"/>
                <w:sz w:val="24"/>
                <w:highlight w:val="none"/>
              </w:rPr>
              <w:t>，射程为</w:t>
            </w:r>
            <w:r>
              <w:rPr>
                <w:rFonts w:hint="default" w:ascii="Times New Roman" w:hAnsi="Times New Roman" w:cs="Times New Roman"/>
                <w:bCs/>
                <w:color w:val="auto"/>
                <w:sz w:val="24"/>
                <w:highlight w:val="none"/>
                <w:lang w:val="en-US" w:eastAsia="zh-CN"/>
              </w:rPr>
              <w:t>22</w:t>
            </w:r>
            <w:r>
              <w:rPr>
                <w:rFonts w:hint="default" w:ascii="Times New Roman" w:hAnsi="Times New Roman" w:cs="Times New Roman"/>
                <w:bCs/>
                <w:color w:val="auto"/>
                <w:sz w:val="24"/>
                <w:highlight w:val="none"/>
              </w:rPr>
              <w:t>×0.6=</w:t>
            </w:r>
            <w:r>
              <w:rPr>
                <w:rFonts w:hint="default" w:ascii="Times New Roman" w:hAnsi="Times New Roman" w:cs="Times New Roman"/>
                <w:bCs/>
                <w:color w:val="auto"/>
                <w:sz w:val="24"/>
                <w:highlight w:val="none"/>
                <w:lang w:val="en-US" w:eastAsia="zh-CN"/>
              </w:rPr>
              <w:t>13.2</w:t>
            </w:r>
            <w:r>
              <w:rPr>
                <w:rFonts w:hint="default" w:ascii="Times New Roman" w:hAnsi="Times New Roman" w:cs="Times New Roman"/>
                <w:bCs/>
                <w:color w:val="auto"/>
                <w:sz w:val="24"/>
                <w:highlight w:val="none"/>
              </w:rPr>
              <w:t>g/cm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可以估算出</w:t>
            </w:r>
            <w:r>
              <w:rPr>
                <w:rFonts w:hint="default" w:ascii="Times New Roman" w:hAnsi="Times New Roman" w:cs="Times New Roman"/>
                <w:color w:val="auto"/>
                <w:sz w:val="24"/>
                <w:highlight w:val="none"/>
                <w:lang w:val="en-US" w:eastAsia="zh-CN"/>
              </w:rPr>
              <w:t>22</w:t>
            </w:r>
            <w:r>
              <w:rPr>
                <w:rFonts w:hint="default" w:ascii="Times New Roman" w:hAnsi="Times New Roman" w:cs="Times New Roman"/>
                <w:color w:val="auto"/>
                <w:sz w:val="24"/>
                <w:highlight w:val="none"/>
              </w:rPr>
              <w:t>MeV的电子在密度为2.35g·cm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的混凝土中的深度约为</w:t>
            </w:r>
            <w:r>
              <w:rPr>
                <w:rFonts w:hint="default" w:ascii="Times New Roman" w:hAnsi="Times New Roman" w:cs="Times New Roman"/>
                <w:color w:val="auto"/>
                <w:sz w:val="24"/>
                <w:highlight w:val="none"/>
                <w:lang w:val="en-US" w:eastAsia="zh-CN"/>
              </w:rPr>
              <w:t>5.6</w:t>
            </w:r>
            <w:r>
              <w:rPr>
                <w:rFonts w:hint="default" w:ascii="Times New Roman" w:hAnsi="Times New Roman" w:cs="Times New Roman"/>
                <w:color w:val="auto"/>
                <w:sz w:val="24"/>
                <w:highlight w:val="none"/>
              </w:rPr>
              <w:t>cm，而本项目屏蔽体厚度最小的亦为1</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cm混凝土，对电子线能产生完全屏蔽，可不再作特殊的防护要求，可不再考虑对电子模式产生的X射线的屏蔽。</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lang w:val="en-US" w:eastAsia="zh-CN"/>
              </w:rPr>
              <w:t>（6）</w:t>
            </w:r>
            <w:r>
              <w:rPr>
                <w:rFonts w:hint="default" w:ascii="Times New Roman" w:hAnsi="Times New Roman" w:cs="Times New Roman"/>
                <w:b/>
                <w:color w:val="auto"/>
                <w:kern w:val="0"/>
                <w:sz w:val="24"/>
                <w:szCs w:val="24"/>
                <w:highlight w:val="none"/>
              </w:rPr>
              <w:t>臭氧环境影响分析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Cs/>
                <w:color w:val="auto"/>
                <w:sz w:val="24"/>
                <w:highlight w:val="none"/>
              </w:rPr>
              <w:t>由于本项目</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台10MV直线加速器技术参数均一致，</w:t>
            </w:r>
            <w:r>
              <w:rPr>
                <w:rFonts w:hint="default" w:ascii="Times New Roman" w:hAnsi="Times New Roman" w:cs="Times New Roman"/>
                <w:bCs/>
                <w:color w:val="auto"/>
                <w:sz w:val="24"/>
                <w:highlight w:val="none"/>
                <w:lang w:eastAsia="zh-CN"/>
              </w:rPr>
              <w:t>治疗室结构设计均一致</w:t>
            </w:r>
            <w:r>
              <w:rPr>
                <w:rFonts w:hint="default" w:ascii="Times New Roman" w:hAnsi="Times New Roman" w:cs="Times New Roman"/>
                <w:bCs/>
                <w:color w:val="auto"/>
                <w:sz w:val="24"/>
                <w:highlight w:val="none"/>
              </w:rPr>
              <w:t>，工作负荷亦一致，故选择</w:t>
            </w:r>
            <w:r>
              <w:rPr>
                <w:rFonts w:hint="default" w:ascii="Times New Roman" w:hAnsi="Times New Roman" w:cs="Times New Roman"/>
                <w:bCs/>
                <w:color w:val="auto"/>
                <w:sz w:val="24"/>
                <w:highlight w:val="none"/>
                <w:lang w:val="en-US" w:eastAsia="zh-CN"/>
              </w:rPr>
              <w:t>1#</w:t>
            </w:r>
            <w:r>
              <w:rPr>
                <w:rFonts w:hint="default" w:ascii="Times New Roman" w:hAnsi="Times New Roman" w:cs="Times New Roman"/>
                <w:bCs/>
                <w:color w:val="auto"/>
                <w:sz w:val="24"/>
                <w:highlight w:val="none"/>
              </w:rPr>
              <w:t>加速器</w:t>
            </w:r>
            <w:r>
              <w:rPr>
                <w:rFonts w:hint="default" w:ascii="Times New Roman" w:hAnsi="Times New Roman" w:cs="Times New Roman"/>
                <w:bCs/>
                <w:color w:val="auto"/>
                <w:sz w:val="24"/>
                <w:highlight w:val="none"/>
                <w:lang w:eastAsia="zh-CN"/>
              </w:rPr>
              <w:t>治疗室</w:t>
            </w:r>
            <w:r>
              <w:rPr>
                <w:rFonts w:hint="default" w:ascii="Times New Roman" w:hAnsi="Times New Roman" w:cs="Times New Roman"/>
                <w:bCs/>
                <w:color w:val="auto"/>
                <w:sz w:val="24"/>
                <w:highlight w:val="none"/>
              </w:rPr>
              <w:t>为代表进行臭氧核算。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8"/>
                <w:highlight w:val="none"/>
              </w:rPr>
            </w:pPr>
            <w:r>
              <w:rPr>
                <w:rFonts w:hint="default" w:ascii="Times New Roman" w:hAnsi="Times New Roman" w:cs="Times New Roman"/>
                <w:color w:val="auto"/>
                <w:sz w:val="24"/>
                <w:highlight w:val="none"/>
              </w:rPr>
              <w:t>10MV直线</w:t>
            </w:r>
            <w:r>
              <w:rPr>
                <w:rFonts w:hint="default" w:ascii="Times New Roman" w:hAnsi="Times New Roman" w:cs="Times New Roman"/>
                <w:color w:val="auto"/>
                <w:sz w:val="24"/>
                <w:highlight w:val="none"/>
                <w:lang w:eastAsia="zh-CN"/>
              </w:rPr>
              <w:t>加速器治疗室</w:t>
            </w:r>
            <w:r>
              <w:rPr>
                <w:rFonts w:hint="default" w:ascii="Times New Roman" w:hAnsi="Times New Roman" w:cs="Times New Roman"/>
                <w:color w:val="auto"/>
                <w:sz w:val="24"/>
                <w:highlight w:val="none"/>
              </w:rPr>
              <w:t>内空气中的氧受X射线电离而产生的臭氧，其产率和浓度可用下面两个公式分别计算。</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Cs w:val="21"/>
                <w:highlight w:val="none"/>
              </w:rPr>
            </w:pPr>
            <w:r>
              <w:rPr>
                <w:rFonts w:hint="default" w:ascii="Times New Roman" w:hAnsi="Times New Roman" w:cs="Times New Roman"/>
                <w:color w:val="auto"/>
                <w:position w:val="-12"/>
                <w:sz w:val="24"/>
                <w:highlight w:val="none"/>
              </w:rPr>
              <w:object>
                <v:shape id="_x0000_i1043" o:spt="75" type="#_x0000_t75" style="height:19.95pt;width:148pt;" o:ole="t" filled="f" o:preferrelative="t" stroked="f" coordsize="21600,21600">
                  <v:path/>
                  <v:fill on="f" focussize="0,0"/>
                  <v:stroke on="f"/>
                  <v:imagedata r:id="rId64" o:title=""/>
                  <o:lock v:ext="edit" aspectratio="t"/>
                  <w10:wrap type="none"/>
                  <w10:anchorlock/>
                </v:shape>
                <o:OLEObject Type="Embed" ProgID="Equation.3" ShapeID="_x0000_i1043" DrawAspect="Content" ObjectID="_1468075743" r:id="rId63">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color w:val="auto"/>
                <w:sz w:val="24"/>
                <w:szCs w:val="24"/>
                <w:highlight w:val="none"/>
              </w:rPr>
              <w:t>（式11-</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5）</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 xml:space="preserve">—臭氧产率mg/h； </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G—射束在距离源点1m处的剂量率Gy</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/h，10MV直线加速器取</w:t>
            </w:r>
            <w:r>
              <w:rPr>
                <w:rFonts w:hint="default" w:ascii="Times New Roman" w:hAnsi="Times New Roman" w:cs="Times New Roman"/>
                <w:color w:val="auto"/>
                <w:szCs w:val="21"/>
                <w:highlight w:val="none"/>
                <w:lang w:val="en-US" w:eastAsia="zh-CN"/>
              </w:rPr>
              <w:t>360</w:t>
            </w:r>
            <w:r>
              <w:rPr>
                <w:rFonts w:hint="default" w:ascii="Times New Roman" w:hAnsi="Times New Roman" w:cs="Times New Roman"/>
                <w:color w:val="auto"/>
                <w:szCs w:val="21"/>
                <w:highlight w:val="none"/>
              </w:rPr>
              <w:t>；</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So—射束在距离源点1m处的照射面积m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，本项目取0.16</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R—射束径迹长度m，取1；</w:t>
            </w:r>
          </w:p>
          <w:p>
            <w:pPr>
              <w:keepNext w:val="0"/>
              <w:keepLines w:val="0"/>
              <w:suppressLineNumbers w:val="0"/>
              <w:spacing w:before="0" w:beforeAutospacing="0" w:after="0" w:afterAutospacing="0" w:line="360" w:lineRule="auto"/>
              <w:ind w:left="0" w:right="0" w:firstLine="5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g—空气每吸收100eV辐射能量产生O</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的分子数，本项目取10。</w:t>
            </w:r>
          </w:p>
          <w:p>
            <w:pPr>
              <w:keepNext w:val="0"/>
              <w:keepLines w:val="0"/>
              <w:suppressLineNumbers w:val="0"/>
              <w:spacing w:before="0" w:beforeAutospacing="0" w:after="0" w:afterAutospacing="0" w:line="360" w:lineRule="auto"/>
              <w:ind w:left="0" w:right="0" w:firstLine="57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经计算，10MV直线</w:t>
            </w:r>
            <w:r>
              <w:rPr>
                <w:rFonts w:hint="default" w:ascii="Times New Roman" w:hAnsi="Times New Roman" w:cs="Times New Roman"/>
                <w:color w:val="auto"/>
                <w:sz w:val="24"/>
                <w:highlight w:val="none"/>
                <w:lang w:eastAsia="zh-CN"/>
              </w:rPr>
              <w:t>加速器治疗室</w:t>
            </w:r>
            <w:r>
              <w:rPr>
                <w:rFonts w:hint="default" w:ascii="Times New Roman" w:hAnsi="Times New Roman" w:cs="Times New Roman"/>
                <w:color w:val="auto"/>
                <w:sz w:val="24"/>
                <w:highlight w:val="none"/>
              </w:rPr>
              <w:t>臭氧产额为</w:t>
            </w:r>
            <w:r>
              <w:rPr>
                <w:rFonts w:hint="default" w:ascii="Times New Roman" w:hAnsi="Times New Roman" w:cs="Times New Roman"/>
                <w:color w:val="auto"/>
                <w:sz w:val="24"/>
                <w:highlight w:val="none"/>
                <w:lang w:val="en-US" w:eastAsia="zh-CN"/>
              </w:rPr>
              <w:t>3.74</w:t>
            </w:r>
            <w:r>
              <w:rPr>
                <w:rFonts w:hint="default" w:ascii="Times New Roman" w:hAnsi="Times New Roman" w:cs="Times New Roman"/>
                <w:color w:val="auto"/>
                <w:sz w:val="24"/>
                <w:highlight w:val="none"/>
              </w:rPr>
              <w:t>mg/h。</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室内臭氧饱和浓度由下式计算：</w:t>
            </w:r>
          </w:p>
          <w:p>
            <w:pPr>
              <w:keepNext w:val="0"/>
              <w:keepLines w:val="0"/>
              <w:suppressLineNumbers w:val="0"/>
              <w:spacing w:before="0" w:beforeAutospacing="0" w:after="0" w:afterAutospacing="0" w:line="360" w:lineRule="auto"/>
              <w:ind w:left="0" w:right="0" w:firstLine="570"/>
              <w:rPr>
                <w:rFonts w:hint="default" w:ascii="Times New Roman" w:hAnsi="Times New Roman" w:cs="Times New Roman"/>
                <w:color w:val="auto"/>
                <w:sz w:val="24"/>
                <w:highlight w:val="none"/>
              </w:rPr>
            </w:pPr>
            <w:r>
              <w:rPr>
                <w:rFonts w:hint="default" w:ascii="Times New Roman" w:hAnsi="Times New Roman" w:cs="Times New Roman"/>
                <w:color w:val="auto"/>
                <w:position w:val="-12"/>
                <w:sz w:val="24"/>
                <w:highlight w:val="none"/>
              </w:rPr>
              <w:object>
                <v:shape id="_x0000_i1044" o:spt="75" type="#_x0000_t75" style="height:17.65pt;width:73.35pt;" o:ole="t" filled="f" o:preferrelative="t" stroked="f" coordsize="21600,21600">
                  <v:path/>
                  <v:fill on="f" focussize="0,0"/>
                  <v:stroke on="f"/>
                  <v:imagedata r:id="rId66" o:title=""/>
                  <o:lock v:ext="edit" aspectratio="t"/>
                  <w10:wrap type="none"/>
                  <w10:anchorlock/>
                </v:shape>
                <o:OLEObject Type="Embed" ProgID="Equation.3" ShapeID="_x0000_i1044" DrawAspect="Content" ObjectID="_1468075744" r:id="rId65">
                  <o:LockedField>false</o:LockedField>
                </o:OLEObject>
              </w:object>
            </w:r>
            <w:r>
              <w:rPr>
                <w:rFonts w:hint="default" w:ascii="Times New Roman" w:hAnsi="Times New Roman" w:cs="Times New Roman"/>
                <w:color w:val="auto"/>
                <w:sz w:val="24"/>
                <w:highlight w:val="none"/>
              </w:rPr>
              <w:t xml:space="preserve"> </w:t>
            </w:r>
            <w:r>
              <w:rPr>
                <w:rFonts w:hint="default" w:ascii="Times New Roman" w:hAnsi="Times New Roman" w:cs="Times New Roman"/>
                <w:bCs/>
                <w:color w:val="auto"/>
                <w:szCs w:val="21"/>
                <w:highlight w:val="none"/>
              </w:rPr>
              <w:t>..........................................................................</w:t>
            </w:r>
            <w:r>
              <w:rPr>
                <w:rFonts w:hint="default" w:ascii="Times New Roman" w:hAnsi="Times New Roman" w:cs="Times New Roman"/>
                <w:color w:val="auto"/>
                <w:sz w:val="24"/>
                <w:szCs w:val="24"/>
                <w:highlight w:val="none"/>
              </w:rPr>
              <w:t>（式11-</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6）</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C—室内臭氧浓度；</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Qo—臭氧产额mg/h；</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Tv—臭气有效清除时间，h；</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V—</w:t>
            </w:r>
            <w:r>
              <w:rPr>
                <w:rFonts w:hint="default" w:ascii="Times New Roman" w:hAnsi="Times New Roman" w:cs="Times New Roman"/>
                <w:color w:val="auto"/>
                <w:szCs w:val="21"/>
                <w:highlight w:val="none"/>
                <w:lang w:val="en-US" w:eastAsia="zh-CN"/>
              </w:rPr>
              <w:t>治疗室空间体积</w:t>
            </w:r>
            <w:r>
              <w:rPr>
                <w:rFonts w:hint="default" w:ascii="Times New Roman" w:hAnsi="Times New Roman" w:cs="Times New Roman"/>
                <w:color w:val="auto"/>
                <w:szCs w:val="21"/>
                <w:highlight w:val="none"/>
              </w:rPr>
              <w:t>，10MV直线</w:t>
            </w:r>
            <w:r>
              <w:rPr>
                <w:rFonts w:hint="default" w:ascii="Times New Roman" w:hAnsi="Times New Roman" w:cs="Times New Roman"/>
                <w:color w:val="auto"/>
                <w:szCs w:val="21"/>
                <w:highlight w:val="none"/>
                <w:lang w:eastAsia="zh-CN"/>
              </w:rPr>
              <w:t>加速器治疗室</w:t>
            </w:r>
            <w:r>
              <w:rPr>
                <w:rFonts w:hint="default" w:ascii="Times New Roman" w:hAnsi="Times New Roman" w:cs="Times New Roman"/>
                <w:color w:val="auto"/>
                <w:szCs w:val="21"/>
                <w:highlight w:val="none"/>
              </w:rPr>
              <w:t>体积</w:t>
            </w:r>
            <w:r>
              <w:rPr>
                <w:rFonts w:hint="default" w:ascii="Times New Roman" w:hAnsi="Times New Roman" w:cs="Times New Roman"/>
                <w:color w:val="auto"/>
                <w:szCs w:val="21"/>
                <w:highlight w:val="none"/>
                <w:lang w:val="en-US" w:eastAsia="zh-CN"/>
              </w:rPr>
              <w:t>240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position w:val="-30"/>
                <w:sz w:val="24"/>
                <w:highlight w:val="none"/>
              </w:rPr>
              <w:t xml:space="preserve">    </w:t>
            </w:r>
            <w:r>
              <w:rPr>
                <w:rFonts w:hint="default" w:ascii="Times New Roman" w:hAnsi="Times New Roman" w:cs="Times New Roman"/>
                <w:color w:val="auto"/>
                <w:position w:val="-30"/>
                <w:sz w:val="24"/>
                <w:highlight w:val="none"/>
              </w:rPr>
              <w:object>
                <v:shape id="_x0000_i1045" o:spt="75" type="#_x0000_t75" style="height:34.05pt;width:55.85pt;" o:ole="t" filled="f" o:preferrelative="t" stroked="f" coordsize="21600,21600">
                  <v:path/>
                  <v:fill on="f" focussize="0,0"/>
                  <v:stroke on="f"/>
                  <v:imagedata r:id="rId68" o:title=""/>
                  <o:lock v:ext="edit" aspectratio="t"/>
                  <w10:wrap type="none"/>
                  <w10:anchorlock/>
                </v:shape>
                <o:OLEObject Type="Embed" ProgID="Equation.3" ShapeID="_x0000_i1045" DrawAspect="Content" ObjectID="_1468075745" r:id="rId67">
                  <o:LockedField>false</o:LockedField>
                </o:OLEObject>
              </w:object>
            </w:r>
            <w:r>
              <w:rPr>
                <w:rFonts w:hint="default" w:ascii="Times New Roman" w:hAnsi="Times New Roman" w:cs="Times New Roman"/>
                <w:color w:val="auto"/>
                <w:position w:val="-30"/>
                <w:sz w:val="24"/>
                <w:highlight w:val="none"/>
              </w:rPr>
              <w:t xml:space="preserve"> </w:t>
            </w:r>
            <w:r>
              <w:rPr>
                <w:rFonts w:hint="default" w:ascii="Times New Roman" w:hAnsi="Times New Roman" w:cs="Times New Roman"/>
                <w:bCs/>
                <w:color w:val="auto"/>
                <w:szCs w:val="21"/>
                <w:highlight w:val="none"/>
              </w:rPr>
              <w:t>.............................................................................</w:t>
            </w:r>
            <w:r>
              <w:rPr>
                <w:rFonts w:hint="default" w:ascii="Times New Roman" w:hAnsi="Times New Roman" w:cs="Times New Roman"/>
                <w:color w:val="auto"/>
                <w:sz w:val="24"/>
                <w:szCs w:val="24"/>
                <w:highlight w:val="none"/>
              </w:rPr>
              <w:t>（式11-</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7）</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Cs w:val="21"/>
                <w:highlight w:val="none"/>
              </w:rPr>
              <w:t>t</w:t>
            </w:r>
            <w:r>
              <w:rPr>
                <w:rFonts w:hint="default" w:ascii="Times New Roman" w:hAnsi="Times New Roman" w:cs="Times New Roman"/>
                <w:color w:val="auto"/>
                <w:szCs w:val="21"/>
                <w:highlight w:val="none"/>
                <w:vertAlign w:val="subscript"/>
              </w:rPr>
              <w:t>v</w:t>
            </w:r>
            <w:r>
              <w:rPr>
                <w:rFonts w:hint="default" w:ascii="Times New Roman" w:hAnsi="Times New Roman" w:cs="Times New Roman"/>
                <w:color w:val="auto"/>
                <w:szCs w:val="21"/>
                <w:highlight w:val="none"/>
              </w:rPr>
              <w:t>—每次换气时间，</w:t>
            </w:r>
            <w:r>
              <w:rPr>
                <w:rFonts w:hint="default" w:ascii="Times New Roman" w:hAnsi="Times New Roman" w:cs="Times New Roman"/>
                <w:color w:val="auto"/>
                <w:szCs w:val="21"/>
                <w:highlight w:val="none"/>
                <w:lang w:val="en-US" w:eastAsia="zh-CN"/>
              </w:rPr>
              <w:t>0.1</w:t>
            </w:r>
            <w:r>
              <w:rPr>
                <w:rFonts w:hint="default" w:ascii="Times New Roman" w:hAnsi="Times New Roman" w:cs="Times New Roman"/>
                <w:color w:val="auto"/>
                <w:szCs w:val="21"/>
                <w:highlight w:val="none"/>
              </w:rPr>
              <w:t>h；</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t</w:t>
            </w:r>
            <w:r>
              <w:rPr>
                <w:rFonts w:hint="default" w:ascii="Times New Roman" w:hAnsi="Times New Roman" w:cs="Times New Roman"/>
                <w:color w:val="auto"/>
                <w:szCs w:val="21"/>
                <w:highlight w:val="none"/>
                <w:vertAlign w:val="subscript"/>
              </w:rPr>
              <w:t>α</w:t>
            </w:r>
            <w:r>
              <w:rPr>
                <w:rFonts w:hint="default" w:ascii="Times New Roman" w:hAnsi="Times New Roman" w:cs="Times New Roman"/>
                <w:color w:val="auto"/>
                <w:szCs w:val="21"/>
                <w:highlight w:val="none"/>
              </w:rPr>
              <w:t>—臭氧分解时间，取值为0.83h。</w:t>
            </w:r>
          </w:p>
          <w:p>
            <w:pPr>
              <w:keepNext w:val="0"/>
              <w:keepLines w:val="0"/>
              <w:suppressLineNumbers w:val="0"/>
              <w:spacing w:before="0" w:beforeAutospacing="0" w:after="0" w:afterAutospacing="0" w:line="360" w:lineRule="auto"/>
              <w:ind w:left="0" w:right="0" w:firstLine="460" w:firstLineChars="19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1#、3#</w:t>
            </w:r>
            <w:r>
              <w:rPr>
                <w:rFonts w:hint="default" w:ascii="Times New Roman" w:hAnsi="Times New Roman" w:cs="Times New Roman"/>
                <w:color w:val="auto"/>
                <w:sz w:val="24"/>
                <w:highlight w:val="none"/>
              </w:rPr>
              <w:t>臭氧产额</w:t>
            </w:r>
            <w:r>
              <w:rPr>
                <w:rFonts w:hint="default" w:ascii="Times New Roman" w:hAnsi="Times New Roman" w:cs="Times New Roman"/>
                <w:color w:val="auto"/>
                <w:sz w:val="24"/>
                <w:highlight w:val="none"/>
                <w:lang w:val="en-US" w:eastAsia="zh-CN"/>
              </w:rPr>
              <w:t>均</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3.74</w:t>
            </w:r>
            <w:r>
              <w:rPr>
                <w:rFonts w:hint="default" w:ascii="Times New Roman" w:hAnsi="Times New Roman" w:cs="Times New Roman"/>
                <w:color w:val="auto"/>
                <w:sz w:val="24"/>
                <w:highlight w:val="none"/>
              </w:rPr>
              <w:t>mg/h，每小时换气</w:t>
            </w:r>
            <w:r>
              <w:rPr>
                <w:rFonts w:hint="default" w:ascii="Times New Roman" w:hAnsi="Times New Roman" w:cs="Times New Roman"/>
                <w:color w:val="auto"/>
                <w:sz w:val="24"/>
                <w:highlight w:val="none"/>
                <w:lang w:val="en-US" w:eastAsia="zh-CN"/>
              </w:rPr>
              <w:t>约10</w:t>
            </w:r>
            <w:r>
              <w:rPr>
                <w:rFonts w:hint="default" w:ascii="Times New Roman" w:hAnsi="Times New Roman" w:cs="Times New Roman"/>
                <w:color w:val="auto"/>
                <w:sz w:val="24"/>
                <w:highlight w:val="none"/>
              </w:rPr>
              <w:t>次，若每次换气时间均为</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min</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则</w:t>
            </w:r>
            <w:r>
              <w:rPr>
                <w:rFonts w:hint="default" w:ascii="Times New Roman" w:hAnsi="Times New Roman" w:cs="Times New Roman"/>
                <w:color w:val="auto"/>
                <w:sz w:val="24"/>
                <w:highlight w:val="none"/>
                <w:lang w:eastAsia="zh-CN"/>
              </w:rPr>
              <w:t>室</w:t>
            </w:r>
            <w:r>
              <w:rPr>
                <w:rFonts w:hint="default" w:ascii="Times New Roman" w:hAnsi="Times New Roman" w:cs="Times New Roman"/>
                <w:color w:val="auto"/>
                <w:sz w:val="24"/>
                <w:highlight w:val="none"/>
              </w:rPr>
              <w:t>内的臭氧平衡浓度为</w:t>
            </w:r>
            <w:r>
              <w:rPr>
                <w:rFonts w:hint="default" w:ascii="Times New Roman" w:hAnsi="Times New Roman" w:cs="Times New Roman"/>
                <w:bCs/>
                <w:color w:val="auto"/>
                <w:sz w:val="24"/>
                <w:highlight w:val="none"/>
                <w:lang w:val="en-US" w:eastAsia="zh-CN"/>
              </w:rPr>
              <w:t>1.39</w:t>
            </w:r>
            <w:r>
              <w:rPr>
                <w:rFonts w:hint="default" w:ascii="Times New Roman" w:hAnsi="Times New Roman" w:cs="Times New Roman"/>
                <w:bCs/>
                <w:color w:val="auto"/>
                <w:sz w:val="24"/>
                <w:highlight w:val="none"/>
              </w:rPr>
              <w:t>×10</w:t>
            </w:r>
            <w:r>
              <w:rPr>
                <w:rFonts w:hint="default" w:ascii="Times New Roman" w:hAnsi="Times New Roman" w:cs="Times New Roman"/>
                <w:bCs/>
                <w:color w:val="auto"/>
                <w:sz w:val="24"/>
                <w:highlight w:val="none"/>
                <w:vertAlign w:val="superscript"/>
              </w:rPr>
              <w:t>-</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vertAlign w:val="baseline"/>
                <w:lang w:eastAsia="zh-CN"/>
              </w:rPr>
              <w:t>，</w:t>
            </w:r>
            <w:r>
              <w:rPr>
                <w:rFonts w:hint="default" w:ascii="Times New Roman" w:hAnsi="Times New Roman" w:cs="Times New Roman"/>
                <w:color w:val="auto"/>
                <w:sz w:val="24"/>
                <w:highlight w:val="none"/>
              </w:rPr>
              <w:t>远低于《环境空气质量标准》（GB3095-2012）的二级标准（0.2mg/m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）的要求。本项目产生的臭氧采用换气系统排入环境大气后，经自然分解和稀释，符合</w:t>
            </w:r>
            <w:r>
              <w:rPr>
                <w:rFonts w:hint="eastAsia" w:ascii="Times New Roman" w:hAnsi="Times New Roman" w:cs="Times New Roman"/>
                <w:color w:val="auto"/>
                <w:sz w:val="24"/>
                <w:highlight w:val="none"/>
                <w:lang w:eastAsia="zh-CN"/>
              </w:rPr>
              <w:t>《工作场所有害因素职业接触限值 第1部分：化学有害因素》（GBZ2.1-2019）中臭氧最高允许浓度0.3mg/m</w:t>
            </w:r>
            <w:r>
              <w:rPr>
                <w:rFonts w:hint="eastAsia"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rPr>
              <w:t>的要求。</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1#、3#加速器治疗室通排风管道</w:t>
            </w:r>
            <w:r>
              <w:rPr>
                <w:rFonts w:hint="default"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lang w:val="en-US" w:eastAsia="zh-CN"/>
              </w:rPr>
              <w:t>400×550mm</w:t>
            </w:r>
            <w:r>
              <w:rPr>
                <w:rFonts w:hint="default"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lang w:val="en-US" w:eastAsia="zh-CN"/>
              </w:rPr>
              <w:t>均设置在迷路</w:t>
            </w:r>
            <w:r>
              <w:rPr>
                <w:rFonts w:hint="default" w:ascii="Times New Roman" w:hAnsi="Times New Roman" w:cs="Times New Roman"/>
                <w:color w:val="auto"/>
                <w:kern w:val="2"/>
                <w:sz w:val="24"/>
                <w:highlight w:val="none"/>
              </w:rPr>
              <w:t>门上方</w:t>
            </w:r>
            <w:r>
              <w:rPr>
                <w:rFonts w:hint="default" w:ascii="Times New Roman" w:hAnsi="Times New Roman" w:cs="Times New Roman"/>
                <w:color w:val="auto"/>
                <w:kern w:val="2"/>
                <w:sz w:val="24"/>
                <w:highlight w:val="none"/>
                <w:lang w:val="en-US" w:eastAsia="zh-CN"/>
              </w:rPr>
              <w:t>并采用</w:t>
            </w:r>
            <w:r>
              <w:rPr>
                <w:rFonts w:hint="default"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lang w:val="en-US" w:eastAsia="zh-CN"/>
              </w:rPr>
              <w:t>S</w:t>
            </w:r>
            <w:r>
              <w:rPr>
                <w:rFonts w:hint="default"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lang w:val="en-US" w:eastAsia="zh-CN"/>
              </w:rPr>
              <w:t>型方式</w:t>
            </w:r>
            <w:r>
              <w:rPr>
                <w:rFonts w:hint="default" w:ascii="Times New Roman" w:hAnsi="Times New Roman" w:cs="Times New Roman"/>
                <w:color w:val="auto"/>
                <w:kern w:val="2"/>
                <w:sz w:val="24"/>
                <w:highlight w:val="none"/>
              </w:rPr>
              <w:t>穿墙</w:t>
            </w:r>
            <w:r>
              <w:rPr>
                <w:rFonts w:hint="default" w:ascii="Times New Roman" w:hAnsi="Times New Roman" w:cs="Times New Roman"/>
                <w:color w:val="auto"/>
                <w:kern w:val="2"/>
                <w:sz w:val="24"/>
                <w:highlight w:val="none"/>
                <w:lang w:val="en-US" w:eastAsia="zh-CN"/>
              </w:rPr>
              <w:t>连接</w:t>
            </w:r>
            <w:r>
              <w:rPr>
                <w:rFonts w:hint="eastAsia" w:ascii="Times New Roman" w:hAnsi="Times New Roman" w:cs="Times New Roman"/>
                <w:color w:val="auto"/>
                <w:kern w:val="2"/>
                <w:sz w:val="24"/>
                <w:highlight w:val="none"/>
                <w:lang w:val="en-US" w:eastAsia="zh-CN"/>
              </w:rPr>
              <w:t>至西北部的空调机房</w:t>
            </w:r>
            <w:r>
              <w:rPr>
                <w:rFonts w:hint="default" w:ascii="Times New Roman" w:hAnsi="Times New Roman" w:cs="Times New Roman"/>
                <w:color w:val="auto"/>
                <w:kern w:val="2"/>
                <w:sz w:val="24"/>
                <w:highlight w:val="none"/>
              </w:rPr>
              <w:t>，</w:t>
            </w:r>
            <w:r>
              <w:rPr>
                <w:rFonts w:hint="eastAsia" w:ascii="Times New Roman" w:hAnsi="Times New Roman" w:cs="Times New Roman"/>
                <w:color w:val="auto"/>
                <w:kern w:val="2"/>
                <w:sz w:val="24"/>
                <w:highlight w:val="none"/>
                <w:lang w:val="en-US" w:eastAsia="zh-CN"/>
              </w:rPr>
              <w:t>后输送</w:t>
            </w:r>
            <w:r>
              <w:rPr>
                <w:rFonts w:hint="default" w:ascii="Times New Roman" w:hAnsi="Times New Roman" w:cs="Times New Roman"/>
                <w:color w:val="auto"/>
                <w:kern w:val="2"/>
                <w:sz w:val="24"/>
                <w:highlight w:val="none"/>
                <w:lang w:val="en-US" w:eastAsia="zh-CN"/>
              </w:rPr>
              <w:t>至楼顶朝西南方向排放</w:t>
            </w:r>
            <w:r>
              <w:rPr>
                <w:rFonts w:hint="default" w:ascii="Times New Roman" w:hAnsi="Times New Roman" w:cs="Times New Roman"/>
                <w:color w:val="auto"/>
                <w:kern w:val="2"/>
                <w:sz w:val="24"/>
                <w:highlight w:val="none"/>
              </w:rPr>
              <w:t>。</w:t>
            </w:r>
            <w:r>
              <w:rPr>
                <w:rFonts w:hint="default" w:ascii="Times New Roman" w:hAnsi="Times New Roman" w:cs="Times New Roman"/>
                <w:color w:val="auto"/>
                <w:kern w:val="2"/>
                <w:sz w:val="24"/>
                <w:highlight w:val="none"/>
                <w:lang w:eastAsia="zh-CN"/>
              </w:rPr>
              <w:t>气流组织为上送风、下排风。</w:t>
            </w:r>
            <w:r>
              <w:rPr>
                <w:rFonts w:hint="default" w:ascii="Times New Roman" w:hAnsi="Times New Roman" w:cs="Times New Roman"/>
                <w:color w:val="auto"/>
                <w:kern w:val="2"/>
                <w:sz w:val="24"/>
                <w:highlight w:val="none"/>
                <w:lang w:val="en-US" w:eastAsia="zh-CN"/>
              </w:rPr>
              <w:t>进排风管道均采用镀锌钢管道。</w:t>
            </w:r>
            <w:r>
              <w:rPr>
                <w:rFonts w:hint="eastAsia" w:ascii="Times New Roman" w:hAnsi="Times New Roman" w:cs="Times New Roman"/>
                <w:color w:val="auto"/>
                <w:kern w:val="2"/>
                <w:sz w:val="24"/>
                <w:highlight w:val="none"/>
                <w:lang w:eastAsia="zh-CN"/>
              </w:rPr>
              <w:t>1#、3#加速器治疗室</w:t>
            </w:r>
            <w:r>
              <w:rPr>
                <w:rFonts w:hint="default" w:ascii="Times New Roman" w:hAnsi="Times New Roman" w:cs="Times New Roman"/>
                <w:color w:val="auto"/>
                <w:kern w:val="2"/>
                <w:sz w:val="24"/>
                <w:highlight w:val="none"/>
              </w:rPr>
              <w:t>每小时换气</w:t>
            </w:r>
            <w:r>
              <w:rPr>
                <w:rFonts w:hint="default" w:ascii="Times New Roman" w:hAnsi="Times New Roman" w:cs="Times New Roman"/>
                <w:color w:val="auto"/>
                <w:kern w:val="2"/>
                <w:sz w:val="24"/>
                <w:highlight w:val="none"/>
                <w:lang w:val="en-US" w:eastAsia="zh-CN"/>
              </w:rPr>
              <w:t>约10</w:t>
            </w:r>
            <w:r>
              <w:rPr>
                <w:rFonts w:hint="default" w:ascii="Times New Roman" w:hAnsi="Times New Roman" w:cs="Times New Roman"/>
                <w:color w:val="auto"/>
                <w:kern w:val="2"/>
                <w:sz w:val="24"/>
                <w:highlight w:val="none"/>
              </w:rPr>
              <w:t>次，</w:t>
            </w:r>
            <w:r>
              <w:rPr>
                <w:rFonts w:hint="eastAsia" w:ascii="Times New Roman" w:hAnsi="Times New Roman" w:cs="Times New Roman"/>
                <w:color w:val="auto"/>
                <w:kern w:val="2"/>
                <w:sz w:val="24"/>
                <w:highlight w:val="none"/>
                <w:lang w:eastAsia="zh-CN"/>
              </w:rPr>
              <w:t>排风量约</w:t>
            </w:r>
            <w:r>
              <w:rPr>
                <w:rFonts w:hint="eastAsia" w:ascii="Times New Roman" w:hAnsi="Times New Roman" w:cs="Times New Roman"/>
                <w:color w:val="auto"/>
                <w:kern w:val="2"/>
                <w:sz w:val="24"/>
                <w:highlight w:val="none"/>
                <w:lang w:val="en-US" w:eastAsia="zh-CN"/>
              </w:rPr>
              <w:t>4286.4</w:t>
            </w:r>
            <w:r>
              <w:rPr>
                <w:rFonts w:hint="default" w:ascii="Times New Roman" w:hAnsi="Times New Roman" w:cs="Times New Roman"/>
                <w:color w:val="auto"/>
                <w:kern w:val="2"/>
                <w:sz w:val="24"/>
                <w:highlight w:val="none"/>
              </w:rPr>
              <w:t>m</w:t>
            </w:r>
            <w:r>
              <w:rPr>
                <w:rFonts w:hint="default" w:ascii="Times New Roman" w:hAnsi="Times New Roman" w:cs="Times New Roman"/>
                <w:color w:val="auto"/>
                <w:kern w:val="2"/>
                <w:sz w:val="24"/>
                <w:highlight w:val="none"/>
                <w:vertAlign w:val="superscript"/>
              </w:rPr>
              <w:t>3</w:t>
            </w:r>
            <w:r>
              <w:rPr>
                <w:rFonts w:hint="default" w:ascii="Times New Roman" w:hAnsi="Times New Roman" w:cs="Times New Roman"/>
                <w:color w:val="auto"/>
                <w:kern w:val="2"/>
                <w:sz w:val="24"/>
                <w:highlight w:val="none"/>
              </w:rPr>
              <w:t>/h</w:t>
            </w:r>
            <w:r>
              <w:rPr>
                <w:rFonts w:hint="eastAsia" w:ascii="Times New Roman" w:hAnsi="Times New Roman" w:cs="Times New Roman"/>
                <w:color w:val="auto"/>
                <w:kern w:val="2"/>
                <w:sz w:val="24"/>
                <w:highlight w:val="none"/>
                <w:lang w:eastAsia="zh-CN"/>
              </w:rPr>
              <w:t>（</w:t>
            </w:r>
            <w:r>
              <w:rPr>
                <w:rFonts w:hint="eastAsia" w:ascii="Times New Roman" w:hAnsi="Times New Roman" w:cs="Times New Roman"/>
                <w:color w:val="auto"/>
                <w:kern w:val="2"/>
                <w:sz w:val="24"/>
                <w:highlight w:val="none"/>
                <w:lang w:val="en-US" w:eastAsia="zh-CN"/>
              </w:rPr>
              <w:t>见附图15</w:t>
            </w:r>
            <w:r>
              <w:rPr>
                <w:rFonts w:hint="eastAsia" w:ascii="Times New Roman" w:hAnsi="Times New Roman" w:cs="Times New Roman"/>
                <w:color w:val="auto"/>
                <w:kern w:val="2"/>
                <w:sz w:val="24"/>
                <w:highlight w:val="none"/>
                <w:lang w:eastAsia="zh-CN"/>
              </w:rPr>
              <w:t>）</w:t>
            </w:r>
            <w:r>
              <w:rPr>
                <w:rFonts w:hint="eastAsia" w:ascii="Times New Roman" w:hAnsi="Times New Roman" w:cs="Times New Roman"/>
                <w:color w:val="auto"/>
                <w:sz w:val="24"/>
                <w:highlight w:val="none"/>
                <w:lang w:eastAsia="zh-CN"/>
              </w:rPr>
              <w:t>。</w:t>
            </w: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63" w:beforeLines="20" w:beforeAutospacing="0" w:after="0" w:afterAutospacing="0"/>
              <w:ind w:left="0" w:right="0"/>
              <w:textAlignment w:val="auto"/>
              <w:rPr>
                <w:rFonts w:hint="default" w:ascii="Times New Roman" w:hAnsi="Times New Roman" w:cs="Times New Roman"/>
                <w:b/>
                <w:color w:val="auto"/>
                <w:kern w:val="0"/>
                <w:sz w:val="24"/>
                <w:szCs w:val="24"/>
                <w:highlight w:val="none"/>
              </w:rPr>
            </w:pPr>
            <w:r>
              <w:rPr>
                <w:rFonts w:hint="default" w:ascii="Times New Roman" w:hAnsi="Times New Roman" w:cs="Times New Roman"/>
                <w:b/>
                <w:bCs/>
                <w:color w:val="auto"/>
                <w:kern w:val="2"/>
                <w:sz w:val="24"/>
                <w:highlight w:val="none"/>
                <w:lang w:val="en-US" w:eastAsia="zh-CN"/>
              </w:rPr>
              <w:t>2、</w:t>
            </w:r>
            <w:r>
              <w:rPr>
                <w:rFonts w:hint="default" w:ascii="Times New Roman" w:hAnsi="Times New Roman" w:cs="Times New Roman"/>
                <w:b/>
                <w:color w:val="auto"/>
                <w:kern w:val="0"/>
                <w:sz w:val="24"/>
                <w:szCs w:val="24"/>
                <w:highlight w:val="none"/>
              </w:rPr>
              <w:t>1</w:t>
            </w:r>
            <w:r>
              <w:rPr>
                <w:rFonts w:hint="default" w:ascii="Times New Roman" w:hAnsi="Times New Roman" w:cs="Times New Roman"/>
                <w:b/>
                <w:color w:val="auto"/>
                <w:kern w:val="0"/>
                <w:sz w:val="24"/>
                <w:szCs w:val="24"/>
                <w:highlight w:val="none"/>
                <w:lang w:val="en-US" w:eastAsia="zh-CN"/>
              </w:rPr>
              <w:t>5</w:t>
            </w:r>
            <w:r>
              <w:rPr>
                <w:rFonts w:hint="default" w:ascii="Times New Roman" w:hAnsi="Times New Roman" w:cs="Times New Roman"/>
                <w:b/>
                <w:color w:val="auto"/>
                <w:kern w:val="0"/>
                <w:sz w:val="24"/>
                <w:szCs w:val="24"/>
                <w:highlight w:val="none"/>
              </w:rPr>
              <w:t>MV</w:t>
            </w:r>
            <w:r>
              <w:rPr>
                <w:rFonts w:hint="default" w:ascii="Times New Roman" w:hAnsi="Times New Roman" w:cs="Times New Roman"/>
                <w:b/>
                <w:color w:val="auto"/>
                <w:kern w:val="0"/>
                <w:sz w:val="24"/>
                <w:szCs w:val="24"/>
                <w:highlight w:val="none"/>
                <w:lang w:val="en-US" w:eastAsia="zh-CN"/>
              </w:rPr>
              <w:t>医用直线加速器</w:t>
            </w:r>
            <w:r>
              <w:rPr>
                <w:rFonts w:hint="default" w:ascii="Times New Roman" w:hAnsi="Times New Roman" w:cs="Times New Roman"/>
                <w:b/>
                <w:color w:val="auto"/>
                <w:kern w:val="0"/>
                <w:sz w:val="24"/>
                <w:szCs w:val="24"/>
                <w:highlight w:val="none"/>
              </w:rPr>
              <w:t>X射线环境影响分析</w:t>
            </w: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63" w:beforeLines="20" w:beforeAutospacing="0" w:after="0" w:afterAutospacing="0" w:line="360" w:lineRule="auto"/>
              <w:ind w:left="0" w:right="0" w:firstLine="480" w:firstLineChars="200"/>
              <w:textAlignment w:val="auto"/>
              <w:rPr>
                <w:rFonts w:hint="default" w:ascii="Times New Roman" w:hAnsi="Times New Roman" w:cs="Times New Roman"/>
                <w:b/>
                <w:color w:val="auto"/>
                <w:kern w:val="0"/>
                <w:sz w:val="24"/>
                <w:szCs w:val="24"/>
                <w:highlight w:val="none"/>
              </w:rPr>
            </w:pPr>
            <w:r>
              <w:rPr>
                <w:rFonts w:hint="eastAsia" w:ascii="Times New Roman" w:hAnsi="Times New Roman" w:cs="Times New Roman"/>
                <w:color w:val="auto"/>
                <w:sz w:val="24"/>
                <w:szCs w:val="24"/>
                <w:highlight w:val="none"/>
                <w:lang w:val="en-US" w:eastAsia="zh-CN"/>
              </w:rPr>
              <w:t>2#加速器治疗室东南部均设有</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L</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型迷路，迷路内墙厚1200mm，外墙厚1700mm；2#加速器治疗室东北部及西南部</w:t>
            </w:r>
            <w:r>
              <w:rPr>
                <w:rFonts w:hint="default" w:ascii="Times New Roman" w:hAnsi="Times New Roman" w:cs="Times New Roman"/>
                <w:color w:val="auto"/>
                <w:sz w:val="24"/>
                <w:szCs w:val="24"/>
                <w:highlight w:val="none"/>
              </w:rPr>
              <w:t>主屏蔽墙</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rPr>
              <w:t>厚</w:t>
            </w:r>
            <w:r>
              <w:rPr>
                <w:rFonts w:hint="eastAsia" w:ascii="Times New Roman" w:hAnsi="Times New Roman" w:cs="Times New Roman"/>
                <w:color w:val="auto"/>
                <w:sz w:val="24"/>
                <w:szCs w:val="24"/>
                <w:highlight w:val="none"/>
                <w:lang w:val="en-US" w:eastAsia="zh-CN"/>
              </w:rPr>
              <w:t>3000</w:t>
            </w:r>
            <w:r>
              <w:rPr>
                <w:rFonts w:hint="default" w:ascii="Times New Roman" w:hAnsi="Times New Roman" w:cs="Times New Roman"/>
                <w:color w:val="auto"/>
                <w:sz w:val="24"/>
                <w:szCs w:val="24"/>
                <w:highlight w:val="none"/>
              </w:rPr>
              <w:t>mm、宽4</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00mm，次屏蔽墙厚</w:t>
            </w:r>
            <w:r>
              <w:rPr>
                <w:rFonts w:hint="eastAsia" w:ascii="Times New Roman" w:hAnsi="Times New Roman" w:cs="Times New Roman"/>
                <w:color w:val="auto"/>
                <w:sz w:val="24"/>
                <w:szCs w:val="24"/>
                <w:highlight w:val="none"/>
                <w:lang w:val="en-US" w:eastAsia="zh-CN"/>
              </w:rPr>
              <w:t>1800</w:t>
            </w:r>
            <w:r>
              <w:rPr>
                <w:rFonts w:hint="default" w:ascii="Times New Roman" w:hAnsi="Times New Roman" w:cs="Times New Roman"/>
                <w:color w:val="auto"/>
                <w:sz w:val="24"/>
                <w:szCs w:val="24"/>
                <w:highlight w:val="none"/>
              </w:rPr>
              <w:t>mm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2#加速器治疗室顶部</w:t>
            </w:r>
            <w:r>
              <w:rPr>
                <w:rFonts w:hint="default" w:ascii="Times New Roman" w:hAnsi="Times New Roman" w:cs="Times New Roman"/>
                <w:color w:val="auto"/>
                <w:sz w:val="24"/>
                <w:szCs w:val="24"/>
                <w:highlight w:val="none"/>
              </w:rPr>
              <w:t>主屏蔽墙</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rPr>
              <w:t>厚</w:t>
            </w:r>
            <w:r>
              <w:rPr>
                <w:rFonts w:hint="eastAsia" w:ascii="Times New Roman" w:hAnsi="Times New Roman" w:cs="Times New Roman"/>
                <w:color w:val="auto"/>
                <w:sz w:val="24"/>
                <w:szCs w:val="24"/>
                <w:highlight w:val="none"/>
                <w:lang w:val="en-US" w:eastAsia="zh-CN"/>
              </w:rPr>
              <w:t>3000</w:t>
            </w:r>
            <w:r>
              <w:rPr>
                <w:rFonts w:hint="default" w:ascii="Times New Roman" w:hAnsi="Times New Roman" w:cs="Times New Roman"/>
                <w:color w:val="auto"/>
                <w:sz w:val="24"/>
                <w:szCs w:val="24"/>
                <w:highlight w:val="none"/>
              </w:rPr>
              <w:t>mm、宽4000mm，次屏蔽墙厚</w:t>
            </w:r>
            <w:r>
              <w:rPr>
                <w:rFonts w:hint="eastAsia" w:ascii="Times New Roman" w:hAnsi="Times New Roman" w:cs="Times New Roman"/>
                <w:color w:val="auto"/>
                <w:sz w:val="24"/>
                <w:szCs w:val="24"/>
                <w:highlight w:val="none"/>
                <w:lang w:val="en-US" w:eastAsia="zh-CN"/>
              </w:rPr>
              <w:t>1700</w:t>
            </w:r>
            <w:r>
              <w:rPr>
                <w:rFonts w:hint="default" w:ascii="Times New Roman" w:hAnsi="Times New Roman" w:cs="Times New Roman"/>
                <w:color w:val="auto"/>
                <w:sz w:val="24"/>
                <w:szCs w:val="24"/>
                <w:highlight w:val="none"/>
              </w:rPr>
              <w:t>mm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2#加速器治疗室西北部</w:t>
            </w:r>
            <w:r>
              <w:rPr>
                <w:rFonts w:hint="default" w:ascii="Times New Roman" w:hAnsi="Times New Roman" w:cs="Times New Roman"/>
                <w:color w:val="auto"/>
                <w:sz w:val="24"/>
                <w:szCs w:val="24"/>
                <w:highlight w:val="none"/>
              </w:rPr>
              <w:t>屏蔽墙</w:t>
            </w:r>
            <w:r>
              <w:rPr>
                <w:rFonts w:hint="eastAsia" w:ascii="Times New Roman" w:hAnsi="Times New Roman" w:cs="Times New Roman"/>
                <w:color w:val="auto"/>
                <w:sz w:val="24"/>
                <w:szCs w:val="24"/>
                <w:highlight w:val="none"/>
                <w:lang w:val="en-US" w:eastAsia="zh-CN"/>
              </w:rPr>
              <w:t>均厚1700</w:t>
            </w:r>
            <w:r>
              <w:rPr>
                <w:rFonts w:hint="default" w:ascii="Times New Roman" w:hAnsi="Times New Roman" w:cs="Times New Roman"/>
                <w:color w:val="auto"/>
                <w:sz w:val="24"/>
                <w:szCs w:val="24"/>
                <w:highlight w:val="none"/>
              </w:rPr>
              <w:t>mm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2#加速器治疗室</w:t>
            </w:r>
            <w:r>
              <w:rPr>
                <w:rFonts w:hint="default" w:ascii="Times New Roman" w:hAnsi="Times New Roman" w:cs="Times New Roman"/>
                <w:color w:val="auto"/>
                <w:sz w:val="24"/>
                <w:szCs w:val="24"/>
                <w:highlight w:val="none"/>
              </w:rPr>
              <w:t>防护门为</w:t>
            </w:r>
            <w:r>
              <w:rPr>
                <w:rFonts w:hint="eastAsia"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mm铅当量</w:t>
            </w:r>
            <w:r>
              <w:rPr>
                <w:rFonts w:hint="eastAsia" w:ascii="Times New Roman" w:hAnsi="Times New Roman" w:cs="Times New Roman"/>
                <w:color w:val="auto"/>
                <w:sz w:val="24"/>
                <w:highlight w:val="none"/>
                <w:lang w:val="en-US" w:eastAsia="zh-CN"/>
              </w:rPr>
              <w:t>+80mm含硼聚乙烯。</w:t>
            </w:r>
          </w:p>
          <w:p>
            <w:pPr>
              <w:pStyle w:val="2"/>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spacing w:before="95" w:beforeLines="30" w:beforeAutospacing="0" w:after="0" w:afterAutospacing="0"/>
              <w:ind w:left="0" w:right="0"/>
              <w:textAlignment w:val="auto"/>
              <w:rPr>
                <w:rFonts w:hint="default" w:ascii="Times New Roman" w:hAnsi="Times New Roman" w:eastAsia="黑体" w:cs="Times New Roman"/>
                <w:b w:val="0"/>
                <w:bCs/>
                <w:color w:val="auto"/>
                <w:kern w:val="0"/>
                <w:sz w:val="24"/>
                <w:szCs w:val="24"/>
                <w:highlight w:val="none"/>
              </w:rPr>
            </w:pPr>
            <w:r>
              <w:rPr>
                <w:rFonts w:hint="default" w:ascii="Times New Roman" w:hAnsi="Times New Roman" w:eastAsia="黑体" w:cs="Times New Roman"/>
                <w:b w:val="0"/>
                <w:bCs/>
                <w:color w:val="auto"/>
                <w:kern w:val="0"/>
                <w:sz w:val="24"/>
                <w:szCs w:val="24"/>
                <w:highlight w:val="none"/>
              </w:rPr>
              <w:t>加速器</w:t>
            </w:r>
            <w:r>
              <w:rPr>
                <w:rFonts w:hint="default" w:ascii="Times New Roman" w:hAnsi="Times New Roman" w:eastAsia="黑体" w:cs="Times New Roman"/>
                <w:b w:val="0"/>
                <w:bCs/>
                <w:color w:val="auto"/>
                <w:kern w:val="0"/>
                <w:sz w:val="24"/>
                <w:szCs w:val="24"/>
                <w:highlight w:val="none"/>
                <w:lang w:val="en-US" w:eastAsia="zh-CN"/>
              </w:rPr>
              <w:t>治疗室</w:t>
            </w:r>
            <w:r>
              <w:rPr>
                <w:rFonts w:hint="default" w:ascii="Times New Roman" w:hAnsi="Times New Roman" w:eastAsia="黑体" w:cs="Times New Roman"/>
                <w:b w:val="0"/>
                <w:bCs/>
                <w:color w:val="auto"/>
                <w:kern w:val="0"/>
                <w:sz w:val="24"/>
                <w:szCs w:val="24"/>
                <w:highlight w:val="none"/>
              </w:rPr>
              <w:t>主屏蔽区宽度校核</w:t>
            </w:r>
          </w:p>
          <w:p>
            <w:pPr>
              <w:pStyle w:val="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95" w:beforeLines="30" w:beforeAutospacing="0" w:after="0" w:afterAutospacing="0" w:line="360" w:lineRule="auto"/>
              <w:ind w:left="0" w:right="0" w:firstLine="480" w:firstLineChars="200"/>
              <w:textAlignment w:val="auto"/>
              <w:rPr>
                <w:rFonts w:hint="default" w:ascii="Times New Roman" w:hAnsi="Times New Roman" w:cs="Times New Roman"/>
                <w:bCs/>
                <w:color w:val="auto"/>
                <w:kern w:val="2"/>
                <w:sz w:val="24"/>
                <w:highlight w:val="none"/>
                <w:lang w:val="en-US" w:eastAsia="zh-CN"/>
              </w:rPr>
            </w:pPr>
            <w:r>
              <w:rPr>
                <w:rFonts w:hint="default" w:ascii="Times New Roman" w:hAnsi="Times New Roman" w:cs="Times New Roman"/>
                <w:color w:val="auto"/>
                <w:kern w:val="2"/>
                <w:sz w:val="24"/>
                <w:highlight w:val="none"/>
                <w:lang w:val="en-US" w:eastAsia="zh-CN"/>
              </w:rPr>
              <w:t>拟购</w:t>
            </w:r>
            <w:r>
              <w:rPr>
                <w:rFonts w:hint="default" w:ascii="Times New Roman" w:hAnsi="Times New Roman" w:cs="Times New Roman"/>
                <w:color w:val="auto"/>
                <w:kern w:val="2"/>
                <w:sz w:val="24"/>
                <w:szCs w:val="24"/>
                <w:highlight w:val="none"/>
                <w:lang w:val="en-US" w:eastAsia="zh-CN"/>
              </w:rPr>
              <w:t>1台15MV医用直线加速器于2#</w:t>
            </w:r>
            <w:r>
              <w:rPr>
                <w:rFonts w:hint="default" w:ascii="Times New Roman" w:hAnsi="Times New Roman" w:cs="Times New Roman"/>
                <w:color w:val="auto"/>
                <w:kern w:val="2"/>
                <w:sz w:val="24"/>
                <w:highlight w:val="none"/>
                <w:lang w:eastAsia="zh-CN"/>
              </w:rPr>
              <w:t>加速器治疗室</w:t>
            </w:r>
            <w:r>
              <w:rPr>
                <w:rFonts w:hint="default" w:ascii="Times New Roman" w:hAnsi="Times New Roman" w:cs="Times New Roman"/>
                <w:color w:val="auto"/>
                <w:kern w:val="2"/>
                <w:sz w:val="24"/>
                <w:szCs w:val="24"/>
                <w:highlight w:val="none"/>
                <w:lang w:val="en-US" w:eastAsia="zh-CN"/>
              </w:rPr>
              <w:t>，其</w:t>
            </w:r>
            <w:r>
              <w:rPr>
                <w:rFonts w:hint="default" w:ascii="Times New Roman" w:hAnsi="Times New Roman" w:cs="Times New Roman"/>
                <w:bCs/>
                <w:color w:val="auto"/>
                <w:kern w:val="2"/>
                <w:sz w:val="24"/>
                <w:highlight w:val="none"/>
              </w:rPr>
              <w:t>主屏蔽区包括</w:t>
            </w:r>
            <w:r>
              <w:rPr>
                <w:rFonts w:hint="default" w:ascii="Times New Roman" w:hAnsi="Times New Roman" w:cs="Times New Roman"/>
                <w:bCs/>
                <w:color w:val="auto"/>
                <w:kern w:val="2"/>
                <w:sz w:val="24"/>
                <w:highlight w:val="none"/>
                <w:lang w:val="en-US" w:eastAsia="zh-CN"/>
              </w:rPr>
              <w:t>东北部墙体、西南部墙体、顶部、底部</w:t>
            </w:r>
            <w:r>
              <w:rPr>
                <w:rFonts w:hint="default" w:ascii="Times New Roman" w:hAnsi="Times New Roman" w:cs="Times New Roman"/>
                <w:bCs/>
                <w:color w:val="auto"/>
                <w:kern w:val="2"/>
                <w:sz w:val="24"/>
                <w:highlight w:val="none"/>
              </w:rPr>
              <w:t>，加速器主射线的最大出束角度为28°。</w:t>
            </w:r>
            <w:r>
              <w:rPr>
                <w:rFonts w:hint="default" w:ascii="Times New Roman" w:hAnsi="Times New Roman" w:cs="Times New Roman"/>
                <w:bCs/>
                <w:color w:val="auto"/>
                <w:kern w:val="2"/>
                <w:sz w:val="24"/>
                <w:highlight w:val="none"/>
                <w:lang w:val="en-US" w:eastAsia="zh-CN"/>
              </w:rPr>
              <w:t>根据《放射治疗机房的辐射屏蔽规范  第1部分  一般原则》（GBZ/T201.1-2007）的相关规定，主屏蔽宽度校核公式如下：</w:t>
            </w:r>
          </w:p>
          <w:p>
            <w:pPr>
              <w:pStyle w:val="2"/>
              <w:keepNext w:val="0"/>
              <w:keepLines w:val="0"/>
              <w:suppressLineNumbers w:val="0"/>
              <w:spacing w:before="0" w:beforeAutospacing="0" w:after="0" w:afterAutospacing="0" w:line="360" w:lineRule="auto"/>
              <w:ind w:left="0" w:right="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 xml:space="preserve">                     </w:t>
            </w:r>
            <w:r>
              <w:rPr>
                <w:rFonts w:hint="default" w:ascii="Times New Roman" w:hAnsi="Times New Roman" w:cs="Times New Roman"/>
                <w:color w:val="auto"/>
                <w:kern w:val="2"/>
                <w:position w:val="-10"/>
                <w:highlight w:val="none"/>
                <w:lang w:val="en-US" w:eastAsia="zh-CN"/>
              </w:rPr>
              <w:object>
                <v:shape id="_x0000_i1046" o:spt="75" type="#_x0000_t75" style="height:17pt;width:135pt;" o:ole="t" filled="f" o:preferrelative="t" stroked="f" coordsize="21600,21600">
                  <v:path/>
                  <v:fill on="f" focussize="0,0"/>
                  <v:stroke on="f"/>
                  <v:imagedata r:id="rId70" o:title=""/>
                  <o:lock v:ext="edit" aspectratio="t"/>
                  <w10:wrap type="none"/>
                  <w10:anchorlock/>
                </v:shape>
                <o:OLEObject Type="Embed" ProgID="Equation.KSEE3" ShapeID="_x0000_i1046" DrawAspect="Content" ObjectID="_1468075746" r:id="rId69">
                  <o:LockedField>false</o:LockedField>
                </o:OLEObject>
              </w:object>
            </w:r>
            <w:r>
              <w:rPr>
                <w:rFonts w:hint="default" w:ascii="Times New Roman" w:hAnsi="Times New Roman" w:cs="Times New Roman"/>
                <w:bCs/>
                <w:color w:val="auto"/>
                <w:kern w:val="2"/>
                <w:szCs w:val="21"/>
                <w:highlight w:val="none"/>
              </w:rPr>
              <w:t>............................</w:t>
            </w:r>
            <w:r>
              <w:rPr>
                <w:rFonts w:hint="default" w:ascii="Times New Roman" w:hAnsi="Times New Roman" w:cs="Times New Roman"/>
                <w:color w:val="auto"/>
                <w:kern w:val="2"/>
                <w:szCs w:val="21"/>
                <w:highlight w:val="none"/>
              </w:rPr>
              <w:t>（式11-</w:t>
            </w:r>
            <w:r>
              <w:rPr>
                <w:rFonts w:hint="default" w:ascii="Times New Roman" w:hAnsi="Times New Roman" w:cs="Times New Roman"/>
                <w:color w:val="auto"/>
                <w:kern w:val="2"/>
                <w:szCs w:val="21"/>
                <w:highlight w:val="none"/>
                <w:lang w:val="en-US" w:eastAsia="zh-CN"/>
              </w:rPr>
              <w:t>18</w:t>
            </w:r>
            <w:r>
              <w:rPr>
                <w:rFonts w:hint="default" w:ascii="Times New Roman" w:hAnsi="Times New Roman" w:cs="Times New Roman"/>
                <w:color w:val="auto"/>
                <w:kern w:val="2"/>
                <w:szCs w:val="21"/>
                <w:highlight w:val="none"/>
              </w:rPr>
              <w:t>）</w:t>
            </w:r>
            <w:r>
              <w:rPr>
                <w:rFonts w:hint="default" w:ascii="Times New Roman" w:hAnsi="Times New Roman" w:cs="Times New Roman"/>
                <w:color w:val="auto"/>
                <w:kern w:val="2"/>
                <w:highlight w:val="none"/>
                <w:lang w:val="en-US" w:eastAsia="zh-CN"/>
              </w:rPr>
              <w:t xml:space="preserve">  </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式中：</w:t>
            </w:r>
            <w:r>
              <w:rPr>
                <w:rFonts w:hint="default" w:ascii="Times New Roman" w:hAnsi="Times New Roman" w:cs="Times New Roman"/>
                <w:color w:val="auto"/>
                <w:kern w:val="2"/>
                <w:position w:val="-8"/>
                <w:sz w:val="21"/>
                <w:szCs w:val="21"/>
                <w:highlight w:val="none"/>
                <w:lang w:val="en-US" w:eastAsia="zh-CN"/>
              </w:rPr>
              <w:object>
                <v:shape id="_x0000_i1047" o:spt="75" type="#_x0000_t75" style="height:15pt;width:13pt;" o:ole="t" filled="f" o:preferrelative="t" stroked="f" coordsize="21600,21600">
                  <v:path/>
                  <v:fill on="f" focussize="0,0"/>
                  <v:stroke on="f"/>
                  <v:imagedata r:id="rId72" o:title=""/>
                  <o:lock v:ext="edit" aspectratio="t"/>
                  <w10:wrap type="none"/>
                  <w10:anchorlock/>
                </v:shape>
                <o:OLEObject Type="Embed" ProgID="Equation.KSEE3" ShapeID="_x0000_i1047" DrawAspect="Content" ObjectID="_1468075747" r:id="rId71">
                  <o:LockedField>false</o:LockedField>
                </o:OLEObject>
              </w:object>
            </w:r>
            <w:r>
              <w:rPr>
                <w:rFonts w:hint="default" w:ascii="Times New Roman" w:hAnsi="Times New Roman" w:cs="Times New Roman"/>
                <w:color w:val="auto"/>
                <w:kern w:val="2"/>
                <w:sz w:val="21"/>
                <w:szCs w:val="21"/>
                <w:highlight w:val="none"/>
                <w:lang w:val="en-US" w:eastAsia="zh-CN"/>
              </w:rPr>
              <w:t>—机房有用束主屏蔽区的宽度，m；</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SAD—源轴距，m；</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position w:val="-6"/>
                <w:sz w:val="21"/>
                <w:szCs w:val="21"/>
                <w:highlight w:val="none"/>
                <w:lang w:val="en-US" w:eastAsia="zh-CN"/>
              </w:rPr>
              <w:object>
                <v:shape id="_x0000_i1048" o:spt="75" type="#_x0000_t75" style="height:13.95pt;width:10pt;" o:ole="t" filled="f" o:preferrelative="t" stroked="f" coordsize="21600,21600">
                  <v:path/>
                  <v:fill on="f" focussize="0,0"/>
                  <v:stroke on="f"/>
                  <v:imagedata r:id="rId74" o:title=""/>
                  <o:lock v:ext="edit" aspectratio="t"/>
                  <w10:wrap type="none"/>
                  <w10:anchorlock/>
                </v:shape>
                <o:OLEObject Type="Embed" ProgID="Equation.KSEE3" ShapeID="_x0000_i1048" DrawAspect="Content" ObjectID="_1468075748" r:id="rId73">
                  <o:LockedField>false</o:LockedField>
                </o:OLEObject>
              </w:object>
            </w:r>
            <w:r>
              <w:rPr>
                <w:rFonts w:hint="default" w:ascii="Times New Roman" w:hAnsi="Times New Roman" w:cs="Times New Roman"/>
                <w:color w:val="auto"/>
                <w:kern w:val="2"/>
                <w:sz w:val="21"/>
                <w:szCs w:val="21"/>
                <w:highlight w:val="none"/>
                <w:lang w:val="en-US" w:eastAsia="zh-CN"/>
              </w:rPr>
              <w:t>—治疗束的最大张角；</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a—等中心点至“墙”的距离，m（当主屏蔽区向机房内凸时，“墙”指与主屏蔽相连接的次屏蔽墙的内表面；当主屏蔽区向机房外凸时，“墙”指主屏蔽区墙的外表面）。</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color w:val="auto"/>
                <w:kern w:val="2"/>
                <w:sz w:val="21"/>
                <w:szCs w:val="21"/>
                <w:highlight w:val="none"/>
              </w:rPr>
            </w:pPr>
            <w:r>
              <w:rPr>
                <w:rFonts w:hint="default" w:ascii="Times New Roman" w:hAnsi="Times New Roman" w:cs="Times New Roman"/>
                <w:bCs/>
                <w:color w:val="auto"/>
                <w:kern w:val="2"/>
                <w:sz w:val="24"/>
                <w:highlight w:val="none"/>
                <w:lang w:val="en-US" w:eastAsia="zh-CN"/>
              </w:rPr>
              <w:t>本项目2#加速器治疗室</w:t>
            </w:r>
            <w:r>
              <w:rPr>
                <w:rFonts w:hint="default" w:ascii="Times New Roman" w:hAnsi="Times New Roman" w:cs="Times New Roman"/>
                <w:bCs/>
                <w:color w:val="auto"/>
                <w:kern w:val="2"/>
                <w:sz w:val="24"/>
                <w:highlight w:val="none"/>
              </w:rPr>
              <w:t>主屏蔽宽度校核结果见表11-</w:t>
            </w:r>
            <w:r>
              <w:rPr>
                <w:rFonts w:hint="default" w:ascii="Times New Roman" w:hAnsi="Times New Roman" w:cs="Times New Roman"/>
                <w:bCs/>
                <w:color w:val="auto"/>
                <w:kern w:val="2"/>
                <w:sz w:val="24"/>
                <w:highlight w:val="none"/>
                <w:lang w:val="en-US" w:eastAsia="zh-CN"/>
              </w:rPr>
              <w:t>9</w:t>
            </w:r>
            <w:r>
              <w:rPr>
                <w:rFonts w:hint="default" w:ascii="Times New Roman" w:hAnsi="Times New Roman" w:cs="Times New Roman"/>
                <w:bCs/>
                <w:color w:val="auto"/>
                <w:kern w:val="2"/>
                <w:sz w:val="24"/>
                <w:highlight w:val="none"/>
              </w:rPr>
              <w:t>。</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9</w:t>
            </w:r>
            <w:r>
              <w:rPr>
                <w:rFonts w:hint="default" w:ascii="Times New Roman" w:hAnsi="Times New Roman" w:cs="Times New Roman"/>
                <w:b/>
                <w:color w:val="auto"/>
                <w:sz w:val="21"/>
                <w:szCs w:val="21"/>
                <w:highlight w:val="none"/>
              </w:rPr>
              <w:t xml:space="preserve">  本项目</w:t>
            </w:r>
            <w:r>
              <w:rPr>
                <w:rFonts w:hint="default" w:ascii="Times New Roman" w:hAnsi="Times New Roman" w:cs="Times New Roman"/>
                <w:b/>
                <w:color w:val="auto"/>
                <w:sz w:val="21"/>
                <w:szCs w:val="21"/>
                <w:highlight w:val="none"/>
                <w:lang w:val="en-US" w:eastAsia="zh-CN"/>
              </w:rPr>
              <w:t>2#加速器治疗室</w:t>
            </w:r>
            <w:r>
              <w:rPr>
                <w:rFonts w:hint="default" w:ascii="Times New Roman" w:hAnsi="Times New Roman" w:cs="Times New Roman"/>
                <w:b/>
                <w:color w:val="auto"/>
                <w:sz w:val="21"/>
                <w:szCs w:val="21"/>
                <w:highlight w:val="none"/>
              </w:rPr>
              <w:t>主屏蔽区宽度校核表</w:t>
            </w:r>
          </w:p>
          <w:tbl>
            <w:tblPr>
              <w:tblStyle w:val="17"/>
              <w:tblW w:w="88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613"/>
              <w:gridCol w:w="2791"/>
              <w:gridCol w:w="2297"/>
              <w:gridCol w:w="1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13"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lang w:val="en-US" w:eastAsia="zh-CN"/>
                    </w:rPr>
                    <w:t>等中心点至“墙”的距离</w:t>
                  </w:r>
                  <w:r>
                    <w:rPr>
                      <w:rFonts w:hint="default" w:ascii="Times New Roman" w:hAnsi="Times New Roman" w:cs="Times New Roman"/>
                      <w:color w:val="auto"/>
                      <w:szCs w:val="21"/>
                      <w:highlight w:val="none"/>
                    </w:rPr>
                    <w:t>(m)</w:t>
                  </w:r>
                </w:p>
              </w:tc>
              <w:tc>
                <w:tcPr>
                  <w:tcW w:w="2791"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主屏蔽区宽度计算值(m)</w:t>
                  </w:r>
                </w:p>
              </w:tc>
              <w:tc>
                <w:tcPr>
                  <w:tcW w:w="2297"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主屏蔽区宽度设计值(m)</w:t>
                  </w:r>
                </w:p>
              </w:tc>
              <w:tc>
                <w:tcPr>
                  <w:tcW w:w="1123"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13" w:type="dxa"/>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距</w:t>
                  </w:r>
                  <w:r>
                    <w:rPr>
                      <w:rFonts w:hint="default" w:ascii="Times New Roman" w:hAnsi="Times New Roman" w:cs="Times New Roman"/>
                      <w:color w:val="auto"/>
                      <w:szCs w:val="21"/>
                      <w:highlight w:val="none"/>
                      <w:lang w:val="en-US" w:eastAsia="zh-CN"/>
                    </w:rPr>
                    <w:t>东北部</w:t>
                  </w:r>
                  <w:r>
                    <w:rPr>
                      <w:rFonts w:hint="default" w:ascii="Times New Roman" w:hAnsi="Times New Roman" w:cs="Times New Roman"/>
                      <w:color w:val="auto"/>
                      <w:szCs w:val="21"/>
                      <w:highlight w:val="none"/>
                    </w:rPr>
                    <w:t>主屏蔽墙体</w:t>
                  </w:r>
                  <w:r>
                    <w:rPr>
                      <w:rFonts w:hint="eastAsia" w:ascii="Times New Roman" w:hAnsi="Times New Roman" w:cs="Times New Roman"/>
                      <w:color w:val="auto"/>
                      <w:szCs w:val="21"/>
                      <w:highlight w:val="none"/>
                      <w:lang w:val="en-US" w:eastAsia="zh-CN"/>
                    </w:rPr>
                    <w:t>5.1</w:t>
                  </w:r>
                </w:p>
              </w:tc>
              <w:tc>
                <w:tcPr>
                  <w:tcW w:w="2791" w:type="dxa"/>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szCs w:val="21"/>
                      <w:highlight w:val="none"/>
                      <w:lang w:val="en-US" w:eastAsia="zh-CN"/>
                    </w:rPr>
                    <w:t>5.1</w:t>
                  </w:r>
                  <w:r>
                    <w:rPr>
                      <w:rFonts w:hint="default" w:ascii="Times New Roman" w:hAnsi="Times New Roman" w:cs="Times New Roman"/>
                      <w:color w:val="auto"/>
                      <w:kern w:val="0"/>
                      <w:szCs w:val="21"/>
                      <w:highlight w:val="none"/>
                      <w:lang w:val="en-US" w:eastAsia="zh-CN"/>
                    </w:rPr>
                    <w:t>+1)tan14</w:t>
                  </w:r>
                  <w:r>
                    <w:rPr>
                      <w:rFonts w:hint="default" w:ascii="Times New Roman" w:hAnsi="Times New Roman" w:cs="Times New Roman"/>
                      <w:color w:val="auto"/>
                      <w:kern w:val="0"/>
                      <w:szCs w:val="21"/>
                      <w:highlight w:val="none"/>
                    </w:rPr>
                    <w:t>°+0.3</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kern w:val="0"/>
                      <w:szCs w:val="21"/>
                      <w:highlight w:val="none"/>
                      <w:lang w:val="en-US" w:eastAsia="zh-CN"/>
                    </w:rPr>
                    <w:t>3.14</w:t>
                  </w:r>
                </w:p>
              </w:tc>
              <w:tc>
                <w:tcPr>
                  <w:tcW w:w="2297" w:type="dxa"/>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val="en-US" w:eastAsia="zh-CN"/>
                    </w:rPr>
                    <w:t>4.80</w:t>
                  </w:r>
                </w:p>
              </w:tc>
              <w:tc>
                <w:tcPr>
                  <w:tcW w:w="1123" w:type="dxa"/>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1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距</w:t>
                  </w:r>
                  <w:r>
                    <w:rPr>
                      <w:rFonts w:hint="default" w:ascii="Times New Roman" w:hAnsi="Times New Roman" w:cs="Times New Roman"/>
                      <w:color w:val="auto"/>
                      <w:szCs w:val="21"/>
                      <w:highlight w:val="none"/>
                      <w:lang w:val="en-US" w:eastAsia="zh-CN"/>
                    </w:rPr>
                    <w:t>西南部</w:t>
                  </w:r>
                  <w:r>
                    <w:rPr>
                      <w:rFonts w:hint="default" w:ascii="Times New Roman" w:hAnsi="Times New Roman" w:cs="Times New Roman"/>
                      <w:color w:val="auto"/>
                      <w:szCs w:val="21"/>
                      <w:highlight w:val="none"/>
                    </w:rPr>
                    <w:t>主屏蔽墙体</w:t>
                  </w:r>
                  <w:r>
                    <w:rPr>
                      <w:rFonts w:hint="eastAsia" w:ascii="Times New Roman" w:hAnsi="Times New Roman" w:cs="Times New Roman"/>
                      <w:color w:val="auto"/>
                      <w:szCs w:val="21"/>
                      <w:highlight w:val="none"/>
                      <w:lang w:val="en-US" w:eastAsia="zh-CN"/>
                    </w:rPr>
                    <w:t>5.2</w:t>
                  </w:r>
                </w:p>
              </w:tc>
              <w:tc>
                <w:tcPr>
                  <w:tcW w:w="2791"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szCs w:val="21"/>
                      <w:highlight w:val="none"/>
                      <w:lang w:val="en-US" w:eastAsia="zh-CN"/>
                    </w:rPr>
                    <w:t>5.0</w:t>
                  </w:r>
                  <w:r>
                    <w:rPr>
                      <w:rFonts w:hint="default" w:ascii="Times New Roman" w:hAnsi="Times New Roman" w:cs="Times New Roman"/>
                      <w:color w:val="auto"/>
                      <w:kern w:val="0"/>
                      <w:szCs w:val="21"/>
                      <w:highlight w:val="none"/>
                      <w:lang w:val="en-US" w:eastAsia="zh-CN"/>
                    </w:rPr>
                    <w:t>+1)tan14</w:t>
                  </w:r>
                  <w:r>
                    <w:rPr>
                      <w:rFonts w:hint="default" w:ascii="Times New Roman" w:hAnsi="Times New Roman" w:cs="Times New Roman"/>
                      <w:color w:val="auto"/>
                      <w:kern w:val="0"/>
                      <w:szCs w:val="21"/>
                      <w:highlight w:val="none"/>
                    </w:rPr>
                    <w:t>°+0.3</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kern w:val="0"/>
                      <w:szCs w:val="21"/>
                      <w:highlight w:val="none"/>
                      <w:lang w:val="en-US" w:eastAsia="zh-CN"/>
                    </w:rPr>
                    <w:t>3.19</w:t>
                  </w:r>
                </w:p>
              </w:tc>
              <w:tc>
                <w:tcPr>
                  <w:tcW w:w="2297"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val="en-US" w:eastAsia="zh-CN"/>
                    </w:rPr>
                    <w:t>4.80</w:t>
                  </w:r>
                </w:p>
              </w:tc>
              <w:tc>
                <w:tcPr>
                  <w:tcW w:w="1123"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7" w:hRule="atLeast"/>
                <w:jc w:val="center"/>
              </w:trPr>
              <w:tc>
                <w:tcPr>
                  <w:tcW w:w="2613" w:type="dxa"/>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距顶部主屏蔽墙体</w:t>
                  </w:r>
                  <w:r>
                    <w:rPr>
                      <w:rFonts w:hint="eastAsia" w:ascii="Times New Roman" w:hAnsi="Times New Roman" w:cs="Times New Roman"/>
                      <w:color w:val="auto"/>
                      <w:szCs w:val="21"/>
                      <w:highlight w:val="none"/>
                      <w:lang w:val="en-US" w:eastAsia="zh-CN"/>
                    </w:rPr>
                    <w:t>5.8</w:t>
                  </w:r>
                </w:p>
              </w:tc>
              <w:tc>
                <w:tcPr>
                  <w:tcW w:w="2791" w:type="dxa"/>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szCs w:val="21"/>
                      <w:highlight w:val="none"/>
                      <w:lang w:val="en-US" w:eastAsia="zh-CN"/>
                    </w:rPr>
                    <w:t>5.80</w:t>
                  </w:r>
                  <w:r>
                    <w:rPr>
                      <w:rFonts w:hint="default" w:ascii="Times New Roman" w:hAnsi="Times New Roman" w:cs="Times New Roman"/>
                      <w:color w:val="auto"/>
                      <w:kern w:val="0"/>
                      <w:szCs w:val="21"/>
                      <w:highlight w:val="none"/>
                      <w:lang w:val="en-US" w:eastAsia="zh-CN"/>
                    </w:rPr>
                    <w:t>+1)tan14</w:t>
                  </w:r>
                  <w:r>
                    <w:rPr>
                      <w:rFonts w:hint="default" w:ascii="Times New Roman" w:hAnsi="Times New Roman" w:cs="Times New Roman"/>
                      <w:color w:val="auto"/>
                      <w:kern w:val="0"/>
                      <w:szCs w:val="21"/>
                      <w:highlight w:val="none"/>
                    </w:rPr>
                    <w:t>°+0.3</w:t>
                  </w: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kern w:val="0"/>
                      <w:szCs w:val="21"/>
                      <w:highlight w:val="none"/>
                      <w:lang w:val="en-US" w:eastAsia="zh-CN"/>
                    </w:rPr>
                    <w:t>3.49</w:t>
                  </w:r>
                  <w:r>
                    <w:rPr>
                      <w:rFonts w:hint="default" w:ascii="Times New Roman" w:hAnsi="Times New Roman" w:cs="Times New Roman"/>
                      <w:color w:val="auto"/>
                      <w:kern w:val="0"/>
                      <w:szCs w:val="21"/>
                      <w:highlight w:val="none"/>
                      <w:lang w:val="en-US" w:eastAsia="zh-CN"/>
                    </w:rPr>
                    <w:t xml:space="preserve"> </w:t>
                  </w:r>
                </w:p>
              </w:tc>
              <w:tc>
                <w:tcPr>
                  <w:tcW w:w="2297" w:type="dxa"/>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val="en-US" w:eastAsia="zh-CN"/>
                    </w:rPr>
                    <w:t>4.00</w:t>
                  </w:r>
                </w:p>
              </w:tc>
              <w:tc>
                <w:tcPr>
                  <w:tcW w:w="1123" w:type="dxa"/>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满足要求</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kern w:val="0"/>
                <w:sz w:val="28"/>
                <w:szCs w:val="28"/>
                <w:highlight w:val="none"/>
                <w:lang w:val="en-US" w:eastAsia="zh-CN"/>
              </w:rPr>
            </w:pPr>
            <w:r>
              <w:rPr>
                <w:rFonts w:hint="default" w:ascii="Times New Roman" w:hAnsi="Times New Roman" w:cs="Times New Roman"/>
                <w:color w:val="auto"/>
                <w:sz w:val="24"/>
                <w:highlight w:val="none"/>
              </w:rPr>
              <w:t>设备厂家和建设单位在进行</w:t>
            </w:r>
            <w:r>
              <w:rPr>
                <w:rFonts w:hint="default" w:ascii="Times New Roman" w:hAnsi="Times New Roman" w:cs="Times New Roman"/>
                <w:color w:val="auto"/>
                <w:sz w:val="24"/>
                <w:highlight w:val="none"/>
                <w:lang w:val="en-US" w:eastAsia="zh-CN"/>
              </w:rPr>
              <w:t>医用</w:t>
            </w:r>
            <w:r>
              <w:rPr>
                <w:rFonts w:hint="default" w:ascii="Times New Roman" w:hAnsi="Times New Roman" w:cs="Times New Roman"/>
                <w:color w:val="auto"/>
                <w:sz w:val="24"/>
                <w:highlight w:val="none"/>
              </w:rPr>
              <w:t>直线加速器安装时，必须严格按照既定的摆位方式进行安装。</w:t>
            </w:r>
            <w:r>
              <w:rPr>
                <w:rFonts w:hint="default" w:ascii="Times New Roman" w:hAnsi="Times New Roman" w:cs="Times New Roman"/>
                <w:color w:val="auto"/>
                <w:sz w:val="24"/>
                <w:highlight w:val="none"/>
                <w:lang w:val="en-US" w:eastAsia="zh-CN"/>
              </w:rPr>
              <w:t>由表11-9可知，2#</w:t>
            </w:r>
            <w:r>
              <w:rPr>
                <w:rFonts w:hint="default" w:ascii="Times New Roman" w:hAnsi="Times New Roman" w:cs="Times New Roman"/>
                <w:bCs/>
                <w:color w:val="auto"/>
                <w:kern w:val="2"/>
                <w:sz w:val="24"/>
                <w:highlight w:val="none"/>
                <w:lang w:val="en-US" w:eastAsia="zh-CN"/>
              </w:rPr>
              <w:t>加速器治疗室</w:t>
            </w:r>
            <w:r>
              <w:rPr>
                <w:rFonts w:hint="default" w:ascii="Times New Roman" w:hAnsi="Times New Roman" w:cs="Times New Roman"/>
                <w:color w:val="auto"/>
                <w:sz w:val="24"/>
                <w:highlight w:val="none"/>
                <w:lang w:val="en-US" w:eastAsia="zh-CN"/>
              </w:rPr>
              <w:t>的主屏蔽区设计宽度满足要求。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黑体" w:cs="Times New Roman"/>
                <w:b w:val="0"/>
                <w:bCs/>
                <w:color w:val="auto"/>
                <w:kern w:val="0"/>
                <w:sz w:val="24"/>
                <w:szCs w:val="24"/>
                <w:highlight w:val="none"/>
              </w:rPr>
            </w:pPr>
            <w:r>
              <w:rPr>
                <w:rFonts w:hint="default" w:ascii="Times New Roman" w:hAnsi="Times New Roman" w:eastAsia="黑体" w:cs="Times New Roman"/>
                <w:b w:val="0"/>
                <w:bCs/>
                <w:color w:val="auto"/>
                <w:kern w:val="0"/>
                <w:sz w:val="24"/>
                <w:szCs w:val="24"/>
                <w:highlight w:val="none"/>
                <w:lang w:val="en-US" w:eastAsia="zh-CN"/>
              </w:rPr>
              <w:t>2</w:t>
            </w:r>
            <w:r>
              <w:rPr>
                <w:rFonts w:hint="default" w:ascii="Times New Roman" w:hAnsi="Times New Roman" w:eastAsia="黑体" w:cs="Times New Roman"/>
                <w:b w:val="0"/>
                <w:bCs/>
                <w:color w:val="auto"/>
                <w:kern w:val="0"/>
                <w:sz w:val="24"/>
                <w:szCs w:val="24"/>
                <w:highlight w:val="none"/>
              </w:rPr>
              <w:t>、</w:t>
            </w:r>
            <w:r>
              <w:rPr>
                <w:rFonts w:hint="default" w:ascii="Times New Roman" w:hAnsi="Times New Roman" w:cs="Times New Roman"/>
                <w:b/>
                <w:bCs/>
                <w:color w:val="auto"/>
                <w:sz w:val="24"/>
                <w:highlight w:val="none"/>
                <w:lang w:val="en-US" w:eastAsia="zh-CN"/>
              </w:rPr>
              <w:t>2#</w:t>
            </w:r>
            <w:r>
              <w:rPr>
                <w:rFonts w:hint="default" w:ascii="Times New Roman" w:hAnsi="Times New Roman" w:eastAsia="黑体" w:cs="Times New Roman"/>
                <w:b w:val="0"/>
                <w:bCs/>
                <w:color w:val="auto"/>
                <w:kern w:val="0"/>
                <w:sz w:val="24"/>
                <w:szCs w:val="24"/>
                <w:highlight w:val="none"/>
              </w:rPr>
              <w:t>加速器</w:t>
            </w:r>
            <w:r>
              <w:rPr>
                <w:rFonts w:hint="default" w:ascii="Times New Roman" w:hAnsi="Times New Roman" w:eastAsia="黑体" w:cs="Times New Roman"/>
                <w:b w:val="0"/>
                <w:bCs/>
                <w:color w:val="auto"/>
                <w:kern w:val="0"/>
                <w:sz w:val="24"/>
                <w:szCs w:val="24"/>
                <w:highlight w:val="none"/>
                <w:lang w:val="en-US" w:eastAsia="zh-CN"/>
              </w:rPr>
              <w:t>治疗室</w:t>
            </w:r>
            <w:r>
              <w:rPr>
                <w:rFonts w:hint="default" w:ascii="Times New Roman" w:hAnsi="Times New Roman" w:eastAsia="黑体" w:cs="Times New Roman"/>
                <w:b w:val="0"/>
                <w:bCs/>
                <w:color w:val="auto"/>
                <w:kern w:val="0"/>
                <w:sz w:val="24"/>
                <w:szCs w:val="24"/>
                <w:highlight w:val="none"/>
              </w:rPr>
              <w:t>关注点设立及剂量率参考水平</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val="0"/>
                <w:color w:val="auto"/>
                <w:kern w:val="2"/>
                <w:sz w:val="24"/>
                <w:highlight w:val="none"/>
                <w:lang w:val="en-US" w:eastAsia="zh-CN"/>
              </w:rPr>
              <w:t>加速器治疗室</w:t>
            </w:r>
            <w:r>
              <w:rPr>
                <w:rFonts w:hint="default" w:ascii="Times New Roman" w:hAnsi="Times New Roman" w:cs="Times New Roman"/>
                <w:b/>
                <w:bCs w:val="0"/>
                <w:color w:val="auto"/>
                <w:sz w:val="24"/>
                <w:highlight w:val="none"/>
              </w:rPr>
              <w:t>关注</w:t>
            </w:r>
            <w:r>
              <w:rPr>
                <w:rFonts w:hint="default" w:ascii="Times New Roman" w:hAnsi="Times New Roman" w:cs="Times New Roman"/>
                <w:b/>
                <w:bCs/>
                <w:color w:val="auto"/>
                <w:sz w:val="24"/>
                <w:highlight w:val="none"/>
              </w:rPr>
              <w:t>点设立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根据《放射治疗机房的辐射屏蔽规范第2部分:电子直线加速器放射治疗机房》（GBZ/T201.2-201l），本项目</w:t>
            </w:r>
            <w:r>
              <w:rPr>
                <w:rFonts w:hint="default" w:ascii="Times New Roman" w:hAnsi="Times New Roman" w:cs="Times New Roman"/>
                <w:b w:val="0"/>
                <w:bCs/>
                <w:color w:val="auto"/>
                <w:kern w:val="0"/>
                <w:sz w:val="24"/>
                <w:szCs w:val="24"/>
                <w:highlight w:val="none"/>
                <w:lang w:val="en-US" w:eastAsia="zh-CN"/>
              </w:rPr>
              <w:t>2#</w:t>
            </w:r>
            <w:r>
              <w:rPr>
                <w:rFonts w:hint="default" w:ascii="Times New Roman" w:hAnsi="Times New Roman" w:cs="Times New Roman"/>
                <w:color w:val="auto"/>
                <w:sz w:val="24"/>
                <w:highlight w:val="none"/>
              </w:rPr>
              <w:t>建在地下负</w:t>
            </w:r>
            <w:r>
              <w:rPr>
                <w:rFonts w:hint="default" w:ascii="Times New Roman" w:hAnsi="Times New Roman" w:cs="Times New Roman"/>
                <w:color w:val="auto"/>
                <w:sz w:val="24"/>
                <w:highlight w:val="none"/>
                <w:lang w:val="en-US" w:eastAsia="zh-CN"/>
              </w:rPr>
              <w:t>三</w:t>
            </w:r>
            <w:r>
              <w:rPr>
                <w:rFonts w:hint="default" w:ascii="Times New Roman" w:hAnsi="Times New Roman" w:cs="Times New Roman"/>
                <w:color w:val="auto"/>
                <w:sz w:val="24"/>
                <w:highlight w:val="none"/>
              </w:rPr>
              <w:t>层，无地下负</w:t>
            </w:r>
            <w:r>
              <w:rPr>
                <w:rFonts w:hint="default" w:ascii="Times New Roman" w:hAnsi="Times New Roman" w:cs="Times New Roman"/>
                <w:color w:val="auto"/>
                <w:sz w:val="24"/>
                <w:highlight w:val="none"/>
                <w:lang w:val="en-US" w:eastAsia="zh-CN"/>
              </w:rPr>
              <w:t>四</w:t>
            </w:r>
            <w:r>
              <w:rPr>
                <w:rFonts w:hint="default" w:ascii="Times New Roman" w:hAnsi="Times New Roman" w:cs="Times New Roman"/>
                <w:color w:val="auto"/>
                <w:sz w:val="24"/>
                <w:highlight w:val="none"/>
              </w:rPr>
              <w:t>层，故</w:t>
            </w:r>
            <w:r>
              <w:rPr>
                <w:rFonts w:hint="default" w:ascii="Times New Roman" w:hAnsi="Times New Roman" w:cs="Times New Roman"/>
                <w:color w:val="auto"/>
                <w:sz w:val="24"/>
                <w:highlight w:val="none"/>
                <w:lang w:val="en-US" w:eastAsia="zh-CN"/>
              </w:rPr>
              <w:t>治疗室地下不作为</w:t>
            </w:r>
            <w:r>
              <w:rPr>
                <w:rFonts w:hint="default" w:ascii="Times New Roman" w:hAnsi="Times New Roman" w:cs="Times New Roman"/>
                <w:color w:val="auto"/>
                <w:sz w:val="24"/>
                <w:highlight w:val="none"/>
              </w:rPr>
              <w:t>关注点。</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A</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点：东北部主屏蔽墙外30cm处，3#；</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B</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点：西南部主屏蔽墙外30cm处，1#；</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C</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点：东北部副屏蔽墙外30cm处，3#；</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D</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点：西南部主屏蔽墙外30cm处，1#；</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E</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点：西北部副屏蔽墙外30cm处，共用辅助水冷机房；</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F</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点：迷路外墙外30cm处，控制室；</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G</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点：治疗室迷路入口处；</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H</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点：顶棚主防护墙上方30cm处，地下二层停车场；</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K</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点：迷路外墙外30cm处，注射抢救室；</w:t>
            </w: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63" w:beforeLines="20" w:beforeAutospacing="0" w:after="0" w:afterAutospacing="0"/>
              <w:ind w:left="0" w:right="0" w:firstLine="480" w:firstLineChars="200"/>
              <w:textAlignment w:val="auto"/>
              <w:rPr>
                <w:rFonts w:hint="default" w:ascii="Times New Roman" w:hAnsi="Times New Roman" w:cs="Times New Roman"/>
                <w:color w:val="auto"/>
                <w:kern w:val="2"/>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M</w:t>
            </w:r>
            <w:r>
              <w:rPr>
                <w:rFonts w:hint="default" w:ascii="Times New Roman" w:hAnsi="Times New Roman" w:cs="Times New Roman"/>
                <w:b w:val="0"/>
                <w:bCs w:val="0"/>
                <w:color w:val="auto"/>
                <w:kern w:val="2"/>
                <w:sz w:val="24"/>
                <w:szCs w:val="24"/>
                <w:highlight w:val="none"/>
                <w:vertAlign w:val="subscript"/>
                <w:lang w:val="en-US" w:eastAsia="zh-CN"/>
              </w:rPr>
              <w:t>2</w:t>
            </w:r>
            <w:r>
              <w:rPr>
                <w:rFonts w:hint="default" w:ascii="Times New Roman" w:hAnsi="Times New Roman" w:cs="Times New Roman"/>
                <w:b w:val="0"/>
                <w:bCs w:val="0"/>
                <w:color w:val="auto"/>
                <w:kern w:val="2"/>
                <w:sz w:val="24"/>
                <w:szCs w:val="24"/>
                <w:highlight w:val="none"/>
                <w:lang w:val="en-US" w:eastAsia="zh-CN"/>
              </w:rPr>
              <w:t>点：顶棚副防护墙上方30cm处，地下二层停车场。</w:t>
            </w:r>
          </w:p>
          <w:p>
            <w:pPr>
              <w:keepNext w:val="0"/>
              <w:keepLines w:val="0"/>
              <w:suppressLineNumbers w:val="0"/>
              <w:spacing w:before="0" w:beforeAutospacing="0" w:after="0" w:afterAutospacing="0" w:line="360" w:lineRule="auto"/>
              <w:ind w:left="420" w:leftChars="200" w:right="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（2）剂量率参考水平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w:t>
            </w:r>
            <w:r>
              <w:rPr>
                <w:rFonts w:hint="default" w:ascii="Times New Roman" w:hAnsi="Times New Roman" w:eastAsia="宋体" w:cs="Times New Roman"/>
                <w:color w:val="auto"/>
                <w:sz w:val="24"/>
                <w:highlight w:val="none"/>
              </w:rPr>
              <w:t>《电子直线加速器放射治疗放射防护要求》（GBZ126-2011），</w:t>
            </w:r>
            <w:r>
              <w:rPr>
                <w:rFonts w:hint="default" w:ascii="Times New Roman" w:hAnsi="Times New Roman" w:cs="Times New Roman"/>
                <w:color w:val="auto"/>
                <w:sz w:val="24"/>
                <w:highlight w:val="none"/>
                <w:lang w:val="en-US" w:eastAsia="zh-CN"/>
              </w:rPr>
              <w:t>加速器迷路门处、控制室和加速器机房墙体外30cm处，周围剂量当量率不大于</w:t>
            </w:r>
            <w:r>
              <w:rPr>
                <w:rFonts w:hint="default" w:ascii="Times New Roman" w:hAnsi="Times New Roman" w:eastAsia="宋体" w:cs="Times New Roman"/>
                <w:color w:val="auto"/>
                <w:sz w:val="24"/>
                <w:highlight w:val="none"/>
              </w:rPr>
              <w:t>2.5</w:t>
            </w:r>
            <w:r>
              <w:rPr>
                <w:rFonts w:hint="default" w:ascii="Times New Roman" w:hAnsi="Times New Roman" w:cs="Times New Roman"/>
                <w:color w:val="auto"/>
                <w:sz w:val="24"/>
                <w:highlight w:val="none"/>
              </w:rPr>
              <w:t>μ</w:t>
            </w:r>
            <w:r>
              <w:rPr>
                <w:rFonts w:hint="default" w:ascii="Times New Roman" w:hAnsi="Times New Roman" w:eastAsia="宋体" w:cs="Times New Roman"/>
                <w:color w:val="auto"/>
                <w:sz w:val="24"/>
                <w:highlight w:val="none"/>
              </w:rPr>
              <w:t>Sv h</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故本次15MV医用直线加速器治疗室</w:t>
            </w:r>
            <w:r>
              <w:rPr>
                <w:rFonts w:hint="default" w:ascii="Times New Roman" w:hAnsi="Times New Roman" w:eastAsia="宋体" w:cs="Times New Roman"/>
                <w:color w:val="auto"/>
                <w:sz w:val="24"/>
                <w:highlight w:val="none"/>
              </w:rPr>
              <w:t>外各关注点的剂量率参考控制水平</w:t>
            </w:r>
            <w:r>
              <w:rPr>
                <w:rFonts w:hint="default" w:ascii="Times New Roman" w:hAnsi="Times New Roman" w:cs="Times New Roman"/>
                <w:color w:val="auto"/>
                <w:sz w:val="24"/>
                <w:highlight w:val="none"/>
                <w:lang w:val="en-US" w:eastAsia="zh-CN"/>
              </w:rPr>
              <w:t>均为2.5</w:t>
            </w:r>
            <w:r>
              <w:rPr>
                <w:rFonts w:hint="default" w:ascii="Times New Roman" w:hAnsi="Times New Roman" w:cs="Times New Roman"/>
                <w:color w:val="auto"/>
                <w:sz w:val="24"/>
                <w:highlight w:val="none"/>
              </w:rPr>
              <w:t>μSv/h</w:t>
            </w:r>
            <w:r>
              <w:rPr>
                <w:rFonts w:hint="default" w:ascii="Times New Roman" w:hAnsi="Times New Roman" w:cs="Times New Roman"/>
                <w:color w:val="auto"/>
                <w:sz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outlineLvl w:val="9"/>
              <w:rPr>
                <w:rFonts w:hint="default" w:ascii="Times New Roman" w:hAnsi="Times New Roman" w:eastAsia="黑体" w:cs="Times New Roman"/>
                <w:b w:val="0"/>
                <w:bCs/>
                <w:color w:val="auto"/>
                <w:kern w:val="0"/>
                <w:sz w:val="24"/>
                <w:szCs w:val="24"/>
                <w:highlight w:val="none"/>
                <w:lang w:val="en-US" w:eastAsia="zh-CN"/>
              </w:rPr>
            </w:pPr>
            <w:r>
              <w:rPr>
                <w:rFonts w:hint="default" w:ascii="Times New Roman" w:hAnsi="Times New Roman" w:eastAsia="黑体" w:cs="Times New Roman"/>
                <w:b w:val="0"/>
                <w:bCs/>
                <w:color w:val="auto"/>
                <w:kern w:val="0"/>
                <w:sz w:val="24"/>
                <w:szCs w:val="24"/>
                <w:highlight w:val="none"/>
                <w:lang w:val="en-US" w:eastAsia="zh-CN"/>
              </w:rPr>
              <w:t>3</w:t>
            </w:r>
            <w:r>
              <w:rPr>
                <w:rFonts w:hint="default" w:ascii="Times New Roman" w:hAnsi="Times New Roman" w:eastAsia="黑体" w:cs="Times New Roman"/>
                <w:b w:val="0"/>
                <w:bCs/>
                <w:color w:val="auto"/>
                <w:kern w:val="0"/>
                <w:sz w:val="24"/>
                <w:szCs w:val="24"/>
                <w:highlight w:val="none"/>
              </w:rPr>
              <w:t>、</w:t>
            </w:r>
            <w:r>
              <w:rPr>
                <w:rFonts w:hint="default" w:ascii="Times New Roman" w:hAnsi="Times New Roman" w:eastAsia="黑体" w:cs="Times New Roman"/>
                <w:b w:val="0"/>
                <w:bCs/>
                <w:color w:val="auto"/>
                <w:kern w:val="0"/>
                <w:sz w:val="24"/>
                <w:szCs w:val="24"/>
                <w:highlight w:val="none"/>
                <w:lang w:val="en-US" w:eastAsia="zh-CN"/>
              </w:rPr>
              <w:t>医用直线加速器屏蔽设计</w:t>
            </w:r>
          </w:p>
          <w:p>
            <w:pPr>
              <w:keepNext w:val="0"/>
              <w:keepLines w:val="0"/>
              <w:suppressLineNumbers w:val="0"/>
              <w:tabs>
                <w:tab w:val="left" w:pos="6300"/>
              </w:tabs>
              <w:autoSpaceDN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color w:val="auto"/>
                <w:sz w:val="24"/>
                <w:szCs w:val="24"/>
                <w:highlight w:val="none"/>
                <w:lang w:val="en-US" w:eastAsia="zh-CN"/>
              </w:rPr>
              <w:t>2#东北部</w:t>
            </w:r>
            <w:r>
              <w:rPr>
                <w:rFonts w:hint="default" w:ascii="Times New Roman" w:hAnsi="Times New Roman" w:cs="Times New Roman"/>
                <w:color w:val="auto"/>
                <w:sz w:val="24"/>
                <w:szCs w:val="24"/>
                <w:highlight w:val="none"/>
              </w:rPr>
              <w:t>主屏蔽墙厚</w:t>
            </w:r>
            <w:r>
              <w:rPr>
                <w:rFonts w:hint="default" w:ascii="Times New Roman" w:hAnsi="Times New Roman" w:cs="Times New Roman"/>
                <w:color w:val="auto"/>
                <w:sz w:val="24"/>
                <w:szCs w:val="24"/>
                <w:highlight w:val="none"/>
                <w:lang w:val="en-US" w:eastAsia="zh-CN"/>
              </w:rPr>
              <w:t>3000</w:t>
            </w:r>
            <w:r>
              <w:rPr>
                <w:rFonts w:hint="default" w:ascii="Times New Roman" w:hAnsi="Times New Roman" w:cs="Times New Roman"/>
                <w:color w:val="auto"/>
                <w:sz w:val="24"/>
                <w:szCs w:val="24"/>
                <w:highlight w:val="none"/>
              </w:rPr>
              <w:t>mm、宽4</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00mm，次屏蔽墙厚</w:t>
            </w:r>
            <w:r>
              <w:rPr>
                <w:rFonts w:hint="default" w:ascii="Times New Roman" w:hAnsi="Times New Roman" w:cs="Times New Roman"/>
                <w:color w:val="auto"/>
                <w:sz w:val="24"/>
                <w:szCs w:val="24"/>
                <w:highlight w:val="none"/>
                <w:lang w:val="en-US" w:eastAsia="zh-CN"/>
              </w:rPr>
              <w:t>1800</w:t>
            </w:r>
            <w:r>
              <w:rPr>
                <w:rFonts w:hint="default" w:ascii="Times New Roman" w:hAnsi="Times New Roman" w:cs="Times New Roman"/>
                <w:color w:val="auto"/>
                <w:sz w:val="24"/>
                <w:szCs w:val="24"/>
                <w:highlight w:val="none"/>
              </w:rPr>
              <w:t>mm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西南部</w:t>
            </w:r>
            <w:r>
              <w:rPr>
                <w:rFonts w:hint="default" w:ascii="Times New Roman" w:hAnsi="Times New Roman" w:cs="Times New Roman"/>
                <w:color w:val="auto"/>
                <w:sz w:val="24"/>
                <w:szCs w:val="24"/>
                <w:highlight w:val="none"/>
              </w:rPr>
              <w:t>主屏蔽墙厚</w:t>
            </w:r>
            <w:r>
              <w:rPr>
                <w:rFonts w:hint="default" w:ascii="Times New Roman" w:hAnsi="Times New Roman" w:cs="Times New Roman"/>
                <w:color w:val="auto"/>
                <w:sz w:val="24"/>
                <w:szCs w:val="24"/>
                <w:highlight w:val="none"/>
                <w:lang w:val="en-US" w:eastAsia="zh-CN"/>
              </w:rPr>
              <w:t>3000</w:t>
            </w:r>
            <w:r>
              <w:rPr>
                <w:rFonts w:hint="default" w:ascii="Times New Roman" w:hAnsi="Times New Roman" w:cs="Times New Roman"/>
                <w:color w:val="auto"/>
                <w:sz w:val="24"/>
                <w:szCs w:val="24"/>
                <w:highlight w:val="none"/>
              </w:rPr>
              <w:t>mm、宽4</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00mm，次屏蔽墙厚</w:t>
            </w:r>
            <w:r>
              <w:rPr>
                <w:rFonts w:hint="default" w:ascii="Times New Roman" w:hAnsi="Times New Roman" w:cs="Times New Roman"/>
                <w:color w:val="auto"/>
                <w:sz w:val="24"/>
                <w:szCs w:val="24"/>
                <w:highlight w:val="none"/>
                <w:lang w:val="en-US" w:eastAsia="zh-CN"/>
              </w:rPr>
              <w:t>1800</w:t>
            </w:r>
            <w:r>
              <w:rPr>
                <w:rFonts w:hint="default" w:ascii="Times New Roman" w:hAnsi="Times New Roman" w:cs="Times New Roman"/>
                <w:color w:val="auto"/>
                <w:sz w:val="24"/>
                <w:szCs w:val="24"/>
                <w:highlight w:val="none"/>
              </w:rPr>
              <w:t>mm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西北部墙厚1</w:t>
            </w:r>
            <w:r>
              <w:rPr>
                <w:rFonts w:hint="eastAsia" w:ascii="Times New Roman" w:hAnsi="Times New Roman" w:cs="Times New Roman"/>
                <w:color w:val="auto"/>
                <w:sz w:val="24"/>
                <w:szCs w:val="24"/>
                <w:highlight w:val="none"/>
                <w:lang w:val="en-US" w:eastAsia="zh-CN"/>
              </w:rPr>
              <w:t>750</w:t>
            </w:r>
            <w:r>
              <w:rPr>
                <w:rFonts w:hint="default" w:ascii="Times New Roman" w:hAnsi="Times New Roman" w:cs="Times New Roman"/>
                <w:color w:val="auto"/>
                <w:sz w:val="24"/>
                <w:szCs w:val="24"/>
                <w:highlight w:val="none"/>
              </w:rPr>
              <w:t>mm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顶部主屏蔽墙厚</w:t>
            </w:r>
            <w:r>
              <w:rPr>
                <w:rFonts w:hint="default" w:ascii="Times New Roman" w:hAnsi="Times New Roman" w:cs="Times New Roman"/>
                <w:color w:val="auto"/>
                <w:sz w:val="24"/>
                <w:szCs w:val="24"/>
                <w:highlight w:val="none"/>
                <w:lang w:val="en-US" w:eastAsia="zh-CN"/>
              </w:rPr>
              <w:t>3000</w:t>
            </w:r>
            <w:r>
              <w:rPr>
                <w:rFonts w:hint="default" w:ascii="Times New Roman" w:hAnsi="Times New Roman" w:cs="Times New Roman"/>
                <w:color w:val="auto"/>
                <w:sz w:val="24"/>
                <w:szCs w:val="24"/>
                <w:highlight w:val="none"/>
              </w:rPr>
              <w:t>mm、宽4000mm，次屏蔽墙厚</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750</w:t>
            </w:r>
            <w:r>
              <w:rPr>
                <w:rFonts w:hint="default" w:ascii="Times New Roman" w:hAnsi="Times New Roman" w:cs="Times New Roman"/>
                <w:color w:val="auto"/>
                <w:sz w:val="24"/>
                <w:szCs w:val="24"/>
                <w:highlight w:val="none"/>
              </w:rPr>
              <w:t>mm；防护门为</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mm铅当量</w:t>
            </w:r>
            <w:r>
              <w:rPr>
                <w:rFonts w:hint="default" w:ascii="Times New Roman" w:hAnsi="Times New Roman" w:cs="Times New Roman"/>
                <w:color w:val="auto"/>
                <w:sz w:val="24"/>
                <w:szCs w:val="24"/>
                <w:highlight w:val="none"/>
                <w:lang w:eastAsia="zh-CN"/>
              </w:rPr>
              <w:t>。</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highlight w:val="none"/>
                <w:lang w:val="en-US" w:eastAsia="zh-CN"/>
              </w:rPr>
            </w:pPr>
            <w:r>
              <w:rPr>
                <w:rFonts w:hint="default" w:ascii="Times New Roman" w:hAnsi="Times New Roman" w:cs="Times New Roman"/>
                <w:color w:val="auto"/>
                <w:kern w:val="2"/>
                <w:highlight w:val="none"/>
              </w:rPr>
              <w:drawing>
                <wp:anchor distT="0" distB="0" distL="114300" distR="114300" simplePos="0" relativeHeight="251829248" behindDoc="1" locked="0" layoutInCell="1" allowOverlap="1">
                  <wp:simplePos x="0" y="0"/>
                  <wp:positionH relativeFrom="column">
                    <wp:posOffset>493395</wp:posOffset>
                  </wp:positionH>
                  <wp:positionV relativeFrom="paragraph">
                    <wp:posOffset>565785</wp:posOffset>
                  </wp:positionV>
                  <wp:extent cx="2024380" cy="2152650"/>
                  <wp:effectExtent l="0" t="0" r="13970" b="0"/>
                  <wp:wrapTight wrapText="bothSides">
                    <wp:wrapPolygon>
                      <wp:start x="0" y="0"/>
                      <wp:lineTo x="0" y="21409"/>
                      <wp:lineTo x="21343" y="21409"/>
                      <wp:lineTo x="21343" y="0"/>
                      <wp:lineTo x="0" y="0"/>
                    </wp:wrapPolygon>
                  </wp:wrapTight>
                  <wp:docPr id="6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2"/>
                          <pic:cNvPicPr>
                            <a:picLocks noChangeAspect="1"/>
                          </pic:cNvPicPr>
                        </pic:nvPicPr>
                        <pic:blipFill>
                          <a:blip r:embed="rId75"/>
                          <a:stretch>
                            <a:fillRect/>
                          </a:stretch>
                        </pic:blipFill>
                        <pic:spPr>
                          <a:xfrm>
                            <a:off x="0" y="0"/>
                            <a:ext cx="2024380" cy="2152650"/>
                          </a:xfrm>
                          <a:prstGeom prst="rect">
                            <a:avLst/>
                          </a:prstGeom>
                          <a:noFill/>
                          <a:ln>
                            <a:noFill/>
                          </a:ln>
                        </pic:spPr>
                      </pic:pic>
                    </a:graphicData>
                  </a:graphic>
                </wp:anchor>
              </w:drawing>
            </w:r>
            <w:r>
              <w:rPr>
                <w:rFonts w:hint="default" w:ascii="Times New Roman" w:hAnsi="Times New Roman" w:cs="Times New Roman"/>
                <w:b w:val="0"/>
                <w:bCs w:val="0"/>
                <w:color w:val="auto"/>
                <w:kern w:val="2"/>
                <w:sz w:val="24"/>
                <w:highlight w:val="none"/>
                <w:lang w:val="en-US" w:eastAsia="zh-CN"/>
              </w:rPr>
              <w:t>X射线能量为6/10/15MV，最大输出剂量率为24Gy/min，电子线能量为4~22MeV，最大照射野40cm×40cm，SAD=100cm。</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color w:val="auto"/>
                <w:kern w:val="2"/>
                <w:highlight w:val="none"/>
              </w:rPr>
              <w:drawing>
                <wp:anchor distT="0" distB="0" distL="114300" distR="114300" simplePos="0" relativeHeight="251830272" behindDoc="1" locked="0" layoutInCell="1" allowOverlap="1">
                  <wp:simplePos x="0" y="0"/>
                  <wp:positionH relativeFrom="column">
                    <wp:posOffset>2882900</wp:posOffset>
                  </wp:positionH>
                  <wp:positionV relativeFrom="paragraph">
                    <wp:posOffset>208915</wp:posOffset>
                  </wp:positionV>
                  <wp:extent cx="2295525" cy="1572260"/>
                  <wp:effectExtent l="0" t="0" r="9525" b="8890"/>
                  <wp:wrapTight wrapText="bothSides">
                    <wp:wrapPolygon>
                      <wp:start x="0" y="0"/>
                      <wp:lineTo x="0" y="21460"/>
                      <wp:lineTo x="21510" y="21460"/>
                      <wp:lineTo x="21510" y="0"/>
                      <wp:lineTo x="0" y="0"/>
                    </wp:wrapPolygon>
                  </wp:wrapTight>
                  <wp:docPr id="7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3"/>
                          <pic:cNvPicPr>
                            <a:picLocks noChangeAspect="1"/>
                          </pic:cNvPicPr>
                        </pic:nvPicPr>
                        <pic:blipFill>
                          <a:blip r:embed="rId76"/>
                          <a:stretch>
                            <a:fillRect/>
                          </a:stretch>
                        </pic:blipFill>
                        <pic:spPr>
                          <a:xfrm>
                            <a:off x="0" y="0"/>
                            <a:ext cx="2295525" cy="1572260"/>
                          </a:xfrm>
                          <a:prstGeom prst="rect">
                            <a:avLst/>
                          </a:prstGeom>
                          <a:noFill/>
                          <a:ln>
                            <a:noFill/>
                          </a:ln>
                        </pic:spPr>
                      </pic:pic>
                    </a:graphicData>
                  </a:graphic>
                </wp:anchor>
              </w:drawing>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val="0"/>
                <w:bCs w:val="0"/>
                <w:color w:val="auto"/>
                <w:kern w:val="2"/>
                <w:sz w:val="24"/>
                <w:szCs w:val="24"/>
                <w:highlight w:val="none"/>
                <w:lang w:val="en-US" w:eastAsia="zh-CN"/>
              </w:rPr>
            </w:pPr>
          </w:p>
          <w:p>
            <w:pPr>
              <w:pStyle w:val="2"/>
              <w:keepNext w:val="0"/>
              <w:keepLines w:val="0"/>
              <w:suppressLineNumbers w:val="0"/>
              <w:spacing w:before="0" w:beforeAutospacing="0" w:after="0" w:afterAutospacing="0" w:line="360" w:lineRule="auto"/>
              <w:ind w:left="0" w:right="0"/>
              <w:rPr>
                <w:rFonts w:hint="default" w:ascii="Times New Roman" w:hAnsi="Times New Roman" w:cs="Times New Roman"/>
                <w:b w:val="0"/>
                <w:bCs w:val="0"/>
                <w:color w:val="auto"/>
                <w:kern w:val="2"/>
                <w:sz w:val="24"/>
                <w:szCs w:val="24"/>
                <w:highlight w:val="none"/>
                <w:lang w:val="en-US" w:eastAsia="zh-CN"/>
              </w:rPr>
            </w:pPr>
          </w:p>
          <w:p>
            <w:pPr>
              <w:pStyle w:val="2"/>
              <w:keepNext w:val="0"/>
              <w:keepLines w:val="0"/>
              <w:numPr>
                <w:ilvl w:val="0"/>
                <w:numId w:val="0"/>
              </w:numPr>
              <w:suppressLineNumbers w:val="0"/>
              <w:spacing w:before="0" w:beforeAutospacing="0" w:after="0" w:afterAutospacing="0" w:line="360" w:lineRule="auto"/>
              <w:ind w:left="0" w:right="0" w:firstLine="1265" w:firstLineChars="600"/>
              <w:jc w:val="both"/>
              <w:rPr>
                <w:rFonts w:hint="default" w:ascii="Times New Roman" w:hAnsi="Times New Roman" w:cs="Times New Roman"/>
                <w:b/>
                <w:bCs/>
                <w:color w:val="auto"/>
                <w:kern w:val="2"/>
                <w:sz w:val="21"/>
                <w:szCs w:val="21"/>
                <w:highlight w:val="none"/>
                <w:lang w:val="en-US" w:eastAsia="zh-CN"/>
              </w:rPr>
            </w:pPr>
          </w:p>
          <w:p>
            <w:pPr>
              <w:pStyle w:val="2"/>
              <w:keepNext w:val="0"/>
              <w:keepLines w:val="0"/>
              <w:numPr>
                <w:ilvl w:val="0"/>
                <w:numId w:val="0"/>
              </w:numPr>
              <w:suppressLineNumbers w:val="0"/>
              <w:spacing w:before="0" w:beforeAutospacing="0" w:after="0" w:afterAutospacing="0" w:line="360" w:lineRule="auto"/>
              <w:ind w:left="0" w:right="0" w:firstLine="1265" w:firstLineChars="600"/>
              <w:jc w:val="both"/>
              <w:rPr>
                <w:rFonts w:hint="default" w:ascii="Times New Roman" w:hAnsi="Times New Roman" w:cs="Times New Roman"/>
                <w:b/>
                <w:bCs/>
                <w:color w:val="auto"/>
                <w:kern w:val="2"/>
                <w:sz w:val="21"/>
                <w:szCs w:val="21"/>
                <w:highlight w:val="none"/>
                <w:lang w:val="en-US" w:eastAsia="zh-CN"/>
              </w:rPr>
            </w:pPr>
          </w:p>
          <w:p>
            <w:pPr>
              <w:pStyle w:val="2"/>
              <w:keepNext w:val="0"/>
              <w:keepLines w:val="0"/>
              <w:numPr>
                <w:ilvl w:val="0"/>
                <w:numId w:val="0"/>
              </w:numPr>
              <w:suppressLineNumbers w:val="0"/>
              <w:spacing w:before="0" w:beforeAutospacing="0" w:after="0" w:afterAutospacing="0" w:line="360" w:lineRule="auto"/>
              <w:ind w:left="0" w:right="0" w:firstLine="1265" w:firstLineChars="600"/>
              <w:jc w:val="both"/>
              <w:rPr>
                <w:rFonts w:hint="default" w:ascii="Times New Roman" w:hAnsi="Times New Roman" w:cs="Times New Roman"/>
                <w:b/>
                <w:bCs/>
                <w:color w:val="auto"/>
                <w:kern w:val="2"/>
                <w:sz w:val="24"/>
                <w:szCs w:val="24"/>
                <w:highlight w:val="none"/>
                <w:lang w:val="en-US" w:eastAsia="zh-CN"/>
              </w:rPr>
            </w:pPr>
            <w:r>
              <w:rPr>
                <w:rFonts w:hint="default" w:ascii="Times New Roman" w:hAnsi="Times New Roman" w:cs="Times New Roman"/>
                <w:b/>
                <w:bCs/>
                <w:color w:val="auto"/>
                <w:kern w:val="2"/>
                <w:sz w:val="21"/>
                <w:szCs w:val="21"/>
                <w:highlight w:val="none"/>
                <w:lang w:val="en-US" w:eastAsia="zh-CN"/>
              </w:rPr>
              <w:t>图11-4  2#平面参考布点图</w:t>
            </w:r>
            <w:r>
              <w:rPr>
                <w:rFonts w:hint="eastAsia" w:ascii="Times New Roman" w:hAnsi="Times New Roman" w:cs="Times New Roman"/>
                <w:b/>
                <w:bCs/>
                <w:color w:val="auto"/>
                <w:kern w:val="2"/>
                <w:sz w:val="21"/>
                <w:szCs w:val="21"/>
                <w:highlight w:val="none"/>
                <w:lang w:val="en-US" w:eastAsia="zh-CN"/>
              </w:rPr>
              <w:t xml:space="preserve">               </w:t>
            </w:r>
            <w:r>
              <w:rPr>
                <w:rFonts w:hint="default" w:ascii="Times New Roman" w:hAnsi="Times New Roman" w:cs="Times New Roman"/>
                <w:b/>
                <w:bCs/>
                <w:color w:val="auto"/>
                <w:kern w:val="2"/>
                <w:sz w:val="21"/>
                <w:szCs w:val="21"/>
                <w:highlight w:val="none"/>
                <w:lang w:val="en-US" w:eastAsia="zh-CN"/>
              </w:rPr>
              <w:t>图11-5 2#剖面参考布点图</w:t>
            </w:r>
          </w:p>
          <w:p>
            <w:pPr>
              <w:pStyle w:val="2"/>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kern w:val="2"/>
                <w:sz w:val="24"/>
                <w:szCs w:val="24"/>
                <w:highlight w:val="none"/>
                <w:lang w:val="en-US" w:eastAsia="zh-CN"/>
              </w:rPr>
            </w:pPr>
            <w:r>
              <w:rPr>
                <w:rFonts w:hint="default" w:ascii="Times New Roman" w:hAnsi="Times New Roman" w:cs="Times New Roman"/>
                <w:b/>
                <w:bCs/>
                <w:color w:val="auto"/>
                <w:kern w:val="2"/>
                <w:sz w:val="24"/>
                <w:szCs w:val="24"/>
                <w:highlight w:val="none"/>
                <w:lang w:val="en-US" w:eastAsia="zh-CN"/>
              </w:rPr>
              <w:t>（2）屏蔽墙体计算方法</w:t>
            </w:r>
          </w:p>
          <w:p>
            <w:pPr>
              <w:pStyle w:val="2"/>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计算方法选用《放射治疗机房的辐射屏蔽规范第3部分：</w:t>
            </w:r>
            <w:r>
              <w:rPr>
                <w:rFonts w:hint="default" w:ascii="Times New Roman" w:hAnsi="Times New Roman" w:eastAsia="宋体" w:cs="Times New Roman"/>
                <w:b w:val="0"/>
                <w:bCs w:val="0"/>
                <w:color w:val="auto"/>
                <w:kern w:val="2"/>
                <w:sz w:val="24"/>
                <w:szCs w:val="24"/>
                <w:highlight w:val="none"/>
                <w:lang w:val="en-US" w:eastAsia="zh-CN"/>
              </w:rPr>
              <w:t>γ</w:t>
            </w:r>
            <w:r>
              <w:rPr>
                <w:rFonts w:hint="default" w:ascii="Times New Roman" w:hAnsi="Times New Roman" w:cs="Times New Roman"/>
                <w:b w:val="0"/>
                <w:bCs w:val="0"/>
                <w:color w:val="auto"/>
                <w:kern w:val="2"/>
                <w:sz w:val="24"/>
                <w:szCs w:val="24"/>
                <w:highlight w:val="none"/>
                <w:lang w:val="en-US" w:eastAsia="zh-CN"/>
              </w:rPr>
              <w:t>射线源放射治疗机房》（GBZ/T201.3-2014）附录F</w:t>
            </w:r>
            <w:r>
              <w:rPr>
                <w:rFonts w:hint="eastAsia" w:ascii="Times New Roman" w:hAnsi="Times New Roman" w:cs="Times New Roman"/>
                <w:b w:val="0"/>
                <w:bCs w:val="0"/>
                <w:color w:val="auto"/>
                <w:kern w:val="2"/>
                <w:sz w:val="24"/>
                <w:szCs w:val="24"/>
                <w:highlight w:val="none"/>
                <w:lang w:val="en-US" w:eastAsia="zh-CN"/>
              </w:rPr>
              <w:t>后装治疗室</w:t>
            </w:r>
            <w:r>
              <w:rPr>
                <w:rFonts w:hint="default" w:ascii="Times New Roman" w:hAnsi="Times New Roman" w:cs="Times New Roman"/>
                <w:b w:val="0"/>
                <w:bCs w:val="0"/>
                <w:color w:val="auto"/>
                <w:kern w:val="2"/>
                <w:sz w:val="24"/>
                <w:szCs w:val="24"/>
                <w:highlight w:val="none"/>
                <w:lang w:val="en-US" w:eastAsia="zh-CN"/>
              </w:rPr>
              <w:t>屏蔽计算方法和《建设项目职业病危害放射防护评价规范  第2部分：放射治疗装置》（GBZ/T220.2-2009）附录D放射治疗机房屏蔽墙及防护门的一般核算方法。</w:t>
            </w:r>
          </w:p>
          <w:p>
            <w:pPr>
              <w:pStyle w:val="2"/>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kern w:val="2"/>
                <w:sz w:val="24"/>
                <w:szCs w:val="24"/>
                <w:highlight w:val="none"/>
                <w:lang w:val="en-US" w:eastAsia="zh-CN"/>
              </w:rPr>
            </w:pPr>
            <w:r>
              <w:rPr>
                <w:rFonts w:hint="default" w:ascii="Times New Roman" w:hAnsi="Times New Roman" w:cs="Times New Roman"/>
                <w:b/>
                <w:bCs/>
                <w:color w:val="auto"/>
                <w:kern w:val="2"/>
                <w:sz w:val="24"/>
                <w:szCs w:val="24"/>
                <w:highlight w:val="none"/>
                <w:lang w:val="en-US" w:eastAsia="zh-CN"/>
              </w:rPr>
              <w:t xml:space="preserve">   </w:t>
            </w:r>
            <w:r>
              <w:rPr>
                <w:rFonts w:hint="default" w:ascii="Times New Roman" w:hAnsi="Times New Roman" w:eastAsia="黑体" w:cs="Times New Roman"/>
                <w:b w:val="0"/>
                <w:bCs w:val="0"/>
                <w:color w:val="auto"/>
                <w:kern w:val="2"/>
                <w:sz w:val="24"/>
                <w:szCs w:val="24"/>
                <w:highlight w:val="none"/>
                <w:lang w:val="en-US" w:eastAsia="zh-CN"/>
              </w:rPr>
              <w:t xml:space="preserve"> 主射线和漏射线计算方法：</w:t>
            </w:r>
          </w:p>
          <w:p>
            <w:pPr>
              <w:keepNext w:val="0"/>
              <w:keepLines w:val="0"/>
              <w:widowControl/>
              <w:numPr>
                <w:ilvl w:val="0"/>
                <w:numId w:val="0"/>
              </w:numPr>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position w:val="-34"/>
                <w:szCs w:val="21"/>
                <w:highlight w:val="none"/>
              </w:rPr>
              <w:object>
                <v:shape id="_x0000_i1049" o:spt="75" type="#_x0000_t75" style="height:33.15pt;width:56.3pt;" o:ole="t" filled="f" o:preferrelative="t" stroked="f" coordsize="21600,21600">
                  <v:path/>
                  <v:fill on="f" focussize="0,0"/>
                  <v:stroke on="f"/>
                  <v:imagedata r:id="rId78" o:title=""/>
                  <o:lock v:ext="edit" aspectratio="t"/>
                  <w10:wrap type="none"/>
                  <w10:anchorlock/>
                </v:shape>
                <o:OLEObject Type="Embed" ProgID="Equation.3" ShapeID="_x0000_i1049" DrawAspect="Content" ObjectID="_1468075749" r:id="rId77">
                  <o:LockedField>false</o:LockedField>
                </o:OLEObject>
              </w:objec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 w:val="24"/>
                <w:szCs w:val="24"/>
                <w:highlight w:val="none"/>
              </w:rPr>
              <w:t>.(式11-</w:t>
            </w:r>
            <w:r>
              <w:rPr>
                <w:rFonts w:hint="default" w:ascii="Times New Roman" w:hAnsi="Times New Roman"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position w:val="-12"/>
                <w:szCs w:val="21"/>
                <w:highlight w:val="none"/>
              </w:rPr>
              <w:object>
                <v:shape id="_x0000_i1050" o:spt="75" type="#_x0000_t75" style="height:19pt;width:167.1pt;" o:ole="t" filled="f" o:preferrelative="t" stroked="f" coordsize="21600,21600">
                  <v:path/>
                  <v:fill on="f" focussize="0,0"/>
                  <v:stroke on="f"/>
                  <v:imagedata r:id="rId80" o:title=""/>
                  <o:lock v:ext="edit" aspectratio="t"/>
                  <w10:wrap type="none"/>
                  <w10:anchorlock/>
                </v:shape>
                <o:OLEObject Type="Embed" ProgID="Equation.3" ShapeID="_x0000_i1050" DrawAspect="Content" ObjectID="_1468075750" r:id="rId79">
                  <o:LockedField>false</o:LockedField>
                </o:OLEObject>
              </w:objec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 w:val="24"/>
                <w:szCs w:val="24"/>
                <w:highlight w:val="none"/>
              </w:rPr>
              <w:t>(式11-</w:t>
            </w: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position w:val="-10"/>
                <w:szCs w:val="21"/>
                <w:highlight w:val="none"/>
              </w:rPr>
              <w:object>
                <v:shape id="_x0000_i1051" o:spt="75" type="#_x0000_t75" style="height:16.15pt;width:65.55pt;" o:ole="t" filled="f" o:preferrelative="t" stroked="f" coordsize="21600,21600">
                  <v:path/>
                  <v:fill on="f" focussize="0,0"/>
                  <v:stroke on="f" joinstyle="miter"/>
                  <v:imagedata r:id="rId33" o:title=""/>
                  <o:lock v:ext="edit" aspectratio="t"/>
                  <w10:wrap type="none"/>
                  <w10:anchorlock/>
                </v:shape>
                <o:OLEObject Type="Embed" ProgID="Equation.3" ShapeID="_x0000_i1051" DrawAspect="Content" ObjectID="_1468075751" r:id="rId81">
                  <o:LockedField>false</o:LockedField>
                </o:OLEObject>
              </w:objec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4"/>
                <w:szCs w:val="24"/>
                <w:highlight w:val="none"/>
              </w:rPr>
              <w:t>(式11-</w:t>
            </w:r>
            <w:r>
              <w:rPr>
                <w:rFonts w:hint="default" w:ascii="Times New Roman" w:hAnsi="Times New Roman"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B—屏蔽透射因子；</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cs="Times New Roman"/>
                <w:i/>
                <w:iCs/>
                <w:color w:val="auto"/>
                <w:sz w:val="21"/>
                <w:szCs w:val="21"/>
                <w:highlight w:val="none"/>
                <w:vertAlign w:val="subscript"/>
                <w:lang w:val="en-US" w:eastAsia="zh-CN"/>
              </w:rPr>
              <w:t>c</w:t>
            </w:r>
            <w:r>
              <w:rPr>
                <w:rFonts w:hint="default" w:ascii="Times New Roman" w:hAnsi="Times New Roman" w:eastAsia="宋体" w:cs="Times New Roman"/>
                <w:color w:val="auto"/>
                <w:sz w:val="21"/>
                <w:szCs w:val="21"/>
                <w:highlight w:val="none"/>
              </w:rPr>
              <w:t>—剂量率参考控制水平，μSv/h；</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i/>
                <w:iCs/>
                <w:color w:val="auto"/>
                <w:sz w:val="21"/>
                <w:szCs w:val="21"/>
                <w:highlight w:val="none"/>
                <w:vertAlign w:val="subscript"/>
              </w:rPr>
              <w:t>0</w:t>
            </w:r>
            <w:r>
              <w:rPr>
                <w:rFonts w:hint="default" w:ascii="Times New Roman" w:hAnsi="Times New Roman" w:eastAsia="宋体" w:cs="Times New Roman"/>
                <w:color w:val="auto"/>
                <w:sz w:val="21"/>
                <w:szCs w:val="21"/>
                <w:highlight w:val="none"/>
              </w:rPr>
              <w:t>—加速器有用线束中心轴上距产生治疗X射线束的靶1m处的常用最高剂量率，μSv.m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/h；本项目为</w:t>
            </w:r>
            <w:r>
              <w:rPr>
                <w:rFonts w:hint="default" w:ascii="Times New Roman" w:hAnsi="Times New Roman" w:cs="Times New Roman"/>
                <w:color w:val="auto"/>
                <w:sz w:val="21"/>
                <w:szCs w:val="21"/>
                <w:highlight w:val="none"/>
                <w:lang w:val="en-US" w:eastAsia="zh-CN"/>
              </w:rPr>
              <w:t>1.44</w:t>
            </w:r>
            <w:r>
              <w:rPr>
                <w:rFonts w:hint="default" w:ascii="Times New Roman" w:hAnsi="Times New Roman" w:eastAsia="宋体"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r>
              <w:rPr>
                <w:rFonts w:hint="default" w:ascii="Times New Roman" w:hAnsi="Times New Roman" w:eastAsia="宋体" w:cs="Times New Roman"/>
                <w:color w:val="auto"/>
                <w:sz w:val="21"/>
                <w:szCs w:val="21"/>
                <w:highlight w:val="none"/>
              </w:rPr>
              <w:t>μSv.m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/h（最高剂量率为</w:t>
            </w:r>
            <w:r>
              <w:rPr>
                <w:rFonts w:hint="default" w:ascii="Times New Roman" w:hAnsi="Times New Roman"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Gy/min）；</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R—辐射源点（靶点）至关注点的距离，m；</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f—有用束；</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θ—斜射角，即入射线与屏蔽物质平面的垂直线之间的夹角；</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TVL</w:t>
            </w:r>
            <w:r>
              <w:rPr>
                <w:rFonts w:hint="default" w:ascii="Times New Roman" w:hAnsi="Times New Roman" w:eastAsia="宋体" w:cs="Times New Roman"/>
                <w:color w:val="auto"/>
                <w:sz w:val="21"/>
                <w:szCs w:val="21"/>
                <w:highlight w:val="none"/>
                <w:vertAlign w:val="subscript"/>
              </w:rPr>
              <w:t>1</w:t>
            </w:r>
            <w:r>
              <w:rPr>
                <w:rFonts w:hint="default" w:ascii="Times New Roman" w:hAnsi="Times New Roman" w:eastAsia="宋体" w:cs="Times New Roman"/>
                <w:color w:val="auto"/>
                <w:sz w:val="21"/>
                <w:szCs w:val="21"/>
                <w:highlight w:val="none"/>
              </w:rPr>
              <w:t>（cm）和TVL（cm）—辐射在屏蔽物质中的第一个什值层厚度和平衡什值层厚度；</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Xe—墙体有效屏蔽厚度，cm；</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r>
              <w:rPr>
                <w:rFonts w:hint="default" w:ascii="Times New Roman" w:hAnsi="Times New Roman" w:eastAsia="宋体" w:cs="Times New Roman"/>
                <w:color w:val="auto"/>
                <w:sz w:val="21"/>
                <w:szCs w:val="21"/>
                <w:highlight w:val="none"/>
                <w:vertAlign w:val="subscript"/>
              </w:rPr>
              <w:t>1</w:t>
            </w:r>
            <w:r>
              <w:rPr>
                <w:rFonts w:hint="default" w:ascii="Times New Roman" w:hAnsi="Times New Roman" w:eastAsia="宋体" w:cs="Times New Roman"/>
                <w:color w:val="auto"/>
                <w:sz w:val="21"/>
                <w:szCs w:val="21"/>
                <w:highlight w:val="none"/>
              </w:rPr>
              <w:t>—墙体屏蔽厚度，cm。</w:t>
            </w:r>
          </w:p>
          <w:p>
            <w:pPr>
              <w:pStyle w:val="2"/>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 xml:space="preserve">  </w:t>
            </w:r>
            <w:r>
              <w:rPr>
                <w:rFonts w:hint="default" w:ascii="Times New Roman" w:hAnsi="Times New Roman" w:cs="Times New Roman"/>
                <w:b/>
                <w:bCs/>
                <w:color w:val="auto"/>
                <w:kern w:val="2"/>
                <w:sz w:val="24"/>
                <w:szCs w:val="24"/>
                <w:highlight w:val="none"/>
                <w:lang w:val="en-US" w:eastAsia="zh-CN"/>
              </w:rPr>
              <w:t xml:space="preserve">  </w:t>
            </w:r>
            <w:r>
              <w:rPr>
                <w:rFonts w:hint="default" w:ascii="Times New Roman" w:hAnsi="Times New Roman" w:eastAsia="黑体" w:cs="Times New Roman"/>
                <w:b w:val="0"/>
                <w:bCs w:val="0"/>
                <w:color w:val="auto"/>
                <w:kern w:val="2"/>
                <w:sz w:val="24"/>
                <w:szCs w:val="24"/>
                <w:highlight w:val="none"/>
                <w:lang w:val="en-US" w:eastAsia="zh-CN"/>
              </w:rPr>
              <w:t>散射线计算方法：</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根据GBZ/201.2-2011，对于与主屏蔽区相连的次屏蔽区应考虑泄漏辐射和患者的一次散射辐射的复合作用，分别计算其所需屏蔽厚度，取较厚者。泄漏辐射所需厚度按照式11-</w:t>
            </w:r>
            <w:r>
              <w:rPr>
                <w:rFonts w:hint="default" w:ascii="Times New Roman" w:hAnsi="Times New Roman"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、11-</w:t>
            </w: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、11-</w:t>
            </w:r>
            <w:r>
              <w:rPr>
                <w:rFonts w:hint="default" w:ascii="Times New Roman" w:hAnsi="Times New Roman"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进行计算，散射辐射的透射因子按式11-</w:t>
            </w:r>
            <w:r>
              <w:rPr>
                <w:rFonts w:hint="default" w:ascii="Times New Roman" w:hAnsi="Times New Roman"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进行计算</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（TVL</w:t>
            </w:r>
            <w:r>
              <w:rPr>
                <w:rFonts w:hint="default" w:ascii="Times New Roman" w:hAnsi="Times New Roman" w:eastAsia="宋体" w:cs="Times New Roman"/>
                <w:color w:val="auto"/>
                <w:sz w:val="24"/>
                <w:szCs w:val="24"/>
                <w:highlight w:val="none"/>
                <w:vertAlign w:val="subscript"/>
              </w:rPr>
              <w:t>l</w:t>
            </w:r>
            <w:r>
              <w:rPr>
                <w:rFonts w:hint="default" w:ascii="Times New Roman" w:hAnsi="Times New Roman" w:eastAsia="宋体" w:cs="Times New Roman"/>
                <w:color w:val="auto"/>
                <w:sz w:val="24"/>
                <w:szCs w:val="24"/>
                <w:highlight w:val="none"/>
              </w:rPr>
              <w:t>（cm）和TVL（cm）为辐射在屏蔽物质中的第一个什值层厚度和平衡什值层厚度。</w:t>
            </w:r>
          </w:p>
          <w:p>
            <w:pPr>
              <w:keepNext w:val="0"/>
              <w:keepLines w:val="0"/>
              <w:suppressLineNumbers w:val="0"/>
              <w:spacing w:before="0" w:beforeAutospacing="0" w:after="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2"/>
                <w:sz w:val="24"/>
                <w:szCs w:val="24"/>
                <w:highlight w:val="none"/>
              </w:rPr>
              <w:object>
                <v:shape id="_x0000_i1052" o:spt="75" type="#_x0000_t75" style="height:34.6pt;width:116.35pt;" o:ole="t" filled="f" o:preferrelative="t" stroked="f" coordsize="21600,21600">
                  <v:path/>
                  <v:fill on="f" focussize="0,0"/>
                  <v:stroke on="f"/>
                  <v:imagedata r:id="rId83" o:title=""/>
                  <o:lock v:ext="edit" aspectratio="t"/>
                  <w10:wrap type="none"/>
                  <w10:anchorlock/>
                </v:shape>
                <o:OLEObject Type="Embed" ProgID="Equation.3" ShapeID="_x0000_i1052" DrawAspect="Content" ObjectID="_1468075752" r:id="rId82">
                  <o:LockedField>false</o:LockedField>
                </o:OLEObject>
              </w:object>
            </w:r>
            <w:r>
              <w:rPr>
                <w:rFonts w:hint="default" w:ascii="Times New Roman" w:hAnsi="Times New Roman" w:eastAsia="宋体" w:cs="Times New Roman"/>
                <w:color w:val="auto"/>
                <w:sz w:val="24"/>
                <w:szCs w:val="24"/>
                <w:highlight w:val="none"/>
              </w:rPr>
              <w:t>....................................(式11-</w:t>
            </w:r>
            <w:r>
              <w:rPr>
                <w:rFonts w:hint="default" w:ascii="Times New Roman" w:hAnsi="Times New Roman"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rPr>
              <w:object>
                <v:shape id="_x0000_i1053" o:spt="75" type="#_x0000_t75" style="height:19.4pt;width:19.4pt;" o:ole="t" filled="f" o:preferrelative="t" stroked="f" coordsize="21600,21600">
                  <v:path/>
                  <v:fill on="f" focussize="0,0"/>
                  <v:stroke on="f" joinstyle="miter"/>
                  <v:imagedata r:id="rId37" o:title=""/>
                  <o:lock v:ext="edit" aspectratio="t"/>
                  <w10:wrap type="none"/>
                  <w10:anchorlock/>
                </v:shape>
                <o:OLEObject Type="Embed" ProgID="Equation.3" ShapeID="_x0000_i1053" DrawAspect="Content" ObjectID="_1468075753" r:id="rId84">
                  <o:LockedField>false</o:LockedField>
                </o:OLEObject>
              </w:object>
            </w:r>
            <w:r>
              <w:rPr>
                <w:rFonts w:hint="default" w:ascii="Times New Roman" w:hAnsi="Times New Roman" w:eastAsia="宋体" w:cs="Times New Roman"/>
                <w:color w:val="auto"/>
                <w:sz w:val="24"/>
                <w:szCs w:val="24"/>
                <w:highlight w:val="none"/>
              </w:rPr>
              <w:t>—患者400cm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 xml:space="preserve"> 面积上垂直入射X射线散射至距其1m（关注点方向）处的剂量比例，又称400cm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 xml:space="preserve"> 面积上的散射因子；</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F—治疗装置有用束在等中心处的最大治疗野面积，cm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eastAsia="zh-CN"/>
              </w:rPr>
              <w:t>。</w:t>
            </w:r>
          </w:p>
          <w:p>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屏蔽墙体校核参数选取</w:t>
            </w:r>
          </w:p>
          <w:p>
            <w:pPr>
              <w:keepNext w:val="0"/>
              <w:keepLines w:val="0"/>
              <w:widowControl/>
              <w:suppressLineNumbers w:val="0"/>
              <w:spacing w:before="0" w:beforeAutospacing="0" w:after="0" w:afterAutospacing="0" w:line="360" w:lineRule="auto"/>
              <w:ind w:left="0" w:right="0" w:firstLine="42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根据医院提供的资料，每台设备每天治疗工作量为60人，每周5d，每年工作50周，患者治疗照射出束时间为2~3min，年治疗出束时间为</w:t>
            </w:r>
            <w:r>
              <w:rPr>
                <w:rFonts w:hint="eastAsia" w:ascii="Times New Roman" w:hAnsi="Times New Roman" w:cs="Times New Roman"/>
                <w:b w:val="0"/>
                <w:bCs w:val="0"/>
                <w:color w:val="auto"/>
                <w:sz w:val="24"/>
                <w:szCs w:val="24"/>
                <w:highlight w:val="none"/>
                <w:lang w:val="en-US" w:eastAsia="zh-CN"/>
              </w:rPr>
              <w:t>750</w:t>
            </w:r>
            <w:r>
              <w:rPr>
                <w:rFonts w:hint="default" w:ascii="Times New Roman" w:hAnsi="Times New Roman" w:cs="Times New Roman"/>
                <w:b w:val="0"/>
                <w:bCs w:val="0"/>
                <w:color w:val="auto"/>
                <w:sz w:val="24"/>
                <w:szCs w:val="24"/>
                <w:highlight w:val="none"/>
                <w:lang w:val="en-US" w:eastAsia="zh-CN"/>
              </w:rPr>
              <w:t>h。对于主防护墙，屏蔽防护计算只考虑主射线照射情况下的防护；对于次防护墙，则需考虑漏射线和病人一次散射情况下的防护。对于考虑漏射和散射的复合屏蔽区，以瞬时剂量率控制水平的一半（即1.25μSv/h）作为导出剂量率参考控制水平进行估算。对于迷路入口（G</w:t>
            </w:r>
            <w:r>
              <w:rPr>
                <w:rFonts w:hint="default" w:ascii="Times New Roman" w:hAnsi="Times New Roman" w:cs="Times New Roman"/>
                <w:b w:val="0"/>
                <w:bCs w:val="0"/>
                <w:color w:val="auto"/>
                <w:sz w:val="24"/>
                <w:szCs w:val="24"/>
                <w:highlight w:val="none"/>
                <w:vertAlign w:val="subscript"/>
                <w:lang w:val="en-US" w:eastAsia="zh-CN"/>
              </w:rPr>
              <w:t>2</w:t>
            </w:r>
            <w:r>
              <w:rPr>
                <w:rFonts w:hint="default" w:ascii="Times New Roman" w:hAnsi="Times New Roman" w:cs="Times New Roman"/>
                <w:b w:val="0"/>
                <w:bCs w:val="0"/>
                <w:color w:val="auto"/>
                <w:sz w:val="24"/>
                <w:szCs w:val="24"/>
                <w:highlight w:val="none"/>
                <w:lang w:val="en-US" w:eastAsia="zh-CN"/>
              </w:rPr>
              <w:t>）以2.5μSv/h剂量率控制时，穿过迷路内墙在入口处的泄露辐射剂量率应小于其1/4，取0.625μSv/h作为导出剂量率参考控制水平进行估算。</w:t>
            </w:r>
          </w:p>
          <w:p>
            <w:pPr>
              <w:pStyle w:val="2"/>
              <w:keepNext w:val="0"/>
              <w:keepLines w:val="0"/>
              <w:suppressLineNumbers w:val="0"/>
              <w:spacing w:before="0" w:beforeAutospacing="0" w:after="0" w:afterAutospacing="0"/>
              <w:ind w:left="0" w:right="0" w:firstLine="1897" w:firstLineChars="900"/>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表11-10  15MV X射线束在混凝土中TVL值表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720"/>
              <w:gridCol w:w="680"/>
              <w:gridCol w:w="740"/>
              <w:gridCol w:w="660"/>
              <w:gridCol w:w="1440"/>
              <w:gridCol w:w="140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900" w:type="dxa"/>
                  <w:tcBorders>
                    <w:top w:val="single" w:color="auto" w:sz="12" w:space="0"/>
                    <w:left w:val="nil"/>
                    <w:bottom w:val="single" w:color="000000"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射线束</w:t>
                  </w:r>
                </w:p>
              </w:tc>
              <w:tc>
                <w:tcPr>
                  <w:tcW w:w="1400" w:type="dxa"/>
                  <w:gridSpan w:val="2"/>
                  <w:tcBorders>
                    <w:top w:val="single" w:color="auto" w:sz="12" w:space="0"/>
                    <w:bottom w:val="single" w:color="000000"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有用束</w:t>
                  </w:r>
                </w:p>
              </w:tc>
              <w:tc>
                <w:tcPr>
                  <w:tcW w:w="1400" w:type="dxa"/>
                  <w:gridSpan w:val="2"/>
                  <w:tcBorders>
                    <w:top w:val="single" w:color="auto" w:sz="12" w:space="0"/>
                    <w:bottom w:val="single" w:color="000000"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泄露辐射</w:t>
                  </w:r>
                </w:p>
              </w:tc>
              <w:tc>
                <w:tcPr>
                  <w:tcW w:w="1440" w:type="dxa"/>
                  <w:tcBorders>
                    <w:top w:val="single" w:color="auto" w:sz="12" w:space="0"/>
                    <w:bottom w:val="single" w:color="000000"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30</w:t>
                  </w:r>
                  <w:r>
                    <w:rPr>
                      <w:rFonts w:hint="default" w:ascii="Times New Roman" w:hAnsi="Times New Roman" w:cs="Times New Roman"/>
                      <w:b w:val="0"/>
                      <w:bCs w:val="0"/>
                      <w:color w:val="auto"/>
                      <w:kern w:val="2"/>
                      <w:sz w:val="21"/>
                      <w:szCs w:val="21"/>
                      <w:highlight w:val="none"/>
                      <w:vertAlign w:val="superscript"/>
                      <w:lang w:val="en-US" w:eastAsia="zh-CN"/>
                    </w:rPr>
                    <w:t>o</w:t>
                  </w:r>
                  <w:r>
                    <w:rPr>
                      <w:rFonts w:hint="default" w:ascii="Times New Roman" w:hAnsi="Times New Roman" w:cs="Times New Roman"/>
                      <w:b w:val="0"/>
                      <w:bCs w:val="0"/>
                      <w:color w:val="auto"/>
                      <w:kern w:val="2"/>
                      <w:sz w:val="21"/>
                      <w:szCs w:val="21"/>
                      <w:highlight w:val="none"/>
                      <w:vertAlign w:val="baseline"/>
                      <w:lang w:val="en-US" w:eastAsia="zh-CN"/>
                    </w:rPr>
                    <w:t>人体散射</w:t>
                  </w:r>
                </w:p>
              </w:tc>
              <w:tc>
                <w:tcPr>
                  <w:tcW w:w="1400" w:type="dxa"/>
                  <w:tcBorders>
                    <w:top w:val="single" w:color="auto" w:sz="12" w:space="0"/>
                    <w:bottom w:val="single" w:color="000000"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60</w:t>
                  </w:r>
                  <w:r>
                    <w:rPr>
                      <w:rFonts w:hint="default" w:ascii="Times New Roman" w:hAnsi="Times New Roman" w:cs="Times New Roman"/>
                      <w:b w:val="0"/>
                      <w:bCs w:val="0"/>
                      <w:color w:val="auto"/>
                      <w:kern w:val="2"/>
                      <w:sz w:val="21"/>
                      <w:szCs w:val="21"/>
                      <w:highlight w:val="none"/>
                      <w:vertAlign w:val="superscript"/>
                      <w:lang w:val="en-US" w:eastAsia="zh-CN"/>
                    </w:rPr>
                    <w:t>o</w:t>
                  </w:r>
                  <w:r>
                    <w:rPr>
                      <w:rFonts w:hint="default" w:ascii="Times New Roman" w:hAnsi="Times New Roman" w:cs="Times New Roman"/>
                      <w:b w:val="0"/>
                      <w:bCs w:val="0"/>
                      <w:color w:val="auto"/>
                      <w:kern w:val="2"/>
                      <w:sz w:val="21"/>
                      <w:szCs w:val="21"/>
                      <w:highlight w:val="none"/>
                      <w:vertAlign w:val="baseline"/>
                      <w:lang w:val="en-US" w:eastAsia="zh-CN"/>
                    </w:rPr>
                    <w:t>人体散射</w:t>
                  </w:r>
                </w:p>
              </w:tc>
              <w:tc>
                <w:tcPr>
                  <w:tcW w:w="1356" w:type="dxa"/>
                  <w:tcBorders>
                    <w:top w:val="single" w:color="auto" w:sz="12" w:space="0"/>
                    <w:bottom w:val="single" w:color="000000" w:sz="12" w:space="0"/>
                    <w:right w:val="nil"/>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90</w:t>
                  </w:r>
                  <w:r>
                    <w:rPr>
                      <w:rFonts w:hint="default" w:ascii="Times New Roman" w:hAnsi="Times New Roman" w:cs="Times New Roman"/>
                      <w:b w:val="0"/>
                      <w:bCs w:val="0"/>
                      <w:color w:val="auto"/>
                      <w:kern w:val="2"/>
                      <w:sz w:val="21"/>
                      <w:szCs w:val="21"/>
                      <w:highlight w:val="none"/>
                      <w:vertAlign w:val="superscript"/>
                      <w:lang w:val="en-US" w:eastAsia="zh-CN"/>
                    </w:rPr>
                    <w:t>o</w:t>
                  </w:r>
                  <w:r>
                    <w:rPr>
                      <w:rFonts w:hint="default" w:ascii="Times New Roman" w:hAnsi="Times New Roman" w:cs="Times New Roman"/>
                      <w:b w:val="0"/>
                      <w:bCs w:val="0"/>
                      <w:color w:val="auto"/>
                      <w:kern w:val="2"/>
                      <w:sz w:val="21"/>
                      <w:szCs w:val="21"/>
                      <w:highlight w:val="none"/>
                      <w:vertAlign w:val="baseline"/>
                      <w:lang w:val="en-US" w:eastAsia="zh-CN"/>
                    </w:rPr>
                    <w:t>人体散射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0" w:type="dxa"/>
                  <w:tcBorders>
                    <w:top w:val="single" w:color="000000" w:sz="12" w:space="0"/>
                    <w:left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十分之一衰减厚度</w:t>
                  </w:r>
                </w:p>
              </w:tc>
              <w:tc>
                <w:tcPr>
                  <w:tcW w:w="720" w:type="dxa"/>
                  <w:tcBorders>
                    <w:top w:val="single" w:color="000000"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TVL</w:t>
                  </w:r>
                  <w:r>
                    <w:rPr>
                      <w:rFonts w:hint="default" w:ascii="Times New Roman" w:hAnsi="Times New Roman" w:cs="Times New Roman"/>
                      <w:b w:val="0"/>
                      <w:bCs w:val="0"/>
                      <w:color w:val="auto"/>
                      <w:kern w:val="2"/>
                      <w:sz w:val="21"/>
                      <w:szCs w:val="21"/>
                      <w:highlight w:val="none"/>
                      <w:vertAlign w:val="subscript"/>
                      <w:lang w:val="en-US" w:eastAsia="zh-CN"/>
                    </w:rPr>
                    <w:t>1</w:t>
                  </w:r>
                </w:p>
              </w:tc>
              <w:tc>
                <w:tcPr>
                  <w:tcW w:w="680" w:type="dxa"/>
                  <w:tcBorders>
                    <w:top w:val="single" w:color="000000"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TVL</w:t>
                  </w:r>
                </w:p>
              </w:tc>
              <w:tc>
                <w:tcPr>
                  <w:tcW w:w="740" w:type="dxa"/>
                  <w:tcBorders>
                    <w:top w:val="single" w:color="000000"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TVL</w:t>
                  </w:r>
                  <w:r>
                    <w:rPr>
                      <w:rFonts w:hint="default" w:ascii="Times New Roman" w:hAnsi="Times New Roman" w:cs="Times New Roman"/>
                      <w:b w:val="0"/>
                      <w:bCs w:val="0"/>
                      <w:color w:val="auto"/>
                      <w:kern w:val="2"/>
                      <w:sz w:val="21"/>
                      <w:szCs w:val="21"/>
                      <w:highlight w:val="none"/>
                      <w:vertAlign w:val="subscript"/>
                      <w:lang w:val="en-US" w:eastAsia="zh-CN"/>
                    </w:rPr>
                    <w:t>1</w:t>
                  </w:r>
                </w:p>
              </w:tc>
              <w:tc>
                <w:tcPr>
                  <w:tcW w:w="660" w:type="dxa"/>
                  <w:tcBorders>
                    <w:top w:val="single" w:color="000000"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TVL</w:t>
                  </w:r>
                </w:p>
              </w:tc>
              <w:tc>
                <w:tcPr>
                  <w:tcW w:w="1440" w:type="dxa"/>
                  <w:tcBorders>
                    <w:top w:val="single" w:color="000000" w:sz="12" w:space="0"/>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TVL</w:t>
                  </w:r>
                </w:p>
              </w:tc>
              <w:tc>
                <w:tcPr>
                  <w:tcW w:w="1400" w:type="dxa"/>
                  <w:tcBorders>
                    <w:top w:val="single" w:color="000000" w:sz="12" w:space="0"/>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TVL</w:t>
                  </w:r>
                </w:p>
              </w:tc>
              <w:tc>
                <w:tcPr>
                  <w:tcW w:w="1356" w:type="dxa"/>
                  <w:tcBorders>
                    <w:top w:val="single" w:color="000000" w:sz="12" w:space="0"/>
                    <w:right w:val="nil"/>
                  </w:tcBorders>
                  <w:noWrap w:val="0"/>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TVL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tcBorders>
                    <w:left w:val="nil"/>
                    <w:bottom w:val="single" w:color="auto"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砼厚度，cm</w:t>
                  </w:r>
                </w:p>
              </w:tc>
              <w:tc>
                <w:tcPr>
                  <w:tcW w:w="720" w:type="dxa"/>
                  <w:tcBorders>
                    <w:bottom w:val="single" w:color="auto"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44</w:t>
                  </w:r>
                </w:p>
              </w:tc>
              <w:tc>
                <w:tcPr>
                  <w:tcW w:w="680" w:type="dxa"/>
                  <w:tcBorders>
                    <w:bottom w:val="single" w:color="auto"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41</w:t>
                  </w:r>
                </w:p>
              </w:tc>
              <w:tc>
                <w:tcPr>
                  <w:tcW w:w="740" w:type="dxa"/>
                  <w:tcBorders>
                    <w:bottom w:val="single" w:color="auto"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36</w:t>
                  </w:r>
                </w:p>
              </w:tc>
              <w:tc>
                <w:tcPr>
                  <w:tcW w:w="660" w:type="dxa"/>
                  <w:tcBorders>
                    <w:bottom w:val="single" w:color="auto"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33</w:t>
                  </w:r>
                </w:p>
              </w:tc>
              <w:tc>
                <w:tcPr>
                  <w:tcW w:w="1440" w:type="dxa"/>
                  <w:tcBorders>
                    <w:bottom w:val="single" w:color="auto"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31</w:t>
                  </w:r>
                </w:p>
              </w:tc>
              <w:tc>
                <w:tcPr>
                  <w:tcW w:w="1400" w:type="dxa"/>
                  <w:tcBorders>
                    <w:bottom w:val="single" w:color="auto" w:sz="12" w:space="0"/>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26</w:t>
                  </w:r>
                </w:p>
              </w:tc>
              <w:tc>
                <w:tcPr>
                  <w:tcW w:w="1356" w:type="dxa"/>
                  <w:tcBorders>
                    <w:bottom w:val="single" w:color="auto" w:sz="12" w:space="0"/>
                    <w:right w:val="nil"/>
                  </w:tcBorders>
                  <w:noWrap w:val="0"/>
                  <w:vAlign w:val="top"/>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23</w:t>
                  </w:r>
                </w:p>
              </w:tc>
            </w:tr>
          </w:tbl>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kern w:val="2"/>
                <w:sz w:val="21"/>
                <w:szCs w:val="21"/>
                <w:highlight w:val="none"/>
                <w:lang w:val="en-US" w:eastAsia="zh-CN"/>
              </w:rPr>
              <w:t xml:space="preserve">表11-11  </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主屏蔽区、</w:t>
            </w:r>
            <w:r>
              <w:rPr>
                <w:rFonts w:hint="default" w:ascii="Times New Roman" w:hAnsi="Times New Roman" w:cs="Times New Roman"/>
                <w:b/>
                <w:bCs/>
                <w:color w:val="auto"/>
                <w:sz w:val="21"/>
                <w:szCs w:val="21"/>
                <w:highlight w:val="none"/>
                <w:lang w:eastAsia="zh-CN"/>
              </w:rPr>
              <w:t>迷路</w:t>
            </w:r>
            <w:r>
              <w:rPr>
                <w:rFonts w:hint="default" w:ascii="Times New Roman" w:hAnsi="Times New Roman" w:cs="Times New Roman"/>
                <w:b/>
                <w:bCs/>
                <w:color w:val="auto"/>
                <w:sz w:val="21"/>
                <w:szCs w:val="21"/>
                <w:highlight w:val="none"/>
              </w:rPr>
              <w:t>内墙和外墙厚度校核</w:t>
            </w:r>
          </w:p>
          <w:tbl>
            <w:tblPr>
              <w:tblStyle w:val="17"/>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1880"/>
              <w:gridCol w:w="1745"/>
              <w:gridCol w:w="1576"/>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blHeader/>
                <w:jc w:val="center"/>
              </w:trPr>
              <w:tc>
                <w:tcPr>
                  <w:tcW w:w="1881" w:type="dxa"/>
                  <w:tcBorders>
                    <w:top w:val="single" w:color="auto" w:sz="12" w:space="0"/>
                    <w:left w:val="nil"/>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参数</w:t>
                  </w:r>
                </w:p>
              </w:tc>
              <w:tc>
                <w:tcPr>
                  <w:tcW w:w="1880"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主屏蔽区</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（墙体A</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vertAlign w:val="baseline"/>
                      <w:lang w:val="en-US" w:eastAsia="zh-CN"/>
                    </w:rPr>
                    <w:t>、</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c>
                <w:tcPr>
                  <w:tcW w:w="1745"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主屏蔽区</w:t>
                  </w:r>
                </w:p>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（屋顶H</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c>
                <w:tcPr>
                  <w:tcW w:w="1576"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迷路</w:t>
                  </w:r>
                  <w:r>
                    <w:rPr>
                      <w:rFonts w:hint="default" w:ascii="Times New Roman" w:hAnsi="Times New Roman" w:cs="Times New Roman"/>
                      <w:color w:val="auto"/>
                      <w:szCs w:val="21"/>
                      <w:highlight w:val="none"/>
                    </w:rPr>
                    <w:t>外墙</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c>
                <w:tcPr>
                  <w:tcW w:w="1796" w:type="dxa"/>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迷路</w:t>
                  </w:r>
                  <w:r>
                    <w:rPr>
                      <w:rFonts w:hint="default" w:ascii="Times New Roman" w:hAnsi="Times New Roman" w:cs="Times New Roman"/>
                      <w:color w:val="auto"/>
                      <w:szCs w:val="21"/>
                      <w:highlight w:val="none"/>
                    </w:rPr>
                    <w:t>内墙</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81" w:type="dxa"/>
                  <w:tcBorders>
                    <w:top w:val="single" w:color="auto" w:sz="12" w:space="0"/>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He (μSv/h)</w:t>
                  </w:r>
                </w:p>
              </w:tc>
              <w:tc>
                <w:tcPr>
                  <w:tcW w:w="1880"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c>
                <w:tcPr>
                  <w:tcW w:w="1745" w:type="dxa"/>
                  <w:tcBorders>
                    <w:top w:val="single" w:color="auto" w:sz="12"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2.5</w:t>
                  </w:r>
                </w:p>
              </w:tc>
              <w:tc>
                <w:tcPr>
                  <w:tcW w:w="1576"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c>
                <w:tcPr>
                  <w:tcW w:w="1796" w:type="dxa"/>
                  <w:tcBorders>
                    <w:top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R（m）</w:t>
                  </w:r>
                </w:p>
              </w:tc>
              <w:tc>
                <w:tcPr>
                  <w:tcW w:w="18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6.</w:t>
                  </w:r>
                  <w:r>
                    <w:rPr>
                      <w:rFonts w:hint="default" w:ascii="Times New Roman" w:hAnsi="Times New Roman" w:cs="Times New Roman"/>
                      <w:color w:val="auto"/>
                      <w:szCs w:val="21"/>
                      <w:highlight w:val="none"/>
                      <w:lang w:val="en-US" w:eastAsia="zh-CN"/>
                    </w:rPr>
                    <w:t>7</w:t>
                  </w:r>
                </w:p>
              </w:tc>
              <w:tc>
                <w:tcPr>
                  <w:tcW w:w="17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lang w:val="en-US" w:eastAsia="zh-CN"/>
                    </w:rPr>
                    <w:t>5.7</w:t>
                  </w:r>
                </w:p>
              </w:tc>
              <w:tc>
                <w:tcPr>
                  <w:tcW w:w="1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9.7</w:t>
                  </w:r>
                </w:p>
              </w:tc>
              <w:tc>
                <w:tcPr>
                  <w:tcW w:w="1796"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i/>
                      <w:iCs/>
                      <w:color w:val="auto"/>
                      <w:szCs w:val="21"/>
                      <w:highlight w:val="none"/>
                      <w:vertAlign w:val="subscript"/>
                    </w:rPr>
                    <w:t>0</w:t>
                  </w:r>
                  <w:r>
                    <w:rPr>
                      <w:rFonts w:hint="default" w:ascii="Times New Roman" w:hAnsi="Times New Roman" w:cs="Times New Roman"/>
                      <w:color w:val="auto"/>
                      <w:szCs w:val="21"/>
                      <w:highlight w:val="none"/>
                    </w:rPr>
                    <w:t>(μSv.m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/h)</w:t>
                  </w:r>
                </w:p>
              </w:tc>
              <w:tc>
                <w:tcPr>
                  <w:tcW w:w="18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c>
                <w:tcPr>
                  <w:tcW w:w="17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c>
                <w:tcPr>
                  <w:tcW w:w="157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c>
                <w:tcPr>
                  <w:tcW w:w="1796"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p>
              </w:tc>
              <w:tc>
                <w:tcPr>
                  <w:tcW w:w="188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1</w:t>
                  </w:r>
                </w:p>
              </w:tc>
              <w:tc>
                <w:tcPr>
                  <w:tcW w:w="157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796"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18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7.91</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8</w:t>
                  </w:r>
                </w:p>
              </w:tc>
              <w:tc>
                <w:tcPr>
                  <w:tcW w:w="17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1"/>
                      <w:szCs w:val="21"/>
                      <w:highlight w:val="none"/>
                      <w:lang w:val="en-US" w:eastAsia="zh-CN"/>
                    </w:rPr>
                    <w:t>5.64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8</w:t>
                  </w:r>
                </w:p>
              </w:tc>
              <w:tc>
                <w:tcPr>
                  <w:tcW w:w="157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1.64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-4</w:t>
                  </w:r>
                </w:p>
              </w:tc>
              <w:tc>
                <w:tcPr>
                  <w:tcW w:w="1796"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1.88</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TVL1（cm）</w:t>
                  </w:r>
                </w:p>
              </w:tc>
              <w:tc>
                <w:tcPr>
                  <w:tcW w:w="18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lang w:val="en-US" w:eastAsia="zh-CN"/>
                    </w:rPr>
                    <w:t>4</w:t>
                  </w:r>
                </w:p>
              </w:tc>
              <w:tc>
                <w:tcPr>
                  <w:tcW w:w="17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lang w:val="en-US" w:eastAsia="zh-CN"/>
                    </w:rPr>
                    <w:t>4</w:t>
                  </w:r>
                </w:p>
              </w:tc>
              <w:tc>
                <w:tcPr>
                  <w:tcW w:w="1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1796"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TVL（cm）</w:t>
                  </w:r>
                </w:p>
              </w:tc>
              <w:tc>
                <w:tcPr>
                  <w:tcW w:w="18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41</w:t>
                  </w:r>
                </w:p>
              </w:tc>
              <w:tc>
                <w:tcPr>
                  <w:tcW w:w="17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41</w:t>
                  </w:r>
                </w:p>
              </w:tc>
              <w:tc>
                <w:tcPr>
                  <w:tcW w:w="1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1796"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Xe（cm）</w:t>
                  </w:r>
                </w:p>
              </w:tc>
              <w:tc>
                <w:tcPr>
                  <w:tcW w:w="18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294</w:t>
                  </w:r>
                </w:p>
              </w:tc>
              <w:tc>
                <w:tcPr>
                  <w:tcW w:w="174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 w:val="21"/>
                      <w:szCs w:val="21"/>
                      <w:highlight w:val="none"/>
                      <w:lang w:val="en-US" w:eastAsia="zh-CN"/>
                    </w:rPr>
                    <w:t>298</w:t>
                  </w:r>
                </w:p>
              </w:tc>
              <w:tc>
                <w:tcPr>
                  <w:tcW w:w="1576"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127</w:t>
                  </w:r>
                </w:p>
              </w:tc>
              <w:tc>
                <w:tcPr>
                  <w:tcW w:w="1796" w:type="dxa"/>
                  <w:tcBorders>
                    <w:right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en-US" w:eastAsia="zh-CN"/>
                    </w:rPr>
                    <w:t>125</w:t>
                  </w:r>
                  <w:r>
                    <w:rPr>
                      <w:rFonts w:hint="default" w:ascii="Times New Roman" w:hAnsi="Times New Roman" w:cs="Times New Roman"/>
                      <w:color w:val="auto"/>
                      <w:kern w:val="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斜射角θ（°）</w:t>
                  </w:r>
                </w:p>
              </w:tc>
              <w:tc>
                <w:tcPr>
                  <w:tcW w:w="188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7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0</w:t>
                  </w:r>
                </w:p>
              </w:tc>
              <w:tc>
                <w:tcPr>
                  <w:tcW w:w="157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15</w:t>
                  </w:r>
                </w:p>
              </w:tc>
              <w:tc>
                <w:tcPr>
                  <w:tcW w:w="1796"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（cm）</w:t>
                  </w:r>
                </w:p>
              </w:tc>
              <w:tc>
                <w:tcPr>
                  <w:tcW w:w="188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294</w:t>
                  </w:r>
                </w:p>
              </w:tc>
              <w:tc>
                <w:tcPr>
                  <w:tcW w:w="17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 w:val="21"/>
                      <w:szCs w:val="21"/>
                      <w:highlight w:val="none"/>
                      <w:lang w:val="en-US" w:eastAsia="zh-CN"/>
                    </w:rPr>
                    <w:t>298</w:t>
                  </w:r>
                </w:p>
              </w:tc>
              <w:tc>
                <w:tcPr>
                  <w:tcW w:w="1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123</w:t>
                  </w:r>
                </w:p>
              </w:tc>
              <w:tc>
                <w:tcPr>
                  <w:tcW w:w="1796"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881" w:type="dxa"/>
                  <w:tcBorders>
                    <w:lef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设计厚度（cm）</w:t>
                  </w:r>
                </w:p>
              </w:tc>
              <w:tc>
                <w:tcPr>
                  <w:tcW w:w="18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300</w:t>
                  </w:r>
                </w:p>
              </w:tc>
              <w:tc>
                <w:tcPr>
                  <w:tcW w:w="17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15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170</w:t>
                  </w:r>
                </w:p>
              </w:tc>
              <w:tc>
                <w:tcPr>
                  <w:tcW w:w="1796" w:type="dxa"/>
                  <w:tcBorders>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881" w:type="dxa"/>
                  <w:tcBorders>
                    <w:left w:val="nil"/>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是否满足要求</w:t>
                  </w:r>
                </w:p>
              </w:tc>
              <w:tc>
                <w:tcPr>
                  <w:tcW w:w="1880"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745" w:type="dxa"/>
                  <w:tcBorders>
                    <w:bottom w:val="single" w:color="auto" w:sz="12"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满足</w:t>
                  </w:r>
                </w:p>
              </w:tc>
              <w:tc>
                <w:tcPr>
                  <w:tcW w:w="1576"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796" w:type="dxa"/>
                  <w:tcBorders>
                    <w:bottom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表11-</w:t>
            </w:r>
            <w:r>
              <w:rPr>
                <w:rFonts w:hint="default" w:ascii="Times New Roman" w:hAnsi="Times New Roman" w:cs="Times New Roman"/>
                <w:b/>
                <w:bCs/>
                <w:color w:val="auto"/>
                <w:sz w:val="21"/>
                <w:szCs w:val="21"/>
                <w:highlight w:val="none"/>
                <w:lang w:val="en-US" w:eastAsia="zh-CN"/>
              </w:rPr>
              <w:t>12  2#</w:t>
            </w:r>
            <w:r>
              <w:rPr>
                <w:rFonts w:hint="default" w:ascii="Times New Roman" w:hAnsi="Times New Roman" w:cs="Times New Roman"/>
                <w:b/>
                <w:bCs/>
                <w:color w:val="auto"/>
                <w:sz w:val="21"/>
                <w:szCs w:val="21"/>
                <w:highlight w:val="none"/>
              </w:rPr>
              <w:t>与主屏蔽区相连的次屏蔽区漏射辐射屏蔽厚度核算</w:t>
            </w:r>
          </w:p>
          <w:tbl>
            <w:tblPr>
              <w:tblStyle w:val="17"/>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884"/>
              <w:gridCol w:w="1812"/>
              <w:gridCol w:w="179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1566" w:type="dxa"/>
                  <w:tcBorders>
                    <w:top w:val="single" w:color="auto" w:sz="12" w:space="0"/>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参数</w:t>
                  </w:r>
                </w:p>
              </w:tc>
              <w:tc>
                <w:tcPr>
                  <w:tcW w:w="1884"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c>
                <w:tcPr>
                  <w:tcW w:w="1812"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C</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c>
                <w:tcPr>
                  <w:tcW w:w="1792"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屋顶M</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c>
                <w:tcPr>
                  <w:tcW w:w="1843"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侧墙</w:t>
                  </w:r>
                  <w:r>
                    <w:rPr>
                      <w:rFonts w:hint="default" w:ascii="Times New Roman" w:hAnsi="Times New Roman" w:cs="Times New Roman"/>
                      <w:color w:val="auto"/>
                      <w:szCs w:val="21"/>
                      <w:highlight w:val="none"/>
                      <w:lang w:val="en-US" w:eastAsia="zh-CN"/>
                    </w:rPr>
                    <w:t>E</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566" w:type="dxa"/>
                  <w:tcBorders>
                    <w:top w:val="single" w:color="auto" w:sz="12" w:space="0"/>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He(μSv/h)</w:t>
                  </w:r>
                </w:p>
              </w:tc>
              <w:tc>
                <w:tcPr>
                  <w:tcW w:w="1884"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812" w:type="dxa"/>
                  <w:tcBorders>
                    <w:top w:val="single" w:color="auto" w:sz="12" w:space="0"/>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1792" w:type="dxa"/>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1.25</w:t>
                  </w:r>
                </w:p>
              </w:tc>
              <w:tc>
                <w:tcPr>
                  <w:tcW w:w="1843" w:type="dxa"/>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R（m）</w:t>
                  </w:r>
                </w:p>
              </w:tc>
              <w:tc>
                <w:tcPr>
                  <w:tcW w:w="18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7.3</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highlight w:val="none"/>
                      <w:lang w:val="en-US" w:eastAsia="zh-CN"/>
                    </w:rPr>
                    <w:t>7.3</w:t>
                  </w:r>
                </w:p>
              </w:tc>
              <w:tc>
                <w:tcPr>
                  <w:tcW w:w="179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eastAsia" w:ascii="Times New Roman" w:hAnsi="Times New Roman" w:cs="Times New Roman"/>
                      <w:color w:val="auto"/>
                      <w:highlight w:val="none"/>
                      <w:lang w:val="en-US" w:eastAsia="zh-CN"/>
                    </w:rPr>
                    <w:t>9</w:t>
                  </w:r>
                </w:p>
              </w:tc>
              <w:tc>
                <w:tcPr>
                  <w:tcW w:w="184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0</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(μSv.m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/h)</w:t>
                  </w:r>
                </w:p>
              </w:tc>
              <w:tc>
                <w:tcPr>
                  <w:tcW w:w="18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c>
                <w:tcPr>
                  <w:tcW w:w="179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c>
                <w:tcPr>
                  <w:tcW w:w="184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1"/>
                      <w:szCs w:val="21"/>
                      <w:highlight w:val="none"/>
                      <w:lang w:val="en-US" w:eastAsia="zh-CN"/>
                    </w:rPr>
                    <w:t>f</w:t>
                  </w:r>
                </w:p>
              </w:tc>
              <w:tc>
                <w:tcPr>
                  <w:tcW w:w="18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79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184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透射因子B</w:t>
                  </w:r>
                </w:p>
              </w:tc>
              <w:tc>
                <w:tcPr>
                  <w:tcW w:w="18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4.64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5</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4.64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5</w:t>
                  </w:r>
                </w:p>
              </w:tc>
              <w:tc>
                <w:tcPr>
                  <w:tcW w:w="179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2.06</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-5</w:t>
                  </w:r>
                </w:p>
              </w:tc>
              <w:tc>
                <w:tcPr>
                  <w:tcW w:w="184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2.53</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TVL</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（cm）</w:t>
                  </w:r>
                </w:p>
              </w:tc>
              <w:tc>
                <w:tcPr>
                  <w:tcW w:w="188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179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1843"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TVL（cm）</w:t>
                  </w:r>
                </w:p>
              </w:tc>
              <w:tc>
                <w:tcPr>
                  <w:tcW w:w="188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179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1843"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Xe（cm）</w:t>
                  </w:r>
                </w:p>
              </w:tc>
              <w:tc>
                <w:tcPr>
                  <w:tcW w:w="18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146</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highlight w:val="none"/>
                      <w:lang w:val="en-US" w:eastAsia="zh-CN"/>
                    </w:rPr>
                    <w:t>146</w:t>
                  </w:r>
                </w:p>
              </w:tc>
              <w:tc>
                <w:tcPr>
                  <w:tcW w:w="179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157</w:t>
                  </w:r>
                </w:p>
              </w:tc>
              <w:tc>
                <w:tcPr>
                  <w:tcW w:w="184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斜射角θ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w:t>
                  </w:r>
                </w:p>
              </w:tc>
              <w:tc>
                <w:tcPr>
                  <w:tcW w:w="18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33</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highlight w:val="none"/>
                      <w:lang w:val="en-US" w:eastAsia="zh-CN"/>
                    </w:rPr>
                    <w:t>33</w:t>
                  </w:r>
                </w:p>
              </w:tc>
              <w:tc>
                <w:tcPr>
                  <w:tcW w:w="179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24</w:t>
                  </w:r>
                </w:p>
              </w:tc>
              <w:tc>
                <w:tcPr>
                  <w:tcW w:w="184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（cm）</w:t>
                  </w:r>
                </w:p>
              </w:tc>
              <w:tc>
                <w:tcPr>
                  <w:tcW w:w="18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122</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highlight w:val="none"/>
                      <w:lang w:val="en-US" w:eastAsia="zh-CN"/>
                    </w:rPr>
                    <w:t>122</w:t>
                  </w:r>
                </w:p>
              </w:tc>
              <w:tc>
                <w:tcPr>
                  <w:tcW w:w="179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144</w:t>
                  </w:r>
                </w:p>
              </w:tc>
              <w:tc>
                <w:tcPr>
                  <w:tcW w:w="184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566"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设计屏蔽厚度（cm）</w:t>
                  </w:r>
                </w:p>
              </w:tc>
              <w:tc>
                <w:tcPr>
                  <w:tcW w:w="18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w:t>
                  </w:r>
                </w:p>
              </w:tc>
              <w:tc>
                <w:tcPr>
                  <w:tcW w:w="1812"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w:t>
                  </w:r>
                </w:p>
              </w:tc>
              <w:tc>
                <w:tcPr>
                  <w:tcW w:w="1792"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170</w:t>
                  </w:r>
                </w:p>
              </w:tc>
              <w:tc>
                <w:tcPr>
                  <w:tcW w:w="184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66" w:type="dxa"/>
                  <w:tcBorders>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设计是否满足要求</w:t>
                  </w:r>
                </w:p>
              </w:tc>
              <w:tc>
                <w:tcPr>
                  <w:tcW w:w="1884"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812"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1792"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满足</w:t>
                  </w:r>
                </w:p>
              </w:tc>
              <w:tc>
                <w:tcPr>
                  <w:tcW w:w="1843"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表11-</w:t>
            </w:r>
            <w:r>
              <w:rPr>
                <w:rFonts w:hint="default" w:ascii="Times New Roman" w:hAnsi="Times New Roman" w:cs="Times New Roman"/>
                <w:b/>
                <w:bCs/>
                <w:color w:val="auto"/>
                <w:sz w:val="21"/>
                <w:szCs w:val="21"/>
                <w:highlight w:val="none"/>
                <w:lang w:val="en-US" w:eastAsia="zh-CN"/>
              </w:rPr>
              <w:t>13</w:t>
            </w:r>
            <w:r>
              <w:rPr>
                <w:rFonts w:hint="default" w:ascii="Times New Roman" w:hAnsi="Times New Roman" w:cs="Times New Roman"/>
                <w:b/>
                <w:bCs/>
                <w:color w:val="auto"/>
                <w:sz w:val="21"/>
                <w:szCs w:val="21"/>
                <w:highlight w:val="none"/>
              </w:rPr>
              <w:t xml:space="preserve"> 与主屏蔽区相连的次屏蔽区散射辐射屏蔽厚度核算</w:t>
            </w:r>
          </w:p>
          <w:tbl>
            <w:tblPr>
              <w:tblStyle w:val="17"/>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2368"/>
              <w:gridCol w:w="2083"/>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blHeader/>
                <w:jc w:val="center"/>
              </w:trPr>
              <w:tc>
                <w:tcPr>
                  <w:tcW w:w="2344" w:type="dxa"/>
                  <w:tcBorders>
                    <w:top w:val="single" w:color="auto" w:sz="12" w:space="0"/>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参数</w:t>
                  </w:r>
                </w:p>
              </w:tc>
              <w:tc>
                <w:tcPr>
                  <w:tcW w:w="2368"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D</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c>
                <w:tcPr>
                  <w:tcW w:w="2083"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墙体</w:t>
                  </w:r>
                  <w:r>
                    <w:rPr>
                      <w:rFonts w:hint="default" w:ascii="Times New Roman" w:hAnsi="Times New Roman" w:cs="Times New Roman"/>
                      <w:color w:val="auto"/>
                      <w:szCs w:val="21"/>
                      <w:highlight w:val="none"/>
                      <w:lang w:val="en-US" w:eastAsia="zh-CN"/>
                    </w:rPr>
                    <w:t>C</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c>
                <w:tcPr>
                  <w:tcW w:w="2083"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屋顶M</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344" w:type="dxa"/>
                  <w:tcBorders>
                    <w:top w:val="single" w:color="auto" w:sz="12" w:space="0"/>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He(μSv/h)</w:t>
                  </w:r>
                </w:p>
              </w:tc>
              <w:tc>
                <w:tcPr>
                  <w:tcW w:w="2368" w:type="dxa"/>
                  <w:tcBorders>
                    <w:top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2083" w:type="dxa"/>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w:t>
                  </w:r>
                </w:p>
              </w:tc>
              <w:tc>
                <w:tcPr>
                  <w:tcW w:w="2083" w:type="dxa"/>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R（m）</w:t>
                  </w:r>
                </w:p>
              </w:tc>
              <w:tc>
                <w:tcPr>
                  <w:tcW w:w="236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7.3</w:t>
                  </w:r>
                </w:p>
              </w:tc>
              <w:tc>
                <w:tcPr>
                  <w:tcW w:w="2083"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r>
                    <w:rPr>
                      <w:rFonts w:hint="eastAsia" w:ascii="Times New Roman" w:hAnsi="Times New Roman" w:cs="Times New Roman"/>
                      <w:color w:val="auto"/>
                      <w:highlight w:val="none"/>
                      <w:lang w:val="en-US" w:eastAsia="zh-CN"/>
                    </w:rPr>
                    <w:t>7</w:t>
                  </w:r>
                </w:p>
              </w:tc>
              <w:tc>
                <w:tcPr>
                  <w:tcW w:w="2083"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eastAsia" w:ascii="Times New Roman" w:hAnsi="Times New Roman" w:cs="Times New Roman"/>
                      <w:color w:val="auto"/>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(μSv.m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/h）</w:t>
                  </w:r>
                </w:p>
              </w:tc>
              <w:tc>
                <w:tcPr>
                  <w:tcW w:w="236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c>
                <w:tcPr>
                  <w:tcW w:w="2083"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c>
                <w:tcPr>
                  <w:tcW w:w="2083"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α</w:t>
                  </w:r>
                  <w:r>
                    <w:rPr>
                      <w:rFonts w:hint="default" w:ascii="Times New Roman" w:hAnsi="Times New Roman" w:cs="Times New Roman"/>
                      <w:color w:val="auto"/>
                      <w:szCs w:val="21"/>
                      <w:highlight w:val="none"/>
                      <w:vertAlign w:val="subscript"/>
                    </w:rPr>
                    <w:t>ph</w:t>
                  </w:r>
                  <w:r>
                    <w:rPr>
                      <w:rFonts w:hint="default" w:ascii="Times New Roman" w:hAnsi="Times New Roman" w:cs="Times New Roman"/>
                      <w:color w:val="auto"/>
                      <w:szCs w:val="21"/>
                      <w:highlight w:val="none"/>
                    </w:rPr>
                    <w:t xml:space="preserve"> </w:t>
                  </w:r>
                </w:p>
              </w:tc>
              <w:tc>
                <w:tcPr>
                  <w:tcW w:w="23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1.35×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F(cm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w:t>
                  </w:r>
                </w:p>
              </w:tc>
              <w:tc>
                <w:tcPr>
                  <w:tcW w:w="23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40×40</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40×40</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40×40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透射因子B</w:t>
                  </w:r>
                  <w:r>
                    <w:rPr>
                      <w:rFonts w:hint="default" w:ascii="Times New Roman" w:hAnsi="Times New Roman" w:cs="Times New Roman"/>
                      <w:color w:val="auto"/>
                      <w:szCs w:val="21"/>
                      <w:highlight w:val="none"/>
                      <w:vertAlign w:val="subscript"/>
                      <w:lang w:val="en-US" w:eastAsia="zh-CN"/>
                    </w:rPr>
                    <w:t>1</w:t>
                  </w:r>
                </w:p>
              </w:tc>
              <w:tc>
                <w:tcPr>
                  <w:tcW w:w="23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8.58</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6</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9.45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6</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lang w:val="en-US" w:eastAsia="zh-CN"/>
                    </w:rPr>
                    <w:t>3.81</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TVL（cm）</w:t>
                  </w:r>
                </w:p>
              </w:tc>
              <w:tc>
                <w:tcPr>
                  <w:tcW w:w="23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31</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31</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有效屏蔽厚度Xe（cm）</w:t>
                  </w:r>
                </w:p>
              </w:tc>
              <w:tc>
                <w:tcPr>
                  <w:tcW w:w="23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157</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155</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斜射角θ</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w:t>
                  </w:r>
                </w:p>
              </w:tc>
              <w:tc>
                <w:tcPr>
                  <w:tcW w:w="236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33</w:t>
                  </w:r>
                </w:p>
              </w:tc>
              <w:tc>
                <w:tcPr>
                  <w:tcW w:w="2083"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33</w:t>
                  </w:r>
                </w:p>
              </w:tc>
              <w:tc>
                <w:tcPr>
                  <w:tcW w:w="2083" w:type="dxa"/>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散射所需屏蔽厚（cm）</w:t>
                  </w:r>
                </w:p>
              </w:tc>
              <w:tc>
                <w:tcPr>
                  <w:tcW w:w="23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113</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130</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344" w:type="dxa"/>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设计厚度（cm）</w:t>
                  </w:r>
                </w:p>
              </w:tc>
              <w:tc>
                <w:tcPr>
                  <w:tcW w:w="23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w:t>
                  </w:r>
                </w:p>
              </w:tc>
              <w:tc>
                <w:tcPr>
                  <w:tcW w:w="2083"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44" w:type="dxa"/>
                  <w:tcBorders>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设计是否满足要求</w:t>
                  </w:r>
                </w:p>
              </w:tc>
              <w:tc>
                <w:tcPr>
                  <w:tcW w:w="2368"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2083"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w:t>
                  </w:r>
                </w:p>
              </w:tc>
              <w:tc>
                <w:tcPr>
                  <w:tcW w:w="2083"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满足</w:t>
                  </w:r>
                </w:p>
              </w:tc>
            </w:tr>
          </w:tbl>
          <w:p>
            <w:pPr>
              <w:keepNext w:val="0"/>
              <w:keepLines w:val="0"/>
              <w:suppressLineNumbers w:val="0"/>
              <w:spacing w:before="0" w:beforeAutospacing="0" w:after="0" w:afterAutospacing="0"/>
              <w:ind w:left="0" w:right="0" w:firstLine="361" w:firstLineChars="200"/>
              <w:jc w:val="left"/>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备注：①对于与主屏蔽区相连的次屏蔽区漏射辐射、散射辐射所需屏蔽厚度核算时，剂量率参考控制水平取主屏蔽方向的一半;②当未说明TVL</w:t>
            </w:r>
            <w:r>
              <w:rPr>
                <w:rFonts w:hint="default" w:ascii="Times New Roman" w:hAnsi="Times New Roman" w:cs="Times New Roman"/>
                <w:b/>
                <w:bCs/>
                <w:color w:val="auto"/>
                <w:sz w:val="18"/>
                <w:szCs w:val="18"/>
                <w:highlight w:val="none"/>
                <w:vertAlign w:val="subscript"/>
              </w:rPr>
              <w:t>1</w:t>
            </w:r>
            <w:r>
              <w:rPr>
                <w:rFonts w:hint="default" w:ascii="Times New Roman" w:hAnsi="Times New Roman" w:cs="Times New Roman"/>
                <w:b/>
                <w:bCs/>
                <w:color w:val="auto"/>
                <w:sz w:val="18"/>
                <w:szCs w:val="18"/>
                <w:highlight w:val="none"/>
              </w:rPr>
              <w:t>时，TVL</w:t>
            </w:r>
            <w:r>
              <w:rPr>
                <w:rFonts w:hint="default" w:ascii="Times New Roman" w:hAnsi="Times New Roman" w:cs="Times New Roman"/>
                <w:b/>
                <w:bCs/>
                <w:color w:val="auto"/>
                <w:sz w:val="18"/>
                <w:szCs w:val="18"/>
                <w:highlight w:val="none"/>
                <w:vertAlign w:val="subscript"/>
              </w:rPr>
              <w:t>1</w:t>
            </w:r>
            <w:r>
              <w:rPr>
                <w:rFonts w:hint="default" w:ascii="Times New Roman" w:hAnsi="Times New Roman" w:cs="Times New Roman"/>
                <w:b/>
                <w:bCs/>
                <w:color w:val="auto"/>
                <w:sz w:val="18"/>
                <w:szCs w:val="18"/>
                <w:highlight w:val="none"/>
              </w:rPr>
              <w:t>=TVL。</w:t>
            </w:r>
          </w:p>
          <w:p>
            <w:pPr>
              <w:keepNext w:val="0"/>
              <w:keepLines w:val="0"/>
              <w:pageBreakBefore w:val="0"/>
              <w:widowControl w:val="0"/>
              <w:suppressLineNumbers w:val="0"/>
              <w:kinsoku/>
              <w:wordWrap/>
              <w:overflowPunct/>
              <w:topLinePunct w:val="0"/>
              <w:autoSpaceDE/>
              <w:autoSpaceDN/>
              <w:bidi w:val="0"/>
              <w:adjustRightInd/>
              <w:snapToGrid/>
              <w:spacing w:before="95" w:beforeLines="30" w:beforeAutospacing="0" w:after="0" w:afterAutospacing="0"/>
              <w:ind w:left="0" w:right="0" w:firstLine="482" w:firstLineChars="200"/>
              <w:jc w:val="left"/>
              <w:textAlignment w:val="auto"/>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lang w:val="en-US" w:eastAsia="zh-CN"/>
              </w:rPr>
              <w:t>4</w:t>
            </w:r>
            <w:r>
              <w:rPr>
                <w:rFonts w:hint="default" w:ascii="Times New Roman" w:hAnsi="Times New Roman" w:cs="Times New Roman"/>
                <w:b/>
                <w:color w:val="auto"/>
                <w:kern w:val="0"/>
                <w:sz w:val="24"/>
                <w:szCs w:val="24"/>
                <w:highlight w:val="none"/>
                <w:lang w:eastAsia="zh-CN"/>
              </w:rPr>
              <w:t>）</w:t>
            </w:r>
            <w:r>
              <w:rPr>
                <w:rFonts w:hint="default" w:ascii="Times New Roman" w:hAnsi="Times New Roman" w:cs="Times New Roman"/>
                <w:b/>
                <w:color w:val="auto"/>
                <w:kern w:val="0"/>
                <w:sz w:val="24"/>
                <w:szCs w:val="24"/>
                <w:highlight w:val="none"/>
                <w:lang w:val="en-US" w:eastAsia="zh-CN"/>
              </w:rPr>
              <w:t>15MV</w:t>
            </w:r>
            <w:r>
              <w:rPr>
                <w:rFonts w:hint="default" w:ascii="Times New Roman" w:hAnsi="Times New Roman" w:cs="Times New Roman"/>
                <w:b/>
                <w:color w:val="auto"/>
                <w:kern w:val="0"/>
                <w:sz w:val="24"/>
                <w:szCs w:val="24"/>
                <w:highlight w:val="none"/>
              </w:rPr>
              <w:t>电子直线加速器对关注点产生的剂量估算</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w:t>
            </w:r>
            <w:r>
              <w:rPr>
                <w:rFonts w:hint="default" w:ascii="Times New Roman" w:hAnsi="Times New Roman" w:cs="Times New Roman"/>
                <w:color w:val="auto"/>
                <w:sz w:val="24"/>
                <w:highlight w:val="none"/>
              </w:rPr>
              <w:t>《放射治疗机房的辐射屏蔽规范第2部分:电子直线加速器放射治疗机房》（GBZ/T201.2-201l），</w:t>
            </w:r>
            <w:r>
              <w:rPr>
                <w:rFonts w:hint="default" w:ascii="Times New Roman" w:hAnsi="Times New Roman" w:cs="Times New Roman"/>
                <w:bCs/>
                <w:color w:val="auto"/>
                <w:sz w:val="24"/>
                <w:highlight w:val="none"/>
              </w:rPr>
              <w:t>本项目医用电子直线加速器在运行过程中对关注点（附图11-</w:t>
            </w: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rPr>
              <w:t>和11-</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）处人员产生的最大剂量可根据以下公式进行计算：</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主射线束和泄露辐射剂量估算（式中各符号含义同前文）：</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24"/>
                <w:szCs w:val="21"/>
                <w:highlight w:val="none"/>
              </w:rPr>
              <w:object>
                <v:shape id="_x0000_i1054" o:spt="75" type="#_x0000_t75" style="height:29.6pt;width:71.5pt;" o:ole="t" filled="f" o:preferrelative="t" stroked="f" coordsize="21600,21600">
                  <v:path/>
                  <v:fill on="f" focussize="0,0"/>
                  <v:stroke on="f"/>
                  <v:imagedata r:id="rId50" o:title=""/>
                  <o:lock v:ext="edit" aspectratio="t"/>
                  <w10:wrap type="none"/>
                  <w10:anchorlock/>
                </v:shape>
                <o:OLEObject Type="Embed" ProgID="Equation.3" ShapeID="_x0000_i1054" DrawAspect="Content" ObjectID="_1468075754" r:id="rId85">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23</w:t>
            </w:r>
            <w:r>
              <w:rPr>
                <w:rFonts w:hint="default" w:ascii="Times New Roman" w:hAnsi="Times New Roman" w:cs="Times New Roman"/>
                <w:bCs/>
                <w:color w:val="auto"/>
                <w:sz w:val="24"/>
                <w:szCs w:val="24"/>
                <w:highlight w:val="none"/>
              </w:rPr>
              <w:t>）</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6"/>
                <w:szCs w:val="21"/>
                <w:highlight w:val="none"/>
              </w:rPr>
              <w:object>
                <v:shape id="_x0000_i1055" o:spt="75" type="#_x0000_t75" style="height:20.65pt;width:94.25pt;" o:ole="t" filled="f" o:preferrelative="t" stroked="f" coordsize="21600,21600">
                  <v:path/>
                  <v:fill on="f" focussize="0,0"/>
                  <v:stroke on="f"/>
                  <v:imagedata r:id="rId87" o:title=""/>
                  <o:lock v:ext="edit" aspectratio="t"/>
                  <w10:wrap type="none"/>
                  <w10:anchorlock/>
                </v:shape>
                <o:OLEObject Type="Embed" ProgID="Equation.3" ShapeID="_x0000_i1055" DrawAspect="Content" ObjectID="_1468075755" r:id="rId86">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24</w:t>
            </w:r>
            <w:r>
              <w:rPr>
                <w:rFonts w:hint="default" w:ascii="Times New Roman" w:hAnsi="Times New Roman" w:cs="Times New Roman"/>
                <w:bCs/>
                <w:color w:val="auto"/>
                <w:sz w:val="24"/>
                <w:szCs w:val="24"/>
                <w:highlight w:val="none"/>
              </w:rPr>
              <w:t>）</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6"/>
                <w:szCs w:val="21"/>
                <w:highlight w:val="none"/>
              </w:rPr>
              <w:object>
                <v:shape id="_x0000_i1056" o:spt="75" type="#_x0000_t75" style="height:16.4pt;width:84.05pt;" o:ole="t" filled="f" o:preferrelative="t" stroked="f" coordsize="21600,21600">
                  <v:path/>
                  <v:fill on="f" focussize="0,0"/>
                  <v:stroke on="f"/>
                  <v:imagedata r:id="rId54" o:title=""/>
                  <o:lock v:ext="edit" aspectratio="t"/>
                  <w10:wrap type="none"/>
                  <w10:anchorlock/>
                </v:shape>
                <o:OLEObject Type="Embed" ProgID="Equation.3" ShapeID="_x0000_i1056" DrawAspect="Content" ObjectID="_1468075756" r:id="rId88">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25</w:t>
            </w:r>
            <w:r>
              <w:rPr>
                <w:rFonts w:hint="default" w:ascii="Times New Roman" w:hAnsi="Times New Roman" w:cs="Times New Roman"/>
                <w:bCs/>
                <w:color w:val="auto"/>
                <w:sz w:val="24"/>
                <w:szCs w:val="24"/>
                <w:highlight w:val="none"/>
              </w:rPr>
              <w:t>）</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患者一次散射辐射剂量估算</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34"/>
                <w:szCs w:val="21"/>
                <w:highlight w:val="none"/>
              </w:rPr>
              <w:object>
                <v:shape id="_x0000_i1057" o:spt="75" type="#_x0000_t75" style="height:33.7pt;width:128.1pt;" o:ole="t" filled="f" o:preferrelative="t" stroked="f" coordsize="21600,21600">
                  <v:path/>
                  <v:fill on="f" focussize="0,0"/>
                  <v:stroke on="f"/>
                  <v:imagedata r:id="rId56" o:title=""/>
                  <o:lock v:ext="edit" aspectratio="t"/>
                  <w10:wrap type="none"/>
                  <w10:anchorlock/>
                </v:shape>
                <o:OLEObject Type="Embed" ProgID="Equation.3" ShapeID="_x0000_i1057" DrawAspect="Content" ObjectID="_1468075757" r:id="rId89">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26</w:t>
            </w:r>
            <w:r>
              <w:rPr>
                <w:rFonts w:hint="default" w:ascii="Times New Roman" w:hAnsi="Times New Roman" w:cs="Times New Roman"/>
                <w:bCs/>
                <w:color w:val="auto"/>
                <w:sz w:val="24"/>
                <w:szCs w:val="24"/>
                <w:highlight w:val="none"/>
              </w:rPr>
              <w:t>）</w:t>
            </w:r>
          </w:p>
          <w:p>
            <w:pPr>
              <w:keepNext w:val="0"/>
              <w:keepLines w:val="0"/>
              <w:suppressLineNumbers w:val="0"/>
              <w:spacing w:before="0" w:beforeAutospacing="0" w:after="0" w:afterAutospacing="0"/>
              <w:ind w:left="420" w:leftChars="200" w:right="0"/>
              <w:rPr>
                <w:rFonts w:hint="default" w:ascii="Times New Roman" w:hAnsi="Times New Roman" w:eastAsia="宋体" w:cs="Times New Roman"/>
                <w:bCs/>
                <w:color w:val="auto"/>
                <w:sz w:val="24"/>
                <w:highlight w:val="none"/>
                <w:vertAlign w:val="subscript"/>
                <w:lang w:val="en-US" w:eastAsia="zh-CN"/>
              </w:rPr>
            </w:pPr>
            <w:r>
              <w:rPr>
                <w:rFonts w:hint="default" w:ascii="Times New Roman" w:hAnsi="Times New Roman" w:cs="Times New Roman"/>
                <w:bCs/>
                <w:color w:val="auto"/>
                <w:sz w:val="24"/>
                <w:highlight w:val="none"/>
              </w:rPr>
              <w:t>机房</w:t>
            </w:r>
            <w:r>
              <w:rPr>
                <w:rFonts w:hint="default" w:ascii="Times New Roman" w:hAnsi="Times New Roman" w:cs="Times New Roman"/>
                <w:bCs/>
                <w:color w:val="auto"/>
                <w:sz w:val="24"/>
                <w:highlight w:val="none"/>
                <w:lang w:eastAsia="zh-CN"/>
              </w:rPr>
              <w:t>迷路</w:t>
            </w:r>
            <w:r>
              <w:rPr>
                <w:rFonts w:hint="default" w:ascii="Times New Roman" w:hAnsi="Times New Roman" w:cs="Times New Roman"/>
                <w:bCs/>
                <w:color w:val="auto"/>
                <w:sz w:val="24"/>
                <w:highlight w:val="none"/>
              </w:rPr>
              <w:t>入口处X射线散射辐射剂量率H</w:t>
            </w:r>
            <w:r>
              <w:rPr>
                <w:rFonts w:hint="default" w:ascii="Times New Roman" w:hAnsi="Times New Roman" w:cs="Times New Roman"/>
                <w:bCs/>
                <w:color w:val="auto"/>
                <w:sz w:val="24"/>
                <w:highlight w:val="none"/>
                <w:vertAlign w:val="subscript"/>
                <w:lang w:val="en-US" w:eastAsia="zh-CN"/>
              </w:rPr>
              <w:t>g</w:t>
            </w:r>
          </w:p>
          <w:p>
            <w:pPr>
              <w:keepNext w:val="0"/>
              <w:keepLines w:val="0"/>
              <w:suppressLineNumbers w:val="0"/>
              <w:spacing w:before="0" w:beforeAutospacing="0" w:after="0" w:afterAutospacing="0"/>
              <w:ind w:left="420" w:leftChars="200" w:right="0"/>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32"/>
                <w:szCs w:val="21"/>
                <w:highlight w:val="none"/>
              </w:rPr>
              <w:object>
                <v:shape id="_x0000_i1058" o:spt="75" type="#_x0000_t75" style="height:34.6pt;width:144.4pt;" o:ole="t" filled="f" o:preferrelative="t" stroked="f" coordsize="21600,21600">
                  <v:path/>
                  <v:fill on="f" focussize="0,0"/>
                  <v:stroke on="f"/>
                  <v:imagedata r:id="rId58" o:title=""/>
                  <o:lock v:ext="edit" aspectratio="t"/>
                  <w10:wrap type="none"/>
                  <w10:anchorlock/>
                </v:shape>
                <o:OLEObject Type="Embed" ProgID="Equation.3" ShapeID="_x0000_i1058" DrawAspect="Content" ObjectID="_1468075758" r:id="rId90">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27</w:t>
            </w:r>
            <w:r>
              <w:rPr>
                <w:rFonts w:hint="default" w:ascii="Times New Roman" w:hAnsi="Times New Roman" w:cs="Times New Roman"/>
                <w:bCs/>
                <w:color w:val="auto"/>
                <w:sz w:val="24"/>
                <w:szCs w:val="24"/>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position w:val="-14"/>
                <w:szCs w:val="21"/>
                <w:highlight w:val="none"/>
              </w:rPr>
              <w:object>
                <v:shape id="_x0000_i1059" o:spt="75" type="#_x0000_t75" style="height:17.55pt;width:104.05pt;" o:ole="t" filled="f" o:preferrelative="t" stroked="f" coordsize="21600,21600">
                  <v:path/>
                  <v:fill on="f" focussize="0,0"/>
                  <v:stroke on="f"/>
                  <v:imagedata r:id="rId60" o:title=""/>
                  <o:lock v:ext="edit" aspectratio="t"/>
                  <w10:wrap type="none"/>
                  <w10:anchorlock/>
                </v:shape>
                <o:OLEObject Type="Embed" ProgID="Equation.3" ShapeID="_x0000_i1059" DrawAspect="Content" ObjectID="_1468075759" r:id="rId91">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28</w:t>
            </w:r>
            <w:r>
              <w:rPr>
                <w:rFonts w:hint="default" w:ascii="Times New Roman" w:hAnsi="Times New Roman" w:cs="Times New Roman"/>
                <w:bCs/>
                <w:color w:val="auto"/>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由式11-</w:t>
            </w:r>
            <w:r>
              <w:rPr>
                <w:rFonts w:hint="default" w:ascii="Times New Roman" w:hAnsi="Times New Roman" w:cs="Times New Roman"/>
                <w:bCs/>
                <w:color w:val="auto"/>
                <w:sz w:val="24"/>
                <w:highlight w:val="none"/>
                <w:lang w:val="en-US" w:eastAsia="zh-CN"/>
              </w:rPr>
              <w:t>14</w:t>
            </w:r>
            <w:r>
              <w:rPr>
                <w:rFonts w:hint="default" w:ascii="Times New Roman" w:hAnsi="Times New Roman" w:cs="Times New Roman"/>
                <w:bCs/>
                <w:color w:val="auto"/>
                <w:sz w:val="24"/>
                <w:highlight w:val="none"/>
              </w:rPr>
              <w:t>估算各关注点的年剂量：</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position w:val="-10"/>
                <w:szCs w:val="21"/>
                <w:highlight w:val="none"/>
              </w:rPr>
              <w:object>
                <v:shape id="_x0000_i1060" o:spt="75" type="#_x0000_t75" style="height:18pt;width:135.2pt;" o:ole="t" filled="f" o:preferrelative="t" stroked="f" coordsize="21600,21600">
                  <v:path/>
                  <v:fill on="f" focussize="0,0"/>
                  <v:stroke on="f"/>
                  <v:imagedata r:id="rId93" o:title=""/>
                  <o:lock v:ext="edit" aspectratio="t"/>
                  <w10:wrap type="none"/>
                  <w10:anchorlock/>
                </v:shape>
                <o:OLEObject Type="Embed" ProgID="Equation.3" ShapeID="_x0000_i1060" DrawAspect="Content" ObjectID="_1468075760" r:id="rId92">
                  <o:LockedField>false</o:LockedField>
                </o:OLEObject>
              </w:objec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 w:val="24"/>
                <w:szCs w:val="24"/>
                <w:highlight w:val="none"/>
              </w:rPr>
              <w:t>（式11-</w:t>
            </w:r>
            <w:r>
              <w:rPr>
                <w:rFonts w:hint="default" w:ascii="Times New Roman" w:hAnsi="Times New Roman" w:cs="Times New Roman"/>
                <w:bCs/>
                <w:color w:val="auto"/>
                <w:sz w:val="24"/>
                <w:szCs w:val="24"/>
                <w:highlight w:val="none"/>
                <w:lang w:val="en-US" w:eastAsia="zh-CN"/>
              </w:rPr>
              <w:t>29</w:t>
            </w:r>
            <w:r>
              <w:rPr>
                <w:rFonts w:hint="default" w:ascii="Times New Roman" w:hAnsi="Times New Roman" w:cs="Times New Roman"/>
                <w:bCs/>
                <w:color w:val="auto"/>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式中：</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H—关注点的剂量当量（(μSv/h)；</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E—关注点的年剂量（mSv/a）；</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h—工作负荷（h/a）；</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q—居留因子，经常有人员停留的地方取1，有部分时间有人员停留的地方取1/4，偶然有人员经过的地方取1/16；</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lang w:eastAsia="zh-CN"/>
              </w:rPr>
            </w:pPr>
            <w:r>
              <w:rPr>
                <w:rFonts w:hint="default" w:ascii="Times New Roman" w:hAnsi="Times New Roman" w:cs="Times New Roman"/>
                <w:bCs/>
                <w:color w:val="auto"/>
                <w:szCs w:val="21"/>
                <w:highlight w:val="none"/>
              </w:rPr>
              <w:t>W</w:t>
            </w:r>
            <w:r>
              <w:rPr>
                <w:rFonts w:hint="default" w:ascii="Times New Roman" w:hAnsi="Times New Roman" w:cs="Times New Roman"/>
                <w:bCs/>
                <w:color w:val="auto"/>
                <w:szCs w:val="21"/>
                <w:highlight w:val="none"/>
                <w:vertAlign w:val="subscript"/>
              </w:rPr>
              <w:t>T</w:t>
            </w:r>
            <w:r>
              <w:rPr>
                <w:rFonts w:hint="default" w:ascii="Times New Roman" w:hAnsi="Times New Roman" w:cs="Times New Roman"/>
                <w:bCs/>
                <w:color w:val="auto"/>
                <w:szCs w:val="21"/>
                <w:highlight w:val="none"/>
              </w:rPr>
              <w:t>—组织权重因数，全身为1</w:t>
            </w:r>
            <w:r>
              <w:rPr>
                <w:rFonts w:hint="default" w:ascii="Times New Roman" w:hAnsi="Times New Roman" w:cs="Times New Roman"/>
                <w:bCs/>
                <w:color w:val="auto"/>
                <w:szCs w:val="21"/>
                <w:highlight w:val="none"/>
                <w:lang w:eastAsia="zh-CN"/>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U</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利用因子，主射束四个方位各取1/4，其它漏射、散射取1</w:t>
            </w:r>
            <w:r>
              <w:rPr>
                <w:rFonts w:hint="default" w:ascii="Times New Roman" w:hAnsi="Times New Roman" w:cs="Times New Roman"/>
                <w:bCs/>
                <w:color w:val="auto"/>
                <w:sz w:val="21"/>
                <w:szCs w:val="21"/>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由此估算的主射线束和泄露辐射对各关注点产生的剂量见表11-</w:t>
            </w:r>
            <w:r>
              <w:rPr>
                <w:rFonts w:hint="default" w:ascii="Times New Roman" w:hAnsi="Times New Roman" w:cs="Times New Roman"/>
                <w:bCs/>
                <w:color w:val="auto"/>
                <w:sz w:val="24"/>
                <w:highlight w:val="none"/>
                <w:lang w:val="en-US" w:eastAsia="zh-CN"/>
              </w:rPr>
              <w:t>14</w:t>
            </w:r>
            <w:r>
              <w:rPr>
                <w:rFonts w:hint="default" w:ascii="Times New Roman" w:hAnsi="Times New Roman" w:cs="Times New Roman"/>
                <w:bCs/>
                <w:color w:val="auto"/>
                <w:sz w:val="24"/>
                <w:highlight w:val="none"/>
              </w:rPr>
              <w:t>，由患者一次散射对各关注点产生的剂量见表11-</w:t>
            </w:r>
            <w:r>
              <w:rPr>
                <w:rFonts w:hint="default" w:ascii="Times New Roman" w:hAnsi="Times New Roman" w:cs="Times New Roman"/>
                <w:bCs/>
                <w:color w:val="auto"/>
                <w:sz w:val="24"/>
                <w:highlight w:val="none"/>
                <w:lang w:val="en-US" w:eastAsia="zh-CN"/>
              </w:rPr>
              <w:t>15</w:t>
            </w:r>
            <w:r>
              <w:rPr>
                <w:rFonts w:hint="default"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val="en-US" w:eastAsia="zh-CN"/>
              </w:rPr>
              <w:t>治疗室</w:t>
            </w:r>
            <w:r>
              <w:rPr>
                <w:rFonts w:hint="default" w:ascii="Times New Roman" w:hAnsi="Times New Roman" w:cs="Times New Roman"/>
                <w:bCs/>
                <w:color w:val="auto"/>
                <w:sz w:val="24"/>
                <w:highlight w:val="none"/>
                <w:lang w:eastAsia="zh-CN"/>
              </w:rPr>
              <w:t>迷路</w:t>
            </w:r>
            <w:r>
              <w:rPr>
                <w:rFonts w:hint="default" w:ascii="Times New Roman" w:hAnsi="Times New Roman" w:cs="Times New Roman"/>
                <w:bCs/>
                <w:color w:val="auto"/>
                <w:sz w:val="24"/>
                <w:highlight w:val="none"/>
              </w:rPr>
              <w:t>入口处由散射辐射产生的剂量见表11-</w:t>
            </w:r>
            <w:r>
              <w:rPr>
                <w:rFonts w:hint="default" w:ascii="Times New Roman" w:hAnsi="Times New Roman" w:cs="Times New Roman"/>
                <w:bCs/>
                <w:color w:val="auto"/>
                <w:sz w:val="24"/>
                <w:highlight w:val="none"/>
                <w:lang w:val="en-US" w:eastAsia="zh-CN"/>
              </w:rPr>
              <w:t>16</w:t>
            </w:r>
            <w:r>
              <w:rPr>
                <w:rFonts w:hint="default" w:ascii="Times New Roman" w:hAnsi="Times New Roman" w:cs="Times New Roman"/>
                <w:bCs/>
                <w:color w:val="auto"/>
                <w:sz w:val="24"/>
                <w:highlight w:val="none"/>
              </w:rPr>
              <w:t>。</w:t>
            </w:r>
          </w:p>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14</w:t>
            </w:r>
            <w:r>
              <w:rPr>
                <w:rFonts w:hint="default" w:ascii="Times New Roman" w:hAnsi="Times New Roman" w:cs="Times New Roman"/>
                <w:b/>
                <w:color w:val="auto"/>
                <w:sz w:val="21"/>
                <w:szCs w:val="21"/>
                <w:highlight w:val="none"/>
              </w:rPr>
              <w:t xml:space="preserve"> 主射线束和泄露辐射对关注点的剂量估算表</w:t>
            </w:r>
          </w:p>
          <w:tbl>
            <w:tblPr>
              <w:tblStyle w:val="17"/>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4"/>
              <w:gridCol w:w="882"/>
              <w:gridCol w:w="916"/>
              <w:gridCol w:w="854"/>
              <w:gridCol w:w="875"/>
              <w:gridCol w:w="869"/>
              <w:gridCol w:w="856"/>
              <w:gridCol w:w="896"/>
              <w:gridCol w:w="896"/>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blHeader/>
                <w:jc w:val="center"/>
              </w:trPr>
              <w:tc>
                <w:tcPr>
                  <w:tcW w:w="894" w:type="dxa"/>
                  <w:tcBorders>
                    <w:top w:val="single" w:color="auto" w:sz="12" w:space="0"/>
                    <w:left w:val="nil"/>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计算</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参数</w:t>
                  </w:r>
                </w:p>
              </w:tc>
              <w:tc>
                <w:tcPr>
                  <w:tcW w:w="882"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主屏蔽区</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A</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vertAlign w:val="baseline"/>
                      <w:lang w:val="en-US" w:eastAsia="zh-CN"/>
                    </w:rPr>
                    <w:t>、B</w:t>
                  </w:r>
                  <w:r>
                    <w:rPr>
                      <w:rFonts w:hint="default" w:ascii="Times New Roman" w:hAnsi="Times New Roman" w:cs="Times New Roman"/>
                      <w:color w:val="auto"/>
                      <w:sz w:val="21"/>
                      <w:szCs w:val="21"/>
                      <w:highlight w:val="none"/>
                      <w:vertAlign w:val="subscript"/>
                      <w:lang w:val="en-US" w:eastAsia="zh-CN"/>
                    </w:rPr>
                    <w:t>2</w:t>
                  </w:r>
                </w:p>
              </w:tc>
              <w:tc>
                <w:tcPr>
                  <w:tcW w:w="916"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主屏蔽区</w:t>
                  </w:r>
                </w:p>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2</w:t>
                  </w:r>
                </w:p>
              </w:tc>
              <w:tc>
                <w:tcPr>
                  <w:tcW w:w="854"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迷路外墙</w:t>
                  </w:r>
                  <w:r>
                    <w:rPr>
                      <w:rFonts w:hint="default" w:ascii="Times New Roman" w:hAnsi="Times New Roman" w:cs="Times New Roman"/>
                      <w:color w:val="auto"/>
                      <w:sz w:val="21"/>
                      <w:szCs w:val="21"/>
                      <w:highlight w:val="none"/>
                      <w:vertAlign w:val="baseline"/>
                      <w:lang w:val="en-US" w:eastAsia="zh-CN"/>
                    </w:rPr>
                    <w:t>F</w:t>
                  </w:r>
                  <w:r>
                    <w:rPr>
                      <w:rFonts w:hint="default" w:ascii="Times New Roman" w:hAnsi="Times New Roman" w:cs="Times New Roman"/>
                      <w:color w:val="auto"/>
                      <w:sz w:val="21"/>
                      <w:szCs w:val="21"/>
                      <w:highlight w:val="none"/>
                      <w:vertAlign w:val="subscript"/>
                      <w:lang w:val="en-US" w:eastAsia="zh-CN"/>
                    </w:rPr>
                    <w:t>2</w:t>
                  </w:r>
                </w:p>
              </w:tc>
              <w:tc>
                <w:tcPr>
                  <w:tcW w:w="875"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迷路外墙</w:t>
                  </w:r>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vertAlign w:val="subscript"/>
                      <w:lang w:val="en-US" w:eastAsia="zh-CN"/>
                    </w:rPr>
                    <w:t>2</w:t>
                  </w:r>
                </w:p>
              </w:tc>
              <w:tc>
                <w:tcPr>
                  <w:tcW w:w="869" w:type="dxa"/>
                  <w:tcBorders>
                    <w:top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迷路入口G</w:t>
                  </w:r>
                  <w:r>
                    <w:rPr>
                      <w:rFonts w:hint="default" w:ascii="Times New Roman" w:hAnsi="Times New Roman" w:cs="Times New Roman"/>
                      <w:color w:val="auto"/>
                      <w:sz w:val="21"/>
                      <w:szCs w:val="21"/>
                      <w:highlight w:val="none"/>
                      <w:vertAlign w:val="subscript"/>
                      <w:lang w:val="en-US" w:eastAsia="zh-CN"/>
                    </w:rPr>
                    <w:t>2</w:t>
                  </w:r>
                </w:p>
              </w:tc>
              <w:tc>
                <w:tcPr>
                  <w:tcW w:w="856" w:type="dxa"/>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墙体C</w:t>
                  </w:r>
                  <w:r>
                    <w:rPr>
                      <w:rFonts w:hint="default" w:ascii="Times New Roman" w:hAnsi="Times New Roman" w:cs="Times New Roman"/>
                      <w:color w:val="auto"/>
                      <w:sz w:val="21"/>
                      <w:szCs w:val="21"/>
                      <w:highlight w:val="none"/>
                      <w:vertAlign w:val="subscript"/>
                      <w:lang w:val="en-US" w:eastAsia="zh-CN"/>
                    </w:rPr>
                    <w:t>2</w:t>
                  </w:r>
                </w:p>
              </w:tc>
              <w:tc>
                <w:tcPr>
                  <w:tcW w:w="896" w:type="dxa"/>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墙体D</w:t>
                  </w:r>
                  <w:r>
                    <w:rPr>
                      <w:rFonts w:hint="default" w:ascii="Times New Roman" w:hAnsi="Times New Roman" w:cs="Times New Roman"/>
                      <w:color w:val="auto"/>
                      <w:sz w:val="21"/>
                      <w:szCs w:val="21"/>
                      <w:highlight w:val="none"/>
                      <w:vertAlign w:val="subscript"/>
                      <w:lang w:val="en-US" w:eastAsia="zh-CN"/>
                    </w:rPr>
                    <w:t>2</w:t>
                  </w:r>
                </w:p>
              </w:tc>
              <w:tc>
                <w:tcPr>
                  <w:tcW w:w="896" w:type="dxa"/>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w:t>
                  </w:r>
                  <w:r>
                    <w:rPr>
                      <w:rFonts w:hint="default"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highlight w:val="none"/>
                      <w:vertAlign w:val="subscript"/>
                      <w:lang w:val="en-US" w:eastAsia="zh-CN"/>
                    </w:rPr>
                    <w:t>2</w:t>
                  </w:r>
                </w:p>
              </w:tc>
              <w:tc>
                <w:tcPr>
                  <w:tcW w:w="895" w:type="dxa"/>
                  <w:tcBorders>
                    <w:top w:val="single" w:color="auto" w:sz="12" w:space="0"/>
                    <w:bottom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顶部</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894" w:type="dxa"/>
                  <w:tcBorders>
                    <w:top w:val="single" w:color="auto" w:sz="12" w:space="0"/>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设计</w:t>
                  </w:r>
                  <w:r>
                    <w:rPr>
                      <w:rFonts w:hint="default" w:ascii="Times New Roman" w:hAnsi="Times New Roman" w:cs="Times New Roman"/>
                      <w:color w:val="auto"/>
                      <w:sz w:val="21"/>
                      <w:szCs w:val="21"/>
                      <w:highlight w:val="none"/>
                      <w:lang w:val="en-US" w:eastAsia="zh-CN"/>
                    </w:rPr>
                    <w:t>墙体</w:t>
                  </w:r>
                  <w:r>
                    <w:rPr>
                      <w:rFonts w:hint="default" w:ascii="Times New Roman" w:hAnsi="Times New Roman" w:cs="Times New Roman"/>
                      <w:color w:val="auto"/>
                      <w:sz w:val="21"/>
                      <w:szCs w:val="21"/>
                      <w:highlight w:val="none"/>
                    </w:rPr>
                    <w:t>厚度 X（cm）</w:t>
                  </w:r>
                </w:p>
              </w:tc>
              <w:tc>
                <w:tcPr>
                  <w:tcW w:w="882"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916" w:type="dxa"/>
                  <w:tcBorders>
                    <w:top w:val="single" w:color="auto" w:sz="12" w:space="0"/>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854"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170</w:t>
                  </w:r>
                </w:p>
              </w:tc>
              <w:tc>
                <w:tcPr>
                  <w:tcW w:w="875"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170</w:t>
                  </w:r>
                </w:p>
              </w:tc>
              <w:tc>
                <w:tcPr>
                  <w:tcW w:w="869" w:type="dxa"/>
                  <w:tcBorders>
                    <w:top w:val="single" w:color="auto" w:sz="12"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170</w:t>
                  </w:r>
                </w:p>
              </w:tc>
              <w:tc>
                <w:tcPr>
                  <w:tcW w:w="856" w:type="dxa"/>
                  <w:tcBorders>
                    <w:top w:val="single" w:color="auto" w:sz="12" w:space="0"/>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180</w:t>
                  </w:r>
                </w:p>
              </w:tc>
              <w:tc>
                <w:tcPr>
                  <w:tcW w:w="896" w:type="dxa"/>
                  <w:tcBorders>
                    <w:top w:val="single" w:color="auto" w:sz="12" w:space="0"/>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180</w:t>
                  </w:r>
                </w:p>
              </w:tc>
              <w:tc>
                <w:tcPr>
                  <w:tcW w:w="896" w:type="dxa"/>
                  <w:tcBorders>
                    <w:top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170</w:t>
                  </w:r>
                </w:p>
              </w:tc>
              <w:tc>
                <w:tcPr>
                  <w:tcW w:w="895" w:type="dxa"/>
                  <w:tcBorders>
                    <w:top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斜射角θ</w:t>
                  </w:r>
                </w:p>
              </w:tc>
              <w:tc>
                <w:tcPr>
                  <w:tcW w:w="88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91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85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87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w:t>
                  </w:r>
                </w:p>
              </w:tc>
              <w:tc>
                <w:tcPr>
                  <w:tcW w:w="86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85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89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896"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895"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 Xe（cm）</w:t>
                  </w:r>
                </w:p>
              </w:tc>
              <w:tc>
                <w:tcPr>
                  <w:tcW w:w="88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91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85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170</w:t>
                  </w:r>
                </w:p>
              </w:tc>
              <w:tc>
                <w:tcPr>
                  <w:tcW w:w="87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176</w:t>
                  </w:r>
                </w:p>
              </w:tc>
              <w:tc>
                <w:tcPr>
                  <w:tcW w:w="86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187</w:t>
                  </w:r>
                </w:p>
              </w:tc>
              <w:tc>
                <w:tcPr>
                  <w:tcW w:w="85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214</w:t>
                  </w:r>
                </w:p>
              </w:tc>
              <w:tc>
                <w:tcPr>
                  <w:tcW w:w="89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214</w:t>
                  </w:r>
                </w:p>
              </w:tc>
              <w:tc>
                <w:tcPr>
                  <w:tcW w:w="896"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170</w:t>
                  </w:r>
                </w:p>
              </w:tc>
              <w:tc>
                <w:tcPr>
                  <w:tcW w:w="895"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TVL</w:t>
                  </w:r>
                  <w:r>
                    <w:rPr>
                      <w:rFonts w:hint="default" w:ascii="Times New Roman" w:hAnsi="Times New Roman" w:cs="Times New Roman"/>
                      <w:bCs/>
                      <w:color w:val="auto"/>
                      <w:sz w:val="21"/>
                      <w:szCs w:val="21"/>
                      <w:highlight w:val="none"/>
                      <w:vertAlign w:val="subscript"/>
                    </w:rPr>
                    <w:t>1</w:t>
                  </w:r>
                  <w:r>
                    <w:rPr>
                      <w:rFonts w:hint="default" w:ascii="Times New Roman" w:hAnsi="Times New Roman" w:cs="Times New Roman"/>
                      <w:bCs/>
                      <w:color w:val="auto"/>
                      <w:sz w:val="21"/>
                      <w:szCs w:val="21"/>
                      <w:highlight w:val="none"/>
                    </w:rPr>
                    <w:t>（cm）</w:t>
                  </w:r>
                </w:p>
              </w:tc>
              <w:tc>
                <w:tcPr>
                  <w:tcW w:w="88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4</w:t>
                  </w:r>
                  <w:r>
                    <w:rPr>
                      <w:rFonts w:hint="default" w:ascii="Times New Roman" w:hAnsi="Times New Roman" w:cs="Times New Roman"/>
                      <w:color w:val="auto"/>
                      <w:sz w:val="21"/>
                      <w:szCs w:val="21"/>
                      <w:highlight w:val="none"/>
                      <w:lang w:val="en-US" w:eastAsia="zh-CN"/>
                    </w:rPr>
                    <w:t>4</w:t>
                  </w:r>
                </w:p>
              </w:tc>
              <w:tc>
                <w:tcPr>
                  <w:tcW w:w="91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r>
                    <w:rPr>
                      <w:rFonts w:hint="default" w:ascii="Times New Roman" w:hAnsi="Times New Roman" w:cs="Times New Roman"/>
                      <w:color w:val="auto"/>
                      <w:sz w:val="21"/>
                      <w:szCs w:val="21"/>
                      <w:highlight w:val="none"/>
                      <w:lang w:val="en-US" w:eastAsia="zh-CN"/>
                    </w:rPr>
                    <w:t>4</w:t>
                  </w:r>
                </w:p>
              </w:tc>
              <w:tc>
                <w:tcPr>
                  <w:tcW w:w="85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87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86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856"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896"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896"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c>
                <w:tcPr>
                  <w:tcW w:w="895"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TVL（cm)</w:t>
                  </w:r>
                </w:p>
              </w:tc>
              <w:tc>
                <w:tcPr>
                  <w:tcW w:w="88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91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41</w:t>
                  </w:r>
                </w:p>
              </w:tc>
              <w:tc>
                <w:tcPr>
                  <w:tcW w:w="85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87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86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856"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896"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896"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c>
                <w:tcPr>
                  <w:tcW w:w="895"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透射因子B</w:t>
                  </w:r>
                </w:p>
              </w:tc>
              <w:tc>
                <w:tcPr>
                  <w:tcW w:w="88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5.70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8</w:t>
                  </w:r>
                </w:p>
              </w:tc>
              <w:tc>
                <w:tcPr>
                  <w:tcW w:w="91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8</w:t>
                  </w:r>
                </w:p>
              </w:tc>
              <w:tc>
                <w:tcPr>
                  <w:tcW w:w="854"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8.70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6</w:t>
                  </w:r>
                </w:p>
              </w:tc>
              <w:tc>
                <w:tcPr>
                  <w:tcW w:w="87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5.72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-6</w:t>
                  </w:r>
                </w:p>
              </w:tc>
              <w:tc>
                <w:tcPr>
                  <w:tcW w:w="869"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6</w:t>
                  </w:r>
                </w:p>
              </w:tc>
              <w:tc>
                <w:tcPr>
                  <w:tcW w:w="85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3.86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-7</w:t>
                  </w:r>
                </w:p>
              </w:tc>
              <w:tc>
                <w:tcPr>
                  <w:tcW w:w="89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3.86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-7</w:t>
                  </w:r>
                </w:p>
              </w:tc>
              <w:tc>
                <w:tcPr>
                  <w:tcW w:w="896"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8.70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6</w:t>
                  </w:r>
                </w:p>
              </w:tc>
              <w:tc>
                <w:tcPr>
                  <w:tcW w:w="895"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2.83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H</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（μSv.m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 xml:space="preserve"> /h）</w:t>
                  </w:r>
                </w:p>
              </w:tc>
              <w:tc>
                <w:tcPr>
                  <w:tcW w:w="88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91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854"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875"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869"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85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89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89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895"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f</w:t>
                  </w:r>
                </w:p>
              </w:tc>
              <w:tc>
                <w:tcPr>
                  <w:tcW w:w="88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w:t>
                  </w:r>
                </w:p>
              </w:tc>
              <w:tc>
                <w:tcPr>
                  <w:tcW w:w="91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w:t>
                  </w:r>
                </w:p>
              </w:tc>
              <w:tc>
                <w:tcPr>
                  <w:tcW w:w="85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87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869"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85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896" w:type="dxa"/>
                  <w:tcBorders>
                    <w:right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896"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895"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R（m)</w:t>
                  </w:r>
                </w:p>
              </w:tc>
              <w:tc>
                <w:tcPr>
                  <w:tcW w:w="88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r>
                    <w:rPr>
                      <w:rFonts w:hint="eastAsia" w:ascii="Times New Roman" w:hAnsi="Times New Roman" w:cs="Times New Roman"/>
                      <w:color w:val="auto"/>
                      <w:sz w:val="21"/>
                      <w:szCs w:val="21"/>
                      <w:highlight w:val="none"/>
                      <w:lang w:val="en-US" w:eastAsia="zh-CN"/>
                    </w:rPr>
                    <w:t>8</w:t>
                  </w:r>
                </w:p>
              </w:tc>
              <w:tc>
                <w:tcPr>
                  <w:tcW w:w="91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val="en-US" w:eastAsia="zh-CN"/>
                    </w:rPr>
                    <w:t>8</w:t>
                  </w:r>
                </w:p>
              </w:tc>
              <w:tc>
                <w:tcPr>
                  <w:tcW w:w="85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9.4</w:t>
                  </w:r>
                </w:p>
              </w:tc>
              <w:tc>
                <w:tcPr>
                  <w:tcW w:w="87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9.7</w:t>
                  </w:r>
                </w:p>
              </w:tc>
              <w:tc>
                <w:tcPr>
                  <w:tcW w:w="86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10.4</w:t>
                  </w:r>
                </w:p>
              </w:tc>
              <w:tc>
                <w:tcPr>
                  <w:tcW w:w="856"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7.</w:t>
                  </w:r>
                  <w:r>
                    <w:rPr>
                      <w:rFonts w:hint="eastAsia" w:ascii="Times New Roman" w:hAnsi="Times New Roman" w:cs="Times New Roman"/>
                      <w:color w:val="auto"/>
                      <w:highlight w:val="none"/>
                      <w:lang w:val="en-US" w:eastAsia="zh-CN"/>
                    </w:rPr>
                    <w:t>7</w:t>
                  </w:r>
                </w:p>
              </w:tc>
              <w:tc>
                <w:tcPr>
                  <w:tcW w:w="896" w:type="dxa"/>
                  <w:tcBorders>
                    <w:right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7.3</w:t>
                  </w:r>
                </w:p>
              </w:tc>
              <w:tc>
                <w:tcPr>
                  <w:tcW w:w="896"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w:t>
                  </w:r>
                </w:p>
              </w:tc>
              <w:tc>
                <w:tcPr>
                  <w:tcW w:w="895" w:type="dxa"/>
                  <w:tcBorders>
                    <w:right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剂量当量H(μSv/h)</w:t>
                  </w:r>
                </w:p>
              </w:tc>
              <w:tc>
                <w:tcPr>
                  <w:tcW w:w="882"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1.80</w:t>
                  </w:r>
                </w:p>
              </w:tc>
              <w:tc>
                <w:tcPr>
                  <w:tcW w:w="916"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44</w:t>
                  </w:r>
                </w:p>
              </w:tc>
              <w:tc>
                <w:tcPr>
                  <w:tcW w:w="854"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1</w:t>
                  </w:r>
                </w:p>
              </w:tc>
              <w:tc>
                <w:tcPr>
                  <w:tcW w:w="875"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8.71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869"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3.40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85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9.46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4.30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1</w:t>
                  </w:r>
                </w:p>
              </w:tc>
              <w:tc>
                <w:tcPr>
                  <w:tcW w:w="895"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1.72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工作负荷（h）</w:t>
                  </w:r>
                </w:p>
              </w:tc>
              <w:tc>
                <w:tcPr>
                  <w:tcW w:w="882"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c>
                <w:tcPr>
                  <w:tcW w:w="916"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c>
                <w:tcPr>
                  <w:tcW w:w="854"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750</w:t>
                  </w:r>
                </w:p>
              </w:tc>
              <w:tc>
                <w:tcPr>
                  <w:tcW w:w="87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c>
                <w:tcPr>
                  <w:tcW w:w="869"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750</w:t>
                  </w:r>
                </w:p>
              </w:tc>
              <w:tc>
                <w:tcPr>
                  <w:tcW w:w="85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750</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c>
                <w:tcPr>
                  <w:tcW w:w="895"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居留因子（q）</w:t>
                  </w:r>
                </w:p>
              </w:tc>
              <w:tc>
                <w:tcPr>
                  <w:tcW w:w="882"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16</w:t>
                  </w:r>
                </w:p>
              </w:tc>
              <w:tc>
                <w:tcPr>
                  <w:tcW w:w="916"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16</w:t>
                  </w:r>
                </w:p>
              </w:tc>
              <w:tc>
                <w:tcPr>
                  <w:tcW w:w="854"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875"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869"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1/4</w:t>
                  </w:r>
                </w:p>
              </w:tc>
              <w:tc>
                <w:tcPr>
                  <w:tcW w:w="85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1/4</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16</w:t>
                  </w:r>
                </w:p>
              </w:tc>
              <w:tc>
                <w:tcPr>
                  <w:tcW w:w="895"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利用因子</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U</w:t>
                  </w:r>
                  <w:r>
                    <w:rPr>
                      <w:rFonts w:hint="default" w:ascii="Times New Roman" w:hAnsi="Times New Roman" w:cs="Times New Roman"/>
                      <w:bCs/>
                      <w:color w:val="auto"/>
                      <w:sz w:val="21"/>
                      <w:szCs w:val="21"/>
                      <w:highlight w:val="none"/>
                    </w:rPr>
                    <w:t>）</w:t>
                  </w:r>
                </w:p>
              </w:tc>
              <w:tc>
                <w:tcPr>
                  <w:tcW w:w="882"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916"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854"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1</w:t>
                  </w:r>
                </w:p>
              </w:tc>
              <w:tc>
                <w:tcPr>
                  <w:tcW w:w="875"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p>
              </w:tc>
              <w:tc>
                <w:tcPr>
                  <w:tcW w:w="869"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1</w:t>
                  </w:r>
                </w:p>
              </w:tc>
              <w:tc>
                <w:tcPr>
                  <w:tcW w:w="85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1</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1</w:t>
                  </w:r>
                </w:p>
              </w:tc>
              <w:tc>
                <w:tcPr>
                  <w:tcW w:w="895"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894" w:type="dxa"/>
                  <w:tcBorders>
                    <w:lef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年剂量E(mSv/a)</w:t>
                  </w:r>
                </w:p>
              </w:tc>
              <w:tc>
                <w:tcPr>
                  <w:tcW w:w="882"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color w:val="auto"/>
                      <w:sz w:val="21"/>
                      <w:szCs w:val="21"/>
                      <w:highlight w:val="none"/>
                      <w:lang w:val="en-US" w:eastAsia="zh-CN"/>
                    </w:rPr>
                    <w:t>2.11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-2</w:t>
                  </w:r>
                </w:p>
              </w:tc>
              <w:tc>
                <w:tcPr>
                  <w:tcW w:w="916"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2.86×10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854"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eastAsia" w:ascii="Times New Roman" w:hAnsi="Times New Roman" w:cs="Times New Roman"/>
                      <w:color w:val="auto"/>
                      <w:sz w:val="21"/>
                      <w:szCs w:val="21"/>
                      <w:highlight w:val="none"/>
                      <w:vertAlign w:val="superscript"/>
                      <w:lang w:val="en-US" w:eastAsia="zh-CN"/>
                    </w:rPr>
                    <w:t>1</w:t>
                  </w:r>
                </w:p>
              </w:tc>
              <w:tc>
                <w:tcPr>
                  <w:tcW w:w="87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62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869"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6.36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85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77</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95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896" w:type="dxa"/>
                  <w:tcBorders>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895" w:type="dxa"/>
                  <w:tcBorders>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22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894" w:type="dxa"/>
                  <w:tcBorders>
                    <w:left w:val="nil"/>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受照类型</w:t>
                  </w:r>
                </w:p>
              </w:tc>
              <w:tc>
                <w:tcPr>
                  <w:tcW w:w="882"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w:t>
                  </w:r>
                </w:p>
              </w:tc>
              <w:tc>
                <w:tcPr>
                  <w:tcW w:w="916"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w:t>
                  </w:r>
                </w:p>
              </w:tc>
              <w:tc>
                <w:tcPr>
                  <w:tcW w:w="854"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职业人员</w:t>
                  </w:r>
                </w:p>
              </w:tc>
              <w:tc>
                <w:tcPr>
                  <w:tcW w:w="875"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w:t>
                  </w:r>
                </w:p>
              </w:tc>
              <w:tc>
                <w:tcPr>
                  <w:tcW w:w="869" w:type="dxa"/>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w:t>
                  </w:r>
                </w:p>
              </w:tc>
              <w:tc>
                <w:tcPr>
                  <w:tcW w:w="856" w:type="dxa"/>
                  <w:tcBorders>
                    <w:bottom w:val="single" w:color="auto" w:sz="12" w:space="0"/>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w:t>
                  </w:r>
                </w:p>
              </w:tc>
              <w:tc>
                <w:tcPr>
                  <w:tcW w:w="896" w:type="dxa"/>
                  <w:tcBorders>
                    <w:bottom w:val="single" w:color="auto" w:sz="12" w:space="0"/>
                    <w:right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w:t>
                  </w:r>
                </w:p>
              </w:tc>
              <w:tc>
                <w:tcPr>
                  <w:tcW w:w="896" w:type="dxa"/>
                  <w:tcBorders>
                    <w:bottom w:val="single" w:color="auto" w:sz="12" w:space="0"/>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w:t>
                  </w:r>
                </w:p>
              </w:tc>
              <w:tc>
                <w:tcPr>
                  <w:tcW w:w="895" w:type="dxa"/>
                  <w:tcBorders>
                    <w:bottom w:val="single" w:color="auto" w:sz="12" w:space="0"/>
                    <w:right w:val="nil"/>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w:t>
                  </w:r>
                </w:p>
              </w:tc>
            </w:tr>
          </w:tbl>
          <w:p>
            <w:pPr>
              <w:keepNext w:val="0"/>
              <w:keepLines w:val="0"/>
              <w:widowControl/>
              <w:suppressLineNumbers w:val="0"/>
              <w:spacing w:before="0" w:beforeAutospacing="0" w:after="0" w:afterAutospacing="0" w:line="360" w:lineRule="auto"/>
              <w:ind w:left="0" w:right="0" w:firstLine="422" w:firstLineChars="2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15</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val="en-US" w:eastAsia="zh-CN"/>
              </w:rPr>
              <w:t xml:space="preserve"> 2#</w:t>
            </w:r>
            <w:r>
              <w:rPr>
                <w:rFonts w:hint="eastAsia" w:ascii="Times New Roman" w:hAnsi="Times New Roman" w:cs="Times New Roman"/>
                <w:b/>
                <w:color w:val="auto"/>
                <w:sz w:val="21"/>
                <w:szCs w:val="21"/>
                <w:highlight w:val="none"/>
                <w:lang w:val="en-US" w:eastAsia="zh-CN"/>
              </w:rPr>
              <w:t>加速器治疗室</w:t>
            </w:r>
            <w:r>
              <w:rPr>
                <w:rFonts w:hint="default" w:ascii="Times New Roman" w:hAnsi="Times New Roman" w:cs="Times New Roman"/>
                <w:b/>
                <w:color w:val="auto"/>
                <w:sz w:val="21"/>
                <w:szCs w:val="21"/>
                <w:highlight w:val="none"/>
              </w:rPr>
              <w:t>患者一次散射对关注点的剂量估算表</w:t>
            </w:r>
          </w:p>
          <w:tbl>
            <w:tblPr>
              <w:tblStyle w:val="17"/>
              <w:tblW w:w="88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2208"/>
              <w:gridCol w:w="2480"/>
              <w:gridCol w:w="24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672" w:type="dxa"/>
                  <w:vMerge w:val="restart"/>
                  <w:tcBorders>
                    <w:top w:val="single" w:color="auto" w:sz="12"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计算参数</w:t>
                  </w:r>
                </w:p>
              </w:tc>
              <w:tc>
                <w:tcPr>
                  <w:tcW w:w="7187" w:type="dxa"/>
                  <w:gridSpan w:val="3"/>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Cs w:val="21"/>
                      <w:highlight w:val="none"/>
                    </w:rPr>
                    <w:t>与主屏蔽区相连的次屏蔽区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672" w:type="dxa"/>
                  <w:vMerge w:val="continue"/>
                  <w:tcBorders>
                    <w:bottom w:val="single" w:color="auto" w:sz="12"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p>
              </w:tc>
              <w:tc>
                <w:tcPr>
                  <w:tcW w:w="2208"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w:t>
                  </w: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rPr>
                    <w:t>点</w:t>
                  </w:r>
                </w:p>
              </w:tc>
              <w:tc>
                <w:tcPr>
                  <w:tcW w:w="2480"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w:t>
                  </w:r>
                  <w:r>
                    <w:rPr>
                      <w:rFonts w:hint="default" w:ascii="Times New Roman" w:hAnsi="Times New Roman" w:cs="Times New Roman"/>
                      <w:color w:val="auto"/>
                      <w:sz w:val="21"/>
                      <w:szCs w:val="21"/>
                      <w:highlight w:val="none"/>
                      <w:lang w:val="en-US" w:eastAsia="zh-CN"/>
                    </w:rPr>
                    <w:t>D</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rPr>
                    <w:t>点</w:t>
                  </w:r>
                </w:p>
              </w:tc>
              <w:tc>
                <w:tcPr>
                  <w:tcW w:w="2499" w:type="dxa"/>
                  <w:tcBorders>
                    <w:top w:val="single" w:color="auto" w:sz="12" w:space="0"/>
                    <w:bottom w:val="single" w:color="auto" w:sz="12"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顶部M</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rPr>
                    <w:t>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672"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屏蔽厚度X（cm）</w:t>
                  </w:r>
                </w:p>
              </w:tc>
              <w:tc>
                <w:tcPr>
                  <w:tcW w:w="2208"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180</w:t>
                  </w:r>
                </w:p>
              </w:tc>
              <w:tc>
                <w:tcPr>
                  <w:tcW w:w="2480"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180</w:t>
                  </w:r>
                </w:p>
              </w:tc>
              <w:tc>
                <w:tcPr>
                  <w:tcW w:w="2499"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斜射角θ</w:t>
                  </w:r>
                </w:p>
              </w:tc>
              <w:tc>
                <w:tcPr>
                  <w:tcW w:w="220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248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33°</w:t>
                  </w:r>
                </w:p>
              </w:tc>
              <w:tc>
                <w:tcPr>
                  <w:tcW w:w="2499"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Xe（cm）</w:t>
                  </w:r>
                </w:p>
              </w:tc>
              <w:tc>
                <w:tcPr>
                  <w:tcW w:w="220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214</w:t>
                  </w:r>
                </w:p>
              </w:tc>
              <w:tc>
                <w:tcPr>
                  <w:tcW w:w="248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214</w:t>
                  </w:r>
                </w:p>
              </w:tc>
              <w:tc>
                <w:tcPr>
                  <w:tcW w:w="2499"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TVL（cm）</w:t>
                  </w:r>
                </w:p>
              </w:tc>
              <w:tc>
                <w:tcPr>
                  <w:tcW w:w="22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Cs w:val="21"/>
                      <w:highlight w:val="none"/>
                      <w:lang w:val="en-US" w:eastAsia="zh-CN"/>
                    </w:rPr>
                    <w:t>33</w:t>
                  </w:r>
                </w:p>
              </w:tc>
              <w:tc>
                <w:tcPr>
                  <w:tcW w:w="24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33</w:t>
                  </w:r>
                </w:p>
              </w:tc>
              <w:tc>
                <w:tcPr>
                  <w:tcW w:w="2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B</w:t>
                  </w:r>
                </w:p>
              </w:tc>
              <w:tc>
                <w:tcPr>
                  <w:tcW w:w="22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7</w:t>
                  </w:r>
                </w:p>
              </w:tc>
              <w:tc>
                <w:tcPr>
                  <w:tcW w:w="24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3.13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7</w:t>
                  </w:r>
                </w:p>
              </w:tc>
              <w:tc>
                <w:tcPr>
                  <w:tcW w:w="2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H</w:t>
                  </w:r>
                  <w:r>
                    <w:rPr>
                      <w:rFonts w:hint="default" w:ascii="Times New Roman" w:hAnsi="Times New Roman" w:cs="Times New Roman"/>
                      <w:bCs/>
                      <w:color w:val="auto"/>
                      <w:sz w:val="21"/>
                      <w:szCs w:val="21"/>
                      <w:highlight w:val="none"/>
                      <w:vertAlign w:val="subscript"/>
                    </w:rPr>
                    <w:t>0</w:t>
                  </w:r>
                  <w:r>
                    <w:rPr>
                      <w:rFonts w:hint="default" w:ascii="Times New Roman" w:hAnsi="Times New Roman" w:cs="Times New Roman"/>
                      <w:bCs/>
                      <w:color w:val="auto"/>
                      <w:sz w:val="21"/>
                      <w:szCs w:val="21"/>
                      <w:highlight w:val="none"/>
                    </w:rPr>
                    <w:t>(μSv.m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/h)</w:t>
                  </w:r>
                </w:p>
              </w:tc>
              <w:tc>
                <w:tcPr>
                  <w:tcW w:w="22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24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c>
                <w:tcPr>
                  <w:tcW w:w="2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1.44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α</w:t>
                  </w:r>
                  <w:r>
                    <w:rPr>
                      <w:rFonts w:hint="default" w:ascii="Times New Roman" w:hAnsi="Times New Roman" w:cs="Times New Roman"/>
                      <w:bCs/>
                      <w:color w:val="auto"/>
                      <w:sz w:val="21"/>
                      <w:szCs w:val="21"/>
                      <w:highlight w:val="none"/>
                      <w:vertAlign w:val="subscript"/>
                    </w:rPr>
                    <w:t>ph</w:t>
                  </w:r>
                </w:p>
              </w:tc>
              <w:tc>
                <w:tcPr>
                  <w:tcW w:w="22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24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24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F(cm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w:t>
                  </w:r>
                </w:p>
              </w:tc>
              <w:tc>
                <w:tcPr>
                  <w:tcW w:w="220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r>
                    <w:rPr>
                      <w:rFonts w:hint="default" w:ascii="Times New Roman" w:hAnsi="Times New Roman" w:cs="Times New Roman"/>
                      <w:color w:val="auto"/>
                      <w:sz w:val="21"/>
                      <w:szCs w:val="21"/>
                      <w:highlight w:val="none"/>
                    </w:rPr>
                    <w:t>×40</w:t>
                  </w:r>
                </w:p>
              </w:tc>
              <w:tc>
                <w:tcPr>
                  <w:tcW w:w="248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r>
                    <w:rPr>
                      <w:rFonts w:hint="default" w:ascii="Times New Roman" w:hAnsi="Times New Roman" w:cs="Times New Roman"/>
                      <w:color w:val="auto"/>
                      <w:sz w:val="21"/>
                      <w:szCs w:val="21"/>
                      <w:highlight w:val="none"/>
                    </w:rPr>
                    <w:t>×40</w:t>
                  </w:r>
                </w:p>
              </w:tc>
              <w:tc>
                <w:tcPr>
                  <w:tcW w:w="24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r>
                    <w:rPr>
                      <w:rFonts w:hint="default" w:ascii="Times New Roman" w:hAnsi="Times New Roman" w:cs="Times New Roman"/>
                      <w:color w:val="auto"/>
                      <w:sz w:val="21"/>
                      <w:szCs w:val="21"/>
                      <w:highlight w:val="none"/>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R（m）</w:t>
                  </w:r>
                </w:p>
              </w:tc>
              <w:tc>
                <w:tcPr>
                  <w:tcW w:w="220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7.</w:t>
                  </w:r>
                  <w:r>
                    <w:rPr>
                      <w:rFonts w:hint="eastAsia" w:ascii="Times New Roman" w:hAnsi="Times New Roman" w:cs="Times New Roman"/>
                      <w:color w:val="auto"/>
                      <w:highlight w:val="none"/>
                      <w:lang w:val="en-US" w:eastAsia="zh-CN"/>
                    </w:rPr>
                    <w:t>7</w:t>
                  </w:r>
                </w:p>
              </w:tc>
              <w:tc>
                <w:tcPr>
                  <w:tcW w:w="248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7.3</w:t>
                  </w:r>
                </w:p>
              </w:tc>
              <w:tc>
                <w:tcPr>
                  <w:tcW w:w="2499"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剂量当量H(μSv/h)</w:t>
                  </w:r>
                </w:p>
              </w:tc>
              <w:tc>
                <w:tcPr>
                  <w:tcW w:w="220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248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4.56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24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4.55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工作负荷（h）</w:t>
                  </w:r>
                </w:p>
              </w:tc>
              <w:tc>
                <w:tcPr>
                  <w:tcW w:w="220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c>
                <w:tcPr>
                  <w:tcW w:w="248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750</w:t>
                  </w:r>
                </w:p>
              </w:tc>
              <w:tc>
                <w:tcPr>
                  <w:tcW w:w="24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居留因子（q）</w:t>
                  </w:r>
                </w:p>
              </w:tc>
              <w:tc>
                <w:tcPr>
                  <w:tcW w:w="220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248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24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Cs w:val="21"/>
                      <w:highlight w:val="none"/>
                      <w:lang w:val="en-US" w:eastAsia="zh-CN"/>
                    </w:rPr>
                    <w:t>利用因子</w:t>
                  </w:r>
                </w:p>
              </w:tc>
              <w:tc>
                <w:tcPr>
                  <w:tcW w:w="220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Cs w:val="21"/>
                      <w:highlight w:val="none"/>
                      <w:lang w:val="en-US" w:eastAsia="zh-CN"/>
                    </w:rPr>
                    <w:t>1</w:t>
                  </w:r>
                </w:p>
              </w:tc>
              <w:tc>
                <w:tcPr>
                  <w:tcW w:w="248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Cs w:val="21"/>
                      <w:highlight w:val="none"/>
                      <w:lang w:val="en-US" w:eastAsia="zh-CN"/>
                    </w:rPr>
                    <w:t>1</w:t>
                  </w:r>
                </w:p>
              </w:tc>
              <w:tc>
                <w:tcPr>
                  <w:tcW w:w="24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年剂量E(mSv/a)</w:t>
                  </w:r>
                </w:p>
              </w:tc>
              <w:tc>
                <w:tcPr>
                  <w:tcW w:w="220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248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8.54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24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3.</w:t>
                  </w:r>
                  <w:r>
                    <w:rPr>
                      <w:rFonts w:hint="eastAsia" w:ascii="Times New Roman" w:hAnsi="Times New Roman" w:cs="Times New Roman"/>
                      <w:bCs/>
                      <w:color w:val="auto"/>
                      <w:sz w:val="21"/>
                      <w:szCs w:val="21"/>
                      <w:highlight w:val="none"/>
                      <w:lang w:val="en-US" w:eastAsia="zh-CN"/>
                    </w:rPr>
                    <w:t>33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受照类型</w:t>
                  </w:r>
                </w:p>
              </w:tc>
              <w:tc>
                <w:tcPr>
                  <w:tcW w:w="220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c>
                <w:tcPr>
                  <w:tcW w:w="248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c>
                <w:tcPr>
                  <w:tcW w:w="24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r>
          </w:tbl>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16</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eastAsia="zh-CN"/>
              </w:rPr>
              <w:t>加速器治疗室迷路</w:t>
            </w:r>
            <w:r>
              <w:rPr>
                <w:rFonts w:hint="default" w:ascii="Times New Roman" w:hAnsi="Times New Roman" w:cs="Times New Roman"/>
                <w:b/>
                <w:color w:val="auto"/>
                <w:sz w:val="21"/>
                <w:szCs w:val="21"/>
                <w:highlight w:val="none"/>
              </w:rPr>
              <w:t>入口处由散射辐射产生的剂量估算表</w:t>
            </w:r>
          </w:p>
          <w:tbl>
            <w:tblPr>
              <w:tblStyle w:val="17"/>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6"/>
              <w:gridCol w:w="4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116" w:type="dxa"/>
                  <w:tcBorders>
                    <w:top w:val="single" w:color="auto" w:sz="12" w:space="0"/>
                    <w:left w:val="nil"/>
                    <w:bottom w:val="single" w:color="auto" w:sz="12"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计算参数</w:t>
                  </w:r>
                </w:p>
              </w:tc>
              <w:tc>
                <w:tcPr>
                  <w:tcW w:w="4783" w:type="dxa"/>
                  <w:tcBorders>
                    <w:top w:val="single" w:color="auto" w:sz="12" w:space="0"/>
                    <w:bottom w:val="single" w:color="auto" w:sz="12" w:space="0"/>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迷路入口处</w:t>
                  </w:r>
                  <w:r>
                    <w:rPr>
                      <w:rFonts w:hint="default" w:ascii="Times New Roman" w:hAnsi="Times New Roman" w:cs="Times New Roman"/>
                      <w:bCs/>
                      <w:color w:val="auto"/>
                      <w:sz w:val="21"/>
                      <w:szCs w:val="21"/>
                      <w:highlight w:val="none"/>
                    </w:rPr>
                    <w:t>（关注点</w:t>
                  </w:r>
                  <w:r>
                    <w:rPr>
                      <w:rFonts w:hint="default" w:ascii="Times New Roman" w:hAnsi="Times New Roman" w:cs="Times New Roman"/>
                      <w:bCs/>
                      <w:color w:val="auto"/>
                      <w:sz w:val="21"/>
                      <w:szCs w:val="21"/>
                      <w:highlight w:val="none"/>
                      <w:lang w:val="en-US" w:eastAsia="zh-CN"/>
                    </w:rPr>
                    <w:t>G</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116" w:type="dxa"/>
                  <w:tcBorders>
                    <w:top w:val="single" w:color="auto" w:sz="12" w:space="0"/>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机房入口处的散射辐剂量率H</w:t>
                  </w:r>
                  <w:r>
                    <w:rPr>
                      <w:rFonts w:hint="default" w:ascii="Times New Roman" w:hAnsi="Times New Roman" w:cs="Times New Roman"/>
                      <w:bCs/>
                      <w:color w:val="auto"/>
                      <w:sz w:val="21"/>
                      <w:szCs w:val="21"/>
                      <w:highlight w:val="none"/>
                      <w:vertAlign w:val="subscript"/>
                      <w:lang w:val="en-US" w:eastAsia="zh-CN"/>
                    </w:rPr>
                    <w:t>g</w:t>
                  </w:r>
                  <w:r>
                    <w:rPr>
                      <w:rFonts w:hint="default" w:ascii="Times New Roman" w:hAnsi="Times New Roman" w:cs="Times New Roman"/>
                      <w:bCs/>
                      <w:color w:val="auto"/>
                      <w:sz w:val="21"/>
                      <w:szCs w:val="21"/>
                      <w:highlight w:val="none"/>
                    </w:rPr>
                    <w:t>（μSv/h）</w:t>
                  </w:r>
                </w:p>
              </w:tc>
              <w:tc>
                <w:tcPr>
                  <w:tcW w:w="4783" w:type="dxa"/>
                  <w:tcBorders>
                    <w:top w:val="single" w:color="auto" w:sz="12" w:space="0"/>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116" w:type="dxa"/>
                  <w:tcBorders>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屏蔽厚度X（mm）</w:t>
                  </w:r>
                </w:p>
              </w:tc>
              <w:tc>
                <w:tcPr>
                  <w:tcW w:w="4783" w:type="dxa"/>
                  <w:tcBorders>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116" w:type="dxa"/>
                  <w:tcBorders>
                    <w:lef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剂量当量H</w:t>
                  </w:r>
                  <w:r>
                    <w:rPr>
                      <w:rFonts w:hint="default" w:ascii="Times New Roman" w:hAnsi="Times New Roman" w:cs="Times New Roman"/>
                      <w:bCs/>
                      <w:color w:val="auto"/>
                      <w:sz w:val="21"/>
                      <w:szCs w:val="21"/>
                      <w:highlight w:val="none"/>
                      <w:vertAlign w:val="subscript"/>
                      <w:lang w:val="en-US" w:eastAsia="zh-CN"/>
                    </w:rPr>
                    <w:t>c</w:t>
                  </w:r>
                  <w:r>
                    <w:rPr>
                      <w:rFonts w:hint="default" w:ascii="Times New Roman" w:hAnsi="Times New Roman" w:cs="Times New Roman"/>
                      <w:bCs/>
                      <w:color w:val="auto"/>
                      <w:sz w:val="21"/>
                      <w:szCs w:val="21"/>
                      <w:highlight w:val="none"/>
                    </w:rPr>
                    <w:t>(μSv/h)</w:t>
                  </w:r>
                </w:p>
              </w:tc>
              <w:tc>
                <w:tcPr>
                  <w:tcW w:w="4783"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1.42×10</w:t>
                  </w:r>
                  <w:r>
                    <w:rPr>
                      <w:rFonts w:hint="default" w:ascii="Times New Roman" w:hAnsi="Times New Roman" w:cs="Times New Roman"/>
                      <w:bCs/>
                      <w:color w:val="auto"/>
                      <w:sz w:val="21"/>
                      <w:szCs w:val="21"/>
                      <w:highlight w:val="none"/>
                      <w:vertAlign w:val="superscrip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6" w:type="dxa"/>
                  <w:tcBorders>
                    <w:lef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TVL（mm）</w:t>
                  </w:r>
                </w:p>
              </w:tc>
              <w:tc>
                <w:tcPr>
                  <w:tcW w:w="4783"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6" w:type="dxa"/>
                  <w:tcBorders>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工作负荷（h）</w:t>
                  </w:r>
                </w:p>
              </w:tc>
              <w:tc>
                <w:tcPr>
                  <w:tcW w:w="4783"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6" w:type="dxa"/>
                  <w:tcBorders>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居留因子（m)</w:t>
                  </w:r>
                </w:p>
              </w:tc>
              <w:tc>
                <w:tcPr>
                  <w:tcW w:w="4783" w:type="dxa"/>
                  <w:tcBorders>
                    <w:right w:val="nil"/>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6" w:type="dxa"/>
                  <w:tcBorders>
                    <w:lef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关注点年剂量</w:t>
                  </w:r>
                  <w:r>
                    <w:rPr>
                      <w:rFonts w:hint="default" w:ascii="Times New Roman" w:hAnsi="Times New Roman" w:cs="Times New Roman"/>
                      <w:bCs/>
                      <w:color w:val="auto"/>
                      <w:sz w:val="21"/>
                      <w:szCs w:val="21"/>
                      <w:highlight w:val="none"/>
                    </w:rPr>
                    <w:t>(mSv/a)</w:t>
                  </w:r>
                </w:p>
              </w:tc>
              <w:tc>
                <w:tcPr>
                  <w:tcW w:w="4783" w:type="dxa"/>
                  <w:tcBorders>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r>
                    <w:rPr>
                      <w:rFonts w:hint="eastAsia" w:ascii="Times New Roman" w:hAnsi="Times New Roman" w:cs="Times New Roman"/>
                      <w:bCs/>
                      <w:color w:val="auto"/>
                      <w:sz w:val="21"/>
                      <w:szCs w:val="21"/>
                      <w:highlight w:val="none"/>
                      <w:lang w:val="en-US" w:eastAsia="zh-CN"/>
                    </w:rPr>
                    <w:t>66</w:t>
                  </w:r>
                  <w:r>
                    <w:rPr>
                      <w:rFonts w:hint="default" w:ascii="Times New Roman" w:hAnsi="Times New Roman" w:cs="Times New Roman"/>
                      <w:bCs/>
                      <w:color w:val="auto"/>
                      <w:sz w:val="21"/>
                      <w:szCs w:val="21"/>
                      <w:highlight w:val="none"/>
                      <w:lang w:val="en-US" w:eastAsia="zh-CN"/>
                    </w:rPr>
                    <w:t>×10</w:t>
                  </w:r>
                  <w:r>
                    <w:rPr>
                      <w:rFonts w:hint="default" w:ascii="Times New Roman" w:hAnsi="Times New Roman" w:cs="Times New Roman"/>
                      <w:bCs/>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6" w:type="dxa"/>
                  <w:tcBorders>
                    <w:left w:val="nil"/>
                    <w:bottom w:val="single" w:color="auto" w:sz="12"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受照类型</w:t>
                  </w:r>
                </w:p>
              </w:tc>
              <w:tc>
                <w:tcPr>
                  <w:tcW w:w="4783" w:type="dxa"/>
                  <w:tcBorders>
                    <w:bottom w:val="single" w:color="auto" w:sz="12" w:space="0"/>
                    <w:right w:val="nil"/>
                  </w:tcBorders>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公众</w:t>
                  </w:r>
                </w:p>
              </w:tc>
            </w:tr>
          </w:tbl>
          <w:p>
            <w:pPr>
              <w:keepNext w:val="0"/>
              <w:keepLines w:val="0"/>
              <w:suppressLineNumbers w:val="0"/>
              <w:spacing w:before="0" w:beforeAutospacing="0" w:after="0" w:afterAutospacing="0" w:line="360" w:lineRule="auto"/>
              <w:ind w:left="0" w:right="0" w:firstLine="573"/>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由于</w:t>
            </w:r>
            <w:r>
              <w:rPr>
                <w:rFonts w:hint="default" w:ascii="Times New Roman" w:hAnsi="Times New Roman" w:cs="Times New Roman"/>
                <w:bCs/>
                <w:color w:val="auto"/>
                <w:sz w:val="24"/>
                <w:highlight w:val="none"/>
              </w:rPr>
              <w:t>墙体</w:t>
            </w:r>
            <w:r>
              <w:rPr>
                <w:rFonts w:hint="default" w:ascii="Times New Roman" w:hAnsi="Times New Roman" w:cs="Times New Roman"/>
                <w:b w:val="0"/>
                <w:bCs/>
                <w:color w:val="auto"/>
                <w:sz w:val="24"/>
                <w:szCs w:val="24"/>
                <w:highlight w:val="none"/>
                <w:lang w:val="en-US" w:eastAsia="zh-CN"/>
              </w:rPr>
              <w:t>D</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b w:val="0"/>
                <w:bCs/>
                <w:color w:val="auto"/>
                <w:sz w:val="24"/>
                <w:szCs w:val="24"/>
                <w:highlight w:val="none"/>
              </w:rPr>
              <w:t>点</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C</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b w:val="0"/>
                <w:bCs/>
                <w:color w:val="auto"/>
                <w:sz w:val="24"/>
                <w:szCs w:val="24"/>
                <w:highlight w:val="none"/>
                <w:lang w:val="en-US" w:eastAsia="zh-CN"/>
              </w:rPr>
              <w:t>点</w:t>
            </w:r>
            <w:r>
              <w:rPr>
                <w:rFonts w:hint="default" w:ascii="Times New Roman" w:hAnsi="Times New Roman" w:cs="Times New Roman"/>
                <w:bCs/>
                <w:color w:val="auto"/>
                <w:sz w:val="24"/>
                <w:highlight w:val="none"/>
              </w:rPr>
              <w:t>和顶部M</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bCs/>
                <w:color w:val="auto"/>
                <w:sz w:val="24"/>
                <w:highlight w:val="none"/>
              </w:rPr>
              <w:t>点既要受X射线漏射影响，亦要受</w:t>
            </w:r>
            <w:r>
              <w:rPr>
                <w:rFonts w:hint="default" w:ascii="Times New Roman" w:hAnsi="Times New Roman" w:cs="Times New Roman"/>
                <w:bCs/>
                <w:color w:val="auto"/>
                <w:sz w:val="24"/>
                <w:highlight w:val="none"/>
                <w:lang w:val="en-US" w:eastAsia="zh-CN"/>
              </w:rPr>
              <w:t>治疗室</w:t>
            </w:r>
            <w:r>
              <w:rPr>
                <w:rFonts w:hint="default" w:ascii="Times New Roman" w:hAnsi="Times New Roman" w:cs="Times New Roman"/>
                <w:bCs/>
                <w:color w:val="auto"/>
                <w:sz w:val="24"/>
                <w:highlight w:val="none"/>
              </w:rPr>
              <w:t>患者一次散射影响，通过剂量叠加得到上述关注点的最终年剂量如下表所示：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表11-</w:t>
            </w:r>
            <w:r>
              <w:rPr>
                <w:rFonts w:hint="default" w:ascii="Times New Roman" w:hAnsi="Times New Roman" w:cs="Times New Roman"/>
                <w:b/>
                <w:color w:val="auto"/>
                <w:sz w:val="21"/>
                <w:szCs w:val="21"/>
                <w:highlight w:val="none"/>
                <w:lang w:val="en-US" w:eastAsia="zh-CN"/>
              </w:rPr>
              <w:t xml:space="preserve">17  </w:t>
            </w:r>
            <w:r>
              <w:rPr>
                <w:rFonts w:hint="default" w:ascii="Times New Roman" w:hAnsi="Times New Roman" w:cs="Times New Roman"/>
                <w:b/>
                <w:bCs/>
                <w:color w:val="auto"/>
                <w:sz w:val="21"/>
                <w:szCs w:val="21"/>
                <w:highlight w:val="none"/>
                <w:lang w:val="en-US" w:eastAsia="zh-CN"/>
              </w:rPr>
              <w:t>C</w:t>
            </w:r>
            <w:r>
              <w:rPr>
                <w:rFonts w:hint="default" w:ascii="Times New Roman" w:hAnsi="Times New Roman" w:cs="Times New Roman"/>
                <w:b/>
                <w:bCs/>
                <w:color w:val="auto"/>
                <w:sz w:val="21"/>
                <w:szCs w:val="21"/>
                <w:highlight w:val="none"/>
                <w:vertAlign w:val="subscript"/>
                <w:lang w:val="en-US" w:eastAsia="zh-CN"/>
              </w:rPr>
              <w:t>2</w:t>
            </w:r>
            <w:r>
              <w:rPr>
                <w:rFonts w:hint="default" w:ascii="Times New Roman" w:hAnsi="Times New Roman" w:cs="Times New Roman"/>
                <w:b/>
                <w:bCs/>
                <w:color w:val="auto"/>
                <w:sz w:val="21"/>
                <w:szCs w:val="21"/>
                <w:highlight w:val="none"/>
                <w:lang w:val="en-US" w:eastAsia="zh-CN"/>
              </w:rPr>
              <w:t>、</w:t>
            </w:r>
            <w:r>
              <w:rPr>
                <w:rFonts w:hint="default" w:ascii="Times New Roman" w:hAnsi="Times New Roman" w:cs="Times New Roman"/>
                <w:b/>
                <w:color w:val="auto"/>
                <w:sz w:val="21"/>
                <w:szCs w:val="21"/>
                <w:highlight w:val="none"/>
                <w:lang w:val="en-US" w:eastAsia="zh-CN"/>
              </w:rPr>
              <w:t>D</w:t>
            </w:r>
            <w:r>
              <w:rPr>
                <w:rFonts w:hint="default" w:ascii="Times New Roman" w:hAnsi="Times New Roman" w:cs="Times New Roman"/>
                <w:b/>
                <w:bCs/>
                <w:color w:val="auto"/>
                <w:sz w:val="21"/>
                <w:szCs w:val="21"/>
                <w:highlight w:val="none"/>
                <w:vertAlign w:val="subscript"/>
                <w:lang w:val="en-US" w:eastAsia="zh-CN"/>
              </w:rPr>
              <w:t>2</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vertAlign w:val="subscript"/>
                <w:lang w:val="en-US" w:eastAsia="zh-CN"/>
              </w:rPr>
              <w:t>2</w:t>
            </w:r>
            <w:r>
              <w:rPr>
                <w:rFonts w:hint="default" w:ascii="Times New Roman" w:hAnsi="Times New Roman" w:cs="Times New Roman"/>
                <w:b/>
                <w:color w:val="auto"/>
                <w:sz w:val="21"/>
                <w:szCs w:val="21"/>
                <w:highlight w:val="none"/>
              </w:rPr>
              <w:t>关注点剂量叠加结果</w:t>
            </w:r>
          </w:p>
          <w:tbl>
            <w:tblPr>
              <w:tblStyle w:val="17"/>
              <w:tblW w:w="88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4"/>
              <w:gridCol w:w="2401"/>
              <w:gridCol w:w="2019"/>
              <w:gridCol w:w="19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524" w:type="dxa"/>
                  <w:vMerge w:val="restart"/>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计算参数</w:t>
                  </w:r>
                </w:p>
              </w:tc>
              <w:tc>
                <w:tcPr>
                  <w:tcW w:w="6375" w:type="dxa"/>
                  <w:gridSpan w:val="3"/>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与主屏蔽区相连的次屏蔽区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524" w:type="dxa"/>
                  <w:vMerge w:val="continue"/>
                  <w:tcBorders>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2401" w:type="dxa"/>
                  <w:tcBorders>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 w:val="0"/>
                      <w:bCs w:val="0"/>
                      <w:color w:val="auto"/>
                      <w:sz w:val="21"/>
                      <w:szCs w:val="21"/>
                      <w:highlight w:val="none"/>
                      <w:vertAlign w:val="baseline"/>
                      <w:lang w:val="en-US" w:eastAsia="zh-CN"/>
                    </w:rPr>
                    <w:t>C</w:t>
                  </w:r>
                  <w:r>
                    <w:rPr>
                      <w:rFonts w:hint="default" w:ascii="Times New Roman" w:hAnsi="Times New Roman" w:cs="Times New Roman"/>
                      <w:b w:val="0"/>
                      <w:bCs w:val="0"/>
                      <w:color w:val="auto"/>
                      <w:sz w:val="21"/>
                      <w:szCs w:val="21"/>
                      <w:highlight w:val="none"/>
                      <w:vertAlign w:val="subscript"/>
                      <w:lang w:val="en-US" w:eastAsia="zh-CN"/>
                    </w:rPr>
                    <w:t>2</w:t>
                  </w:r>
                </w:p>
              </w:tc>
              <w:tc>
                <w:tcPr>
                  <w:tcW w:w="2019" w:type="dxa"/>
                  <w:tcBorders>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 w:val="0"/>
                      <w:bCs w:val="0"/>
                      <w:color w:val="auto"/>
                      <w:sz w:val="21"/>
                      <w:szCs w:val="21"/>
                      <w:highlight w:val="none"/>
                      <w:vertAlign w:val="baseline"/>
                      <w:lang w:val="en-US" w:eastAsia="zh-CN"/>
                    </w:rPr>
                    <w:t>D</w:t>
                  </w:r>
                  <w:r>
                    <w:rPr>
                      <w:rFonts w:hint="default" w:ascii="Times New Roman" w:hAnsi="Times New Roman" w:cs="Times New Roman"/>
                      <w:b w:val="0"/>
                      <w:bCs w:val="0"/>
                      <w:color w:val="auto"/>
                      <w:sz w:val="21"/>
                      <w:szCs w:val="21"/>
                      <w:highlight w:val="none"/>
                      <w:vertAlign w:val="subscript"/>
                      <w:lang w:val="en-US" w:eastAsia="zh-CN"/>
                    </w:rPr>
                    <w:t>2</w:t>
                  </w:r>
                </w:p>
              </w:tc>
              <w:tc>
                <w:tcPr>
                  <w:tcW w:w="1955" w:type="dxa"/>
                  <w:tcBorders>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 w:val="0"/>
                      <w:bCs w:val="0"/>
                      <w:color w:val="auto"/>
                      <w:sz w:val="21"/>
                      <w:szCs w:val="21"/>
                      <w:highlight w:val="none"/>
                      <w:vertAlign w:val="baseline"/>
                      <w:lang w:val="en-US" w:eastAsia="zh-CN"/>
                    </w:rPr>
                    <w:t>M</w:t>
                  </w:r>
                  <w:r>
                    <w:rPr>
                      <w:rFonts w:hint="default" w:ascii="Times New Roman" w:hAnsi="Times New Roman" w:cs="Times New Roman"/>
                      <w:b w:val="0"/>
                      <w:bCs w:val="0"/>
                      <w:color w:val="auto"/>
                      <w:sz w:val="21"/>
                      <w:szCs w:val="21"/>
                      <w:highlight w:val="none"/>
                      <w:vertAlign w:val="sub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524" w:type="dxa"/>
                  <w:tcBorders>
                    <w:top w:val="single" w:color="auto" w:sz="12"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漏射影响(mSv/a)</w:t>
                  </w:r>
                </w:p>
              </w:tc>
              <w:tc>
                <w:tcPr>
                  <w:tcW w:w="2401" w:type="dxa"/>
                  <w:tcBorders>
                    <w:top w:val="single" w:color="auto" w:sz="12"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77</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2019" w:type="dxa"/>
                  <w:tcBorders>
                    <w:top w:val="single" w:color="auto" w:sz="12"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95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955" w:type="dxa"/>
                  <w:tcBorders>
                    <w:top w:val="single" w:color="auto" w:sz="12"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3.22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24" w:type="dxa"/>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散射影响(mSv/a)</w:t>
                  </w:r>
                </w:p>
              </w:tc>
              <w:tc>
                <w:tcPr>
                  <w:tcW w:w="240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7.</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2019"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eastAsia" w:ascii="Times New Roman" w:hAnsi="Times New Roman" w:cs="Times New Roman"/>
                      <w:color w:val="auto"/>
                      <w:sz w:val="21"/>
                      <w:szCs w:val="21"/>
                      <w:highlight w:val="none"/>
                      <w:lang w:val="en-US" w:eastAsia="zh-CN"/>
                    </w:rPr>
                    <w:t>8.54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955"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w:t>
                  </w:r>
                  <w:r>
                    <w:rPr>
                      <w:rFonts w:hint="eastAsia" w:ascii="Times New Roman" w:hAnsi="Times New Roman" w:cs="Times New Roman"/>
                      <w:bCs/>
                      <w:color w:val="auto"/>
                      <w:sz w:val="21"/>
                      <w:szCs w:val="21"/>
                      <w:highlight w:val="none"/>
                      <w:lang w:val="en-US" w:eastAsia="zh-CN"/>
                    </w:rPr>
                    <w:t>33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24" w:type="dxa"/>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年剂量(mSv/a)</w:t>
                  </w:r>
                </w:p>
              </w:tc>
              <w:tc>
                <w:tcPr>
                  <w:tcW w:w="240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eastAsia="zh-CN"/>
                    </w:rPr>
                  </w:pPr>
                  <w:r>
                    <w:rPr>
                      <w:rFonts w:hint="eastAsia" w:ascii="Times New Roman" w:hAnsi="Times New Roman" w:cs="Times New Roman"/>
                      <w:color w:val="auto"/>
                      <w:szCs w:val="21"/>
                      <w:highlight w:val="none"/>
                      <w:lang w:val="en-US" w:eastAsia="zh-CN"/>
                    </w:rPr>
                    <w:t>9.52</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3</w:t>
                  </w:r>
                </w:p>
              </w:tc>
              <w:tc>
                <w:tcPr>
                  <w:tcW w:w="2019"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eastAsia="zh-CN"/>
                    </w:rPr>
                  </w:pPr>
                  <w:r>
                    <w:rPr>
                      <w:rFonts w:hint="eastAsia" w:ascii="Times New Roman" w:hAnsi="Times New Roman" w:cs="Times New Roman"/>
                      <w:bCs/>
                      <w:color w:val="auto"/>
                      <w:szCs w:val="21"/>
                      <w:highlight w:val="none"/>
                      <w:lang w:val="en-US" w:eastAsia="zh-CN"/>
                    </w:rPr>
                    <w:t>1.04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eastAsia" w:ascii="Times New Roman" w:hAnsi="Times New Roman" w:cs="Times New Roman"/>
                      <w:color w:val="auto"/>
                      <w:szCs w:val="21"/>
                      <w:highlight w:val="none"/>
                      <w:vertAlign w:val="superscript"/>
                      <w:lang w:val="en-US" w:eastAsia="zh-CN"/>
                    </w:rPr>
                    <w:t>2</w:t>
                  </w:r>
                </w:p>
              </w:tc>
              <w:tc>
                <w:tcPr>
                  <w:tcW w:w="1955"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w:t>
                  </w:r>
                  <w:r>
                    <w:rPr>
                      <w:rFonts w:hint="eastAsia" w:ascii="Times New Roman" w:hAnsi="Times New Roman" w:cs="Times New Roman"/>
                      <w:bCs/>
                      <w:color w:val="auto"/>
                      <w:szCs w:val="21"/>
                      <w:highlight w:val="none"/>
                      <w:lang w:val="en-US" w:eastAsia="zh-CN"/>
                    </w:rPr>
                    <w:t>55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24" w:type="dxa"/>
                  <w:tcBorders>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受照类型</w:t>
                  </w:r>
                </w:p>
              </w:tc>
              <w:tc>
                <w:tcPr>
                  <w:tcW w:w="240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公众</w:t>
                  </w:r>
                </w:p>
              </w:tc>
              <w:tc>
                <w:tcPr>
                  <w:tcW w:w="2019"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公众</w:t>
                  </w:r>
                </w:p>
              </w:tc>
              <w:tc>
                <w:tcPr>
                  <w:tcW w:w="1955"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公众</w:t>
                  </w:r>
                </w:p>
              </w:tc>
            </w:tr>
          </w:tbl>
          <w:p>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highlight w:val="none"/>
              </w:rPr>
              <w:t xml:space="preserve">     </w:t>
            </w:r>
            <w:r>
              <w:rPr>
                <w:rFonts w:hint="default" w:ascii="Times New Roman" w:hAnsi="Times New Roman" w:cs="Times New Roman"/>
                <w:color w:val="auto"/>
                <w:sz w:val="24"/>
                <w:highlight w:val="none"/>
              </w:rPr>
              <w:t>通过表11-</w:t>
            </w:r>
            <w:r>
              <w:rPr>
                <w:rFonts w:hint="default" w:ascii="Times New Roman" w:hAnsi="Times New Roman" w:cs="Times New Roman"/>
                <w:color w:val="auto"/>
                <w:sz w:val="24"/>
                <w:highlight w:val="none"/>
                <w:lang w:val="en-US" w:eastAsia="zh-CN"/>
              </w:rPr>
              <w:t>14</w:t>
            </w:r>
            <w:r>
              <w:rPr>
                <w:rFonts w:hint="default" w:ascii="Times New Roman" w:hAnsi="Times New Roman" w:cs="Times New Roman"/>
                <w:color w:val="auto"/>
                <w:sz w:val="24"/>
                <w:highlight w:val="none"/>
              </w:rPr>
              <w:t>至11-</w:t>
            </w:r>
            <w:r>
              <w:rPr>
                <w:rFonts w:hint="default" w:ascii="Times New Roman" w:hAnsi="Times New Roman" w:cs="Times New Roman"/>
                <w:color w:val="auto"/>
                <w:sz w:val="24"/>
                <w:highlight w:val="none"/>
                <w:lang w:val="en-US" w:eastAsia="zh-CN"/>
              </w:rPr>
              <w:t>17</w:t>
            </w:r>
            <w:r>
              <w:rPr>
                <w:rFonts w:hint="default" w:ascii="Times New Roman" w:hAnsi="Times New Roman" w:cs="Times New Roman"/>
                <w:color w:val="auto"/>
                <w:sz w:val="24"/>
                <w:highlight w:val="none"/>
              </w:rPr>
              <w:t>可知，通过</w:t>
            </w:r>
            <w:r>
              <w:rPr>
                <w:rFonts w:hint="default" w:ascii="Times New Roman" w:hAnsi="Times New Roman" w:cs="Times New Roman"/>
                <w:color w:val="auto"/>
                <w:sz w:val="24"/>
                <w:highlight w:val="none"/>
                <w:lang w:val="en-US" w:eastAsia="zh-CN"/>
              </w:rPr>
              <w:t>2#加速器治疗室</w:t>
            </w:r>
            <w:r>
              <w:rPr>
                <w:rFonts w:hint="default" w:ascii="Times New Roman" w:hAnsi="Times New Roman" w:cs="Times New Roman"/>
                <w:color w:val="auto"/>
                <w:sz w:val="24"/>
                <w:highlight w:val="none"/>
              </w:rPr>
              <w:t>的实体防护后，照射类型为职业人员的年剂量最大为</w:t>
            </w:r>
            <w:r>
              <w:rPr>
                <w:rFonts w:hint="eastAsia" w:ascii="Times New Roman" w:hAnsi="Times New Roman" w:cs="Times New Roman"/>
                <w:color w:val="auto"/>
                <w:sz w:val="24"/>
                <w:szCs w:val="24"/>
                <w:highlight w:val="none"/>
                <w:lang w:val="en-US" w:eastAsia="zh-CN"/>
              </w:rPr>
              <w:t>1.06</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w:t>
            </w:r>
            <w:r>
              <w:rPr>
                <w:rFonts w:hint="eastAsia" w:ascii="Times New Roman" w:hAnsi="Times New Roman" w:cs="Times New Roman"/>
                <w:color w:val="auto"/>
                <w:sz w:val="24"/>
                <w:szCs w:val="24"/>
                <w:highlight w:val="none"/>
                <w:vertAlign w:val="superscript"/>
                <w:lang w:val="en-US" w:eastAsia="zh-CN"/>
              </w:rPr>
              <w:t>1</w:t>
            </w:r>
            <w:r>
              <w:rPr>
                <w:rFonts w:hint="default" w:ascii="Times New Roman" w:hAnsi="Times New Roman" w:cs="Times New Roman"/>
                <w:color w:val="auto"/>
                <w:sz w:val="24"/>
                <w:highlight w:val="none"/>
              </w:rPr>
              <w:t>mSv，照射类型为公众的年剂量最大为</w:t>
            </w:r>
            <w:r>
              <w:rPr>
                <w:rFonts w:hint="default" w:ascii="Times New Roman" w:hAnsi="Times New Roman"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val="en-US" w:eastAsia="zh-CN"/>
              </w:rPr>
              <w:t>55</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highlight w:val="none"/>
              </w:rPr>
              <w:t>mSv，分别低于5.0mSv和0.1mSv的剂量约束值。</w:t>
            </w:r>
          </w:p>
          <w:p>
            <w:pPr>
              <w:keepNext w:val="0"/>
              <w:keepLines w:val="0"/>
              <w:widowControl/>
              <w:numPr>
                <w:ilvl w:val="0"/>
                <w:numId w:val="0"/>
              </w:numPr>
              <w:suppressLineNumbers w:val="0"/>
              <w:spacing w:before="0" w:beforeAutospacing="0" w:after="0" w:afterAutospacing="0" w:line="360" w:lineRule="auto"/>
              <w:ind w:left="480" w:leftChars="0" w:right="0"/>
              <w:jc w:val="both"/>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（5）2#加速器治疗室防护门屏蔽计算</w:t>
            </w:r>
          </w:p>
          <w:p>
            <w:pPr>
              <w:pStyle w:val="2"/>
              <w:keepNext w:val="0"/>
              <w:keepLines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根据《放射治疗机房的辐射屏蔽规范第1部分：一般原则》第4.7.4条规定：对于大于10MV的X射线治疗机房，迷路入口的防护门应同时考虑X射线和“杂散”中子的散射辐射及中子俘获</w:t>
            </w:r>
            <w:r>
              <w:rPr>
                <w:rFonts w:hint="default" w:ascii="Times New Roman" w:hAnsi="Times New Roman" w:eastAsia="宋体" w:cs="Times New Roman"/>
                <w:color w:val="auto"/>
                <w:kern w:val="2"/>
                <w:sz w:val="24"/>
                <w:szCs w:val="24"/>
                <w:highlight w:val="none"/>
                <w:lang w:val="en-US" w:eastAsia="zh-CN"/>
              </w:rPr>
              <w:t>γ</w:t>
            </w:r>
            <w:r>
              <w:rPr>
                <w:rFonts w:hint="default" w:ascii="Times New Roman" w:hAnsi="Times New Roman" w:cs="Times New Roman"/>
                <w:color w:val="auto"/>
                <w:kern w:val="2"/>
                <w:sz w:val="24"/>
                <w:szCs w:val="24"/>
                <w:highlight w:val="none"/>
                <w:lang w:val="en-US" w:eastAsia="zh-CN"/>
              </w:rPr>
              <w:t>射线。根据《电子加速器放射治疗放射防护要求》第6.1.5条规定：X射线能量超过10MV的加速器，屏蔽设计应考虑中子辐射防护。该项目拟购置的医用直线加速器产生的最大X射线能量为15MV，治疗室防护门需要考虑中子的辐射防护问题，该项目15MV医用直线加速器均为L型迷路。</w:t>
            </w:r>
          </w:p>
          <w:p>
            <w:pPr>
              <w:pStyle w:val="2"/>
              <w:keepNext w:val="0"/>
              <w:keepLines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对于高能医用电子直线加速器，迷路外入口处剂量一般由三部分组成：一是中子俘获</w:t>
            </w:r>
            <w:r>
              <w:rPr>
                <w:rFonts w:hint="default" w:ascii="Times New Roman" w:hAnsi="Times New Roman" w:eastAsia="宋体" w:cs="Times New Roman"/>
                <w:color w:val="auto"/>
                <w:kern w:val="2"/>
                <w:sz w:val="24"/>
                <w:szCs w:val="24"/>
                <w:highlight w:val="none"/>
                <w:lang w:val="en-US" w:eastAsia="zh-CN"/>
              </w:rPr>
              <w:t>γ</w:t>
            </w:r>
            <w:r>
              <w:rPr>
                <w:rFonts w:hint="default" w:ascii="Times New Roman" w:hAnsi="Times New Roman" w:cs="Times New Roman"/>
                <w:color w:val="auto"/>
                <w:kern w:val="2"/>
                <w:sz w:val="24"/>
                <w:szCs w:val="24"/>
                <w:highlight w:val="none"/>
                <w:lang w:val="en-US" w:eastAsia="zh-CN"/>
              </w:rPr>
              <w:t>射线剂量，二是X射线泄漏和散射辐射剂量，三是中子剂量，计算过程如下：</w:t>
            </w:r>
          </w:p>
          <w:p>
            <w:pPr>
              <w:pStyle w:val="2"/>
              <w:keepNext w:val="0"/>
              <w:keepLines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①俘获</w:t>
            </w:r>
            <w:r>
              <w:rPr>
                <w:rFonts w:hint="default" w:ascii="Times New Roman" w:hAnsi="Times New Roman" w:eastAsia="宋体" w:cs="Times New Roman"/>
                <w:color w:val="auto"/>
                <w:kern w:val="2"/>
                <w:sz w:val="24"/>
                <w:szCs w:val="24"/>
                <w:highlight w:val="none"/>
                <w:lang w:val="en-US" w:eastAsia="zh-CN"/>
              </w:rPr>
              <w:t>γ</w:t>
            </w:r>
            <w:r>
              <w:rPr>
                <w:rFonts w:hint="default" w:ascii="Times New Roman" w:hAnsi="Times New Roman" w:cs="Times New Roman"/>
                <w:color w:val="auto"/>
                <w:kern w:val="2"/>
                <w:sz w:val="24"/>
                <w:szCs w:val="24"/>
                <w:highlight w:val="none"/>
                <w:lang w:val="en-US" w:eastAsia="zh-CN"/>
              </w:rPr>
              <w:t>射线剂量估算</w:t>
            </w:r>
          </w:p>
          <w:p>
            <w:pPr>
              <w:pStyle w:val="2"/>
              <w:keepNext w:val="0"/>
              <w:keepLines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在迷路内的俘获</w:t>
            </w:r>
            <w:r>
              <w:rPr>
                <w:rFonts w:hint="default" w:ascii="Times New Roman" w:hAnsi="Times New Roman" w:eastAsia="宋体" w:cs="Times New Roman"/>
                <w:color w:val="auto"/>
                <w:kern w:val="2"/>
                <w:sz w:val="24"/>
                <w:szCs w:val="24"/>
                <w:highlight w:val="none"/>
                <w:lang w:val="en-US" w:eastAsia="zh-CN"/>
              </w:rPr>
              <w:t>γ</w:t>
            </w:r>
            <w:r>
              <w:rPr>
                <w:rFonts w:hint="default" w:ascii="Times New Roman" w:hAnsi="Times New Roman" w:cs="Times New Roman"/>
                <w:color w:val="auto"/>
                <w:kern w:val="2"/>
                <w:sz w:val="24"/>
                <w:szCs w:val="24"/>
                <w:highlight w:val="none"/>
                <w:lang w:val="en-US" w:eastAsia="zh-CN"/>
              </w:rPr>
              <w:t>射线剂量取决于迷路长度和迷路内入口的总中子注量，总中子注量由下式计算：</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kern w:val="0"/>
                <w:sz w:val="24"/>
                <w:szCs w:val="24"/>
                <w:highlight w:val="none"/>
                <w:lang w:eastAsia="zh-CN"/>
              </w:rPr>
            </w:pPr>
            <w:r>
              <w:rPr>
                <w:rFonts w:hint="default" w:ascii="Times New Roman" w:hAnsi="Times New Roman" w:cs="Times New Roman"/>
                <w:b/>
                <w:bCs w:val="0"/>
                <w:color w:val="auto"/>
                <w:kern w:val="0"/>
                <w:sz w:val="24"/>
                <w:szCs w:val="24"/>
                <w:highlight w:val="none"/>
                <w:lang w:val="en-US" w:eastAsia="zh-CN"/>
              </w:rPr>
              <w:t xml:space="preserve">        </w:t>
            </w:r>
            <w:r>
              <w:rPr>
                <w:rFonts w:hint="default" w:ascii="Times New Roman" w:hAnsi="Times New Roman" w:cs="Times New Roman"/>
                <w:b/>
                <w:bCs w:val="0"/>
                <w:color w:val="auto"/>
                <w:kern w:val="0"/>
                <w:position w:val="-12"/>
                <w:sz w:val="24"/>
                <w:szCs w:val="24"/>
                <w:highlight w:val="none"/>
                <w:lang w:eastAsia="zh-CN"/>
              </w:rPr>
              <w:object>
                <v:shape id="_x0000_i1061" o:spt="75" type="#_x0000_t75" style="height:20pt;width:218pt;" o:ole="t" filled="f" o:preferrelative="t" stroked="f" coordsize="21600,21600">
                  <v:path/>
                  <v:fill on="f" focussize="0,0"/>
                  <v:stroke on="f"/>
                  <v:imagedata r:id="rId95" o:title=""/>
                  <o:lock v:ext="edit" aspectratio="t"/>
                  <w10:wrap type="none"/>
                  <w10:anchorlock/>
                </v:shape>
                <o:OLEObject Type="Embed" ProgID="Equation.KSEE3" ShapeID="_x0000_i1061" DrawAspect="Content" ObjectID="_1468075761" r:id="rId94">
                  <o:LockedField>false</o:LockedField>
                </o:OLEObject>
              </w:objec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kern w:val="0"/>
                <w:sz w:val="24"/>
                <w:szCs w:val="24"/>
                <w:highlight w:val="none"/>
                <w:lang w:val="en-US" w:eastAsia="zh-CN"/>
              </w:rPr>
            </w:pPr>
            <w:r>
              <w:rPr>
                <w:rFonts w:hint="default" w:ascii="Times New Roman" w:hAnsi="Times New Roman" w:cs="Times New Roman"/>
                <w:b/>
                <w:bCs w:val="0"/>
                <w:color w:val="auto"/>
                <w:kern w:val="0"/>
                <w:position w:val="-10"/>
                <w:sz w:val="24"/>
                <w:szCs w:val="24"/>
                <w:highlight w:val="none"/>
                <w:lang w:val="en-US" w:eastAsia="zh-CN"/>
              </w:rPr>
              <w:object>
                <v:shape id="_x0000_i1062" o:spt="75" type="#_x0000_t75" style="height:18pt;width:414.25pt;" o:ole="t" filled="f" o:preferrelative="t" stroked="f" coordsize="21600,21600">
                  <v:path/>
                  <v:fill on="f" focussize="0,0"/>
                  <v:stroke on="f"/>
                  <v:imagedata r:id="rId97" o:title=""/>
                  <o:lock v:ext="edit" aspectratio="t"/>
                  <w10:wrap type="none"/>
                  <w10:anchorlock/>
                </v:shape>
                <o:OLEObject Type="Embed" ProgID="Equation.KSEE3" ShapeID="_x0000_i1062" DrawAspect="Content" ObjectID="_1468075762" r:id="rId96">
                  <o:LockedField>false</o:LockedField>
                </o:OLEObject>
              </w:object>
            </w:r>
          </w:p>
          <w:p>
            <w:pPr>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val="0"/>
                <w:bCs/>
                <w:color w:val="auto"/>
                <w:kern w:val="0"/>
                <w:sz w:val="24"/>
                <w:szCs w:val="24"/>
                <w:highlight w:val="none"/>
                <w:lang w:val="en-US" w:eastAsia="zh-CN"/>
              </w:rPr>
              <w:t>式中</w:t>
            </w:r>
            <w:r>
              <w:rPr>
                <w:rFonts w:hint="default" w:ascii="Times New Roman" w:hAnsi="Times New Roman" w:cs="Times New Roman"/>
                <w:b/>
                <w:bCs w:val="0"/>
                <w:color w:val="auto"/>
                <w:kern w:val="0"/>
                <w:sz w:val="24"/>
                <w:szCs w:val="24"/>
                <w:highlight w:val="none"/>
                <w:lang w:val="en-US" w:eastAsia="zh-CN"/>
              </w:rPr>
              <w:t>：</w:t>
            </w:r>
            <w:r>
              <w:rPr>
                <w:rFonts w:hint="default" w:ascii="Times New Roman" w:hAnsi="Times New Roman" w:cs="Times New Roman"/>
                <w:b/>
                <w:bCs w:val="0"/>
                <w:color w:val="auto"/>
                <w:kern w:val="0"/>
                <w:position w:val="-10"/>
                <w:sz w:val="24"/>
                <w:szCs w:val="24"/>
                <w:highlight w:val="none"/>
                <w:lang w:val="en-US" w:eastAsia="zh-CN"/>
              </w:rPr>
              <w:object>
                <v:shape id="_x0000_i1063" o:spt="75" type="#_x0000_t75" style="height:17pt;width:19pt;" o:ole="t" filled="f" o:preferrelative="t" stroked="f" coordsize="21600,21600">
                  <v:path/>
                  <v:fill on="f" focussize="0,0"/>
                  <v:stroke on="f"/>
                  <v:imagedata r:id="rId99" o:title=""/>
                  <o:lock v:ext="edit" aspectratio="t"/>
                  <w10:wrap type="none"/>
                  <w10:anchorlock/>
                </v:shape>
                <o:OLEObject Type="Embed" ProgID="Equation.KSEE3" ShapeID="_x0000_i1063" DrawAspect="Content" ObjectID="_1468075763" r:id="rId98">
                  <o:LockedField>false</o:LockedField>
                </o:OLEObject>
              </w:objec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4"/>
                <w:szCs w:val="24"/>
                <w:highlight w:val="none"/>
                <w:lang w:val="en-US" w:eastAsia="zh-CN"/>
              </w:rPr>
              <w:t>等中心处1Gy治疗照射时B处的总中子注射量，（中子数/m</w:t>
            </w:r>
            <w:r>
              <w:rPr>
                <w:rFonts w:hint="default" w:ascii="Times New Roman" w:hAnsi="Times New Roman" w:cs="Times New Roman"/>
                <w:color w:val="auto"/>
                <w:kern w:val="2"/>
                <w:sz w:val="24"/>
                <w:szCs w:val="24"/>
                <w:highlight w:val="none"/>
                <w:vertAlign w:val="superscript"/>
                <w:lang w:val="en-US" w:eastAsia="zh-CN"/>
              </w:rPr>
              <w:t>2</w:t>
            </w:r>
            <w:r>
              <w:rPr>
                <w:rFonts w:hint="default" w:ascii="Times New Roman" w:hAnsi="Times New Roman" w:cs="Times New Roman"/>
                <w:color w:val="auto"/>
                <w:kern w:val="2"/>
                <w:sz w:val="24"/>
                <w:szCs w:val="24"/>
                <w:highlight w:val="none"/>
                <w:lang w:val="en-US" w:eastAsia="zh-CN"/>
              </w:rPr>
              <w:t>）/Gy</w:t>
            </w:r>
            <w:r>
              <w:rPr>
                <w:rFonts w:hint="default" w:ascii="Times New Roman" w:hAnsi="Times New Roman" w:cs="Times New Roman"/>
                <w:color w:val="auto"/>
                <w:sz w:val="24"/>
                <w:szCs w:val="24"/>
                <w:highlight w:val="none"/>
                <w:lang w:val="en-US" w:eastAsia="zh-CN"/>
              </w:rPr>
              <w:t>；</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position w:val="-12"/>
                <w:sz w:val="24"/>
                <w:szCs w:val="24"/>
                <w:highlight w:val="none"/>
                <w:lang w:val="en-US" w:eastAsia="zh-CN"/>
              </w:rPr>
              <w:object>
                <v:shape id="_x0000_i1064" o:spt="75" type="#_x0000_t75" style="height:18pt;width:18pt;" o:ole="t" filled="f" o:preferrelative="t" stroked="f" coordsize="21600,21600">
                  <v:path/>
                  <v:fill on="f" focussize="0,0"/>
                  <v:stroke on="f"/>
                  <v:imagedata r:id="rId101" o:title=""/>
                  <o:lock v:ext="edit" aspectratio="t"/>
                  <w10:wrap type="none"/>
                  <w10:anchorlock/>
                </v:shape>
                <o:OLEObject Type="Embed" ProgID="Equation.KSEE3" ShapeID="_x0000_i1064" DrawAspect="Content" ObjectID="_1468075764" r:id="rId100">
                  <o:LockedField>false</o:LockedField>
                </o:OLEObject>
              </w:object>
            </w:r>
            <w:r>
              <w:rPr>
                <w:rFonts w:hint="default" w:ascii="Times New Roman" w:hAnsi="Times New Roman" w:eastAsia="宋体"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在等中心处每1Gy治疗照射时射出加速器机头的总中子数，中子数/Gy；</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position w:val="-10"/>
                <w:sz w:val="24"/>
                <w:szCs w:val="24"/>
                <w:highlight w:val="none"/>
                <w:lang w:val="en-US" w:eastAsia="zh-CN"/>
              </w:rPr>
              <w:object>
                <v:shape id="_x0000_i1065" o:spt="75" type="#_x0000_t75" style="height:17pt;width:13pt;" o:ole="t" filled="f" o:preferrelative="t" stroked="f" coordsize="21600,21600">
                  <v:path/>
                  <v:fill on="f" focussize="0,0"/>
                  <v:stroke on="f"/>
                  <v:imagedata r:id="rId103" o:title=""/>
                  <o:lock v:ext="edit" aspectratio="t"/>
                  <w10:wrap type="none"/>
                  <w10:anchorlock/>
                </v:shape>
                <o:OLEObject Type="Embed" ProgID="Equation.KSEE3" ShapeID="_x0000_i1065" DrawAspect="Content" ObjectID="_1468075765" r:id="rId102">
                  <o:LockedField>false</o:LockedField>
                </o:OLEObject>
              </w:object>
            </w:r>
            <w:r>
              <w:rPr>
                <w:rFonts w:hint="default" w:ascii="Times New Roman" w:hAnsi="Times New Roman" w:eastAsia="宋体"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等中心到迷路内入口的距离，10m；</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4"/>
                <w:szCs w:val="24"/>
                <w:highlight w:val="none"/>
                <w:lang w:val="en-US" w:eastAsia="zh-CN"/>
              </w:rPr>
            </w:pPr>
            <w:r>
              <w:rPr>
                <w:rFonts w:hint="default" w:ascii="Times New Roman" w:hAnsi="Times New Roman" w:eastAsia="宋体" w:cs="Times New Roman"/>
                <w:color w:val="auto"/>
                <w:kern w:val="2"/>
                <w:position w:val="-6"/>
                <w:sz w:val="24"/>
                <w:szCs w:val="24"/>
                <w:highlight w:val="none"/>
              </w:rPr>
              <w:object>
                <v:shape id="_x0000_i1066" o:spt="75" type="#_x0000_t75" style="height:13.95pt;width:11pt;" o:ole="t" filled="f" o:preferrelative="t" stroked="f" coordsize="21600,21600">
                  <v:path/>
                  <v:fill on="f" focussize="0,0"/>
                  <v:stroke on="f"/>
                  <v:imagedata r:id="rId105" o:title=""/>
                  <o:lock v:ext="edit" aspectratio="t"/>
                  <w10:wrap type="none"/>
                  <w10:anchorlock/>
                </v:shape>
                <o:OLEObject Type="Embed" ProgID="Equation.KSEE3" ShapeID="_x0000_i1066" DrawAspect="Content" ObjectID="_1468075766" r:id="rId104">
                  <o:LockedField>false</o:LockedField>
                </o:OLEObject>
              </w:object>
            </w:r>
            <w:r>
              <w:rPr>
                <w:rFonts w:hint="default" w:ascii="Times New Roman" w:hAnsi="Times New Roman" w:eastAsia="宋体"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治疗室内表面总面积，244m</w:t>
            </w:r>
            <w:r>
              <w:rPr>
                <w:rFonts w:hint="default" w:ascii="Times New Roman" w:hAnsi="Times New Roman" w:cs="Times New Roman"/>
                <w:color w:val="auto"/>
                <w:kern w:val="2"/>
                <w:sz w:val="24"/>
                <w:szCs w:val="24"/>
                <w:highlight w:val="none"/>
                <w:vertAlign w:val="superscript"/>
                <w:lang w:val="en-US" w:eastAsia="zh-CN"/>
              </w:rPr>
              <w:t>2</w:t>
            </w:r>
            <w:r>
              <w:rPr>
                <w:rFonts w:hint="default" w:ascii="Times New Roman" w:hAnsi="Times New Roman" w:cs="Times New Roman"/>
                <w:color w:val="auto"/>
                <w:kern w:val="2"/>
                <w:sz w:val="24"/>
                <w:szCs w:val="24"/>
                <w:highlight w:val="none"/>
                <w:lang w:val="en-US" w:eastAsia="zh-CN"/>
              </w:rPr>
              <w:t>；</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在迷路外入口处中子俘获</w:t>
            </w:r>
            <w:r>
              <w:rPr>
                <w:rFonts w:hint="default" w:ascii="Times New Roman" w:hAnsi="Times New Roman" w:eastAsia="宋体" w:cs="Times New Roman"/>
                <w:color w:val="auto"/>
                <w:kern w:val="2"/>
                <w:sz w:val="24"/>
                <w:szCs w:val="24"/>
                <w:highlight w:val="none"/>
                <w:lang w:val="en-US" w:eastAsia="zh-CN"/>
              </w:rPr>
              <w:t>γ</w:t>
            </w:r>
            <w:r>
              <w:rPr>
                <w:rFonts w:hint="default" w:ascii="Times New Roman" w:hAnsi="Times New Roman" w:cs="Times New Roman"/>
                <w:color w:val="auto"/>
                <w:kern w:val="2"/>
                <w:sz w:val="24"/>
                <w:szCs w:val="24"/>
                <w:highlight w:val="none"/>
                <w:lang w:val="en-US" w:eastAsia="zh-CN"/>
              </w:rPr>
              <w:t>射线剂量率由下式计算：</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position w:val="-14"/>
                <w:sz w:val="24"/>
                <w:szCs w:val="24"/>
                <w:highlight w:val="none"/>
                <w:lang w:val="en-US" w:eastAsia="zh-CN"/>
              </w:rPr>
              <w:object>
                <v:shape id="_x0000_i1067" o:spt="75" type="#_x0000_t75" style="height:20pt;width:181pt;" o:ole="t" filled="f" o:preferrelative="t" stroked="f" coordsize="21600,21600">
                  <v:path/>
                  <v:fill on="f" focussize="0,0"/>
                  <v:stroke on="f"/>
                  <v:imagedata r:id="rId107" o:title=""/>
                  <o:lock v:ext="edit" aspectratio="t"/>
                  <w10:wrap type="none"/>
                  <w10:anchorlock/>
                </v:shape>
                <o:OLEObject Type="Embed" ProgID="Equation.KSEE3" ShapeID="_x0000_i1067" DrawAspect="Content" ObjectID="_1468075767" r:id="rId106">
                  <o:LockedField>false</o:LockedField>
                </o:OLEObject>
              </w:objec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position w:val="-14"/>
                <w:sz w:val="24"/>
                <w:szCs w:val="24"/>
                <w:highlight w:val="none"/>
                <w:lang w:val="en-US" w:eastAsia="zh-CN"/>
              </w:rPr>
              <w:object>
                <v:shape id="_x0000_i1068" o:spt="75" type="#_x0000_t75" style="height:20pt;width:304pt;" o:ole="t" filled="f" o:preferrelative="t" stroked="f" coordsize="21600,21600">
                  <v:path/>
                  <v:fill on="f" focussize="0,0"/>
                  <v:stroke on="f"/>
                  <v:imagedata r:id="rId109" o:title=""/>
                  <o:lock v:ext="edit" aspectratio="t"/>
                  <w10:wrap type="none"/>
                  <w10:anchorlock/>
                </v:shape>
                <o:OLEObject Type="Embed" ProgID="Equation.KSEE3" ShapeID="_x0000_i1068" DrawAspect="Content" ObjectID="_1468075768" r:id="rId108">
                  <o:LockedField>false</o:LockedField>
                </o:OLEObject>
              </w:objec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式中：</w:t>
            </w:r>
            <w:r>
              <w:rPr>
                <w:rFonts w:hint="default" w:ascii="Times New Roman" w:hAnsi="Times New Roman" w:cs="Times New Roman"/>
                <w:color w:val="auto"/>
                <w:kern w:val="2"/>
                <w:position w:val="-10"/>
                <w:sz w:val="21"/>
                <w:szCs w:val="21"/>
                <w:highlight w:val="none"/>
                <w:lang w:val="en-US" w:eastAsia="zh-CN"/>
              </w:rPr>
              <w:object>
                <v:shape id="_x0000_i1069" o:spt="75" type="#_x0000_t75" style="height:17pt;width:13.95pt;" o:ole="t" filled="f" o:preferrelative="t" stroked="f" coordsize="21600,21600">
                  <v:path/>
                  <v:fill on="f" focussize="0,0"/>
                  <v:stroke on="f"/>
                  <v:imagedata r:id="rId111" o:title=""/>
                  <o:lock v:ext="edit" aspectratio="t"/>
                  <w10:wrap type="none"/>
                  <w10:anchorlock/>
                </v:shape>
                <o:OLEObject Type="Embed" ProgID="Equation.KSEE3" ShapeID="_x0000_i1069" DrawAspect="Content" ObjectID="_1468075769" r:id="rId110">
                  <o:LockedField>false</o:LockedField>
                </o:OLEObject>
              </w:object>
            </w:r>
            <w:r>
              <w:rPr>
                <w:rFonts w:hint="default" w:ascii="Times New Roman" w:hAnsi="Times New Roman" w:cs="Times New Roman"/>
                <w:color w:val="auto"/>
                <w:kern w:val="2"/>
                <w:sz w:val="21"/>
                <w:szCs w:val="21"/>
                <w:highlight w:val="none"/>
                <w:lang w:val="en-US" w:eastAsia="zh-CN"/>
              </w:rPr>
              <w:t>—B点至迷路入口距离；</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TVD—将</w:t>
            </w:r>
            <w:r>
              <w:rPr>
                <w:rFonts w:hint="default" w:ascii="Times New Roman" w:hAnsi="Times New Roman" w:eastAsia="宋体" w:cs="Times New Roman"/>
                <w:color w:val="auto"/>
                <w:kern w:val="2"/>
                <w:sz w:val="21"/>
                <w:szCs w:val="21"/>
                <w:highlight w:val="none"/>
                <w:lang w:val="en-US" w:eastAsia="zh-CN"/>
              </w:rPr>
              <w:t>γ</w:t>
            </w:r>
            <w:r>
              <w:rPr>
                <w:rFonts w:hint="default" w:ascii="Times New Roman" w:hAnsi="Times New Roman" w:cs="Times New Roman"/>
                <w:color w:val="auto"/>
                <w:kern w:val="2"/>
                <w:sz w:val="21"/>
                <w:szCs w:val="21"/>
                <w:highlight w:val="none"/>
                <w:lang w:val="en-US" w:eastAsia="zh-CN"/>
              </w:rPr>
              <w:t>辐射剂量减至其十分之一的距离；</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position w:val="-12"/>
                <w:sz w:val="21"/>
                <w:szCs w:val="21"/>
                <w:highlight w:val="none"/>
                <w:lang w:val="en-US" w:eastAsia="zh-CN"/>
              </w:rPr>
              <w:object>
                <v:shape id="_x0000_i1070" o:spt="75" type="#_x0000_t75" style="height:18pt;width:18pt;" o:ole="t" filled="f" o:preferrelative="t" stroked="f" coordsize="21600,21600">
                  <v:path/>
                  <v:fill on="f" focussize="0,0"/>
                  <v:stroke on="f"/>
                  <v:imagedata r:id="rId113" o:title=""/>
                  <o:lock v:ext="edit" aspectratio="t"/>
                  <w10:wrap type="none"/>
                  <w10:anchorlock/>
                </v:shape>
                <o:OLEObject Type="Embed" ProgID="Equation.KSEE3" ShapeID="_x0000_i1070" DrawAspect="Content" ObjectID="_1468075770" r:id="rId112">
                  <o:LockedField>false</o:LockedField>
                </o:OLEObject>
              </w:object>
            </w:r>
            <w:r>
              <w:rPr>
                <w:rFonts w:hint="default" w:ascii="Times New Roman" w:hAnsi="Times New Roman" w:cs="Times New Roman"/>
                <w:color w:val="auto"/>
                <w:kern w:val="2"/>
                <w:sz w:val="21"/>
                <w:szCs w:val="21"/>
                <w:highlight w:val="none"/>
                <w:lang w:val="en-US" w:eastAsia="zh-CN"/>
              </w:rPr>
              <w:t>—等中心点处X射线剂量率。</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②迷路外入口处中子剂量估算</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治疗室内的中子经迷路散射后在治疗室入口处无防护门时的剂量率H</w:t>
            </w:r>
            <w:r>
              <w:rPr>
                <w:rFonts w:hint="default" w:ascii="Times New Roman" w:hAnsi="Times New Roman" w:cs="Times New Roman"/>
                <w:color w:val="auto"/>
                <w:kern w:val="2"/>
                <w:sz w:val="24"/>
                <w:szCs w:val="24"/>
                <w:highlight w:val="none"/>
                <w:vertAlign w:val="subscript"/>
                <w:lang w:val="en-US" w:eastAsia="zh-CN"/>
              </w:rPr>
              <w:t>n</w:t>
            </w:r>
            <w:r>
              <w:rPr>
                <w:rFonts w:hint="default" w:ascii="Times New Roman" w:hAnsi="Times New Roman" w:cs="Times New Roman"/>
                <w:color w:val="auto"/>
                <w:kern w:val="2"/>
                <w:sz w:val="24"/>
                <w:szCs w:val="24"/>
                <w:highlight w:val="none"/>
                <w:lang w:val="en-US" w:eastAsia="zh-CN"/>
              </w:rPr>
              <w:t>(μGy/h)由下式计算：</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position w:val="-32"/>
                <w:sz w:val="24"/>
                <w:szCs w:val="24"/>
                <w:highlight w:val="none"/>
                <w:lang w:val="en-US" w:eastAsia="zh-CN"/>
              </w:rPr>
              <w:object>
                <v:shape id="_x0000_i1071" o:spt="75" type="#_x0000_t75" style="height:38pt;width:291pt;" o:ole="t" filled="f" o:preferrelative="t" stroked="f" coordsize="21600,21600">
                  <v:path/>
                  <v:fill on="f" focussize="0,0"/>
                  <v:stroke on="f"/>
                  <v:imagedata r:id="rId115" o:title=""/>
                  <o:lock v:ext="edit" aspectratio="t"/>
                  <w10:wrap type="none"/>
                  <w10:anchorlock/>
                </v:shape>
                <o:OLEObject Type="Embed" ProgID="Equation.KSEE3" ShapeID="_x0000_i1071" DrawAspect="Content" ObjectID="_1468075771" r:id="rId114">
                  <o:LockedField>false</o:LockedField>
                </o:OLEObject>
              </w:object>
            </w:r>
          </w:p>
          <w:p>
            <w:pPr>
              <w:keepNext w:val="0"/>
              <w:keepLines w:val="0"/>
              <w:suppressLineNumbers w:val="0"/>
              <w:spacing w:before="0" w:beforeAutospacing="0" w:after="0" w:afterAutospacing="0" w:line="360" w:lineRule="auto"/>
              <w:ind w:left="482" w:right="0" w:hanging="482" w:hanging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bCs w:val="0"/>
                <w:color w:val="auto"/>
                <w:kern w:val="0"/>
                <w:position w:val="-26"/>
                <w:sz w:val="24"/>
                <w:szCs w:val="24"/>
                <w:highlight w:val="none"/>
                <w:lang w:eastAsia="zh-CN"/>
              </w:rPr>
              <w:object>
                <v:shape id="_x0000_i1072" o:spt="75" type="#_x0000_t75" style="height:35pt;width:421.55pt;" o:ole="t" filled="f" o:preferrelative="t" stroked="f" coordsize="21600,21600">
                  <v:path/>
                  <v:fill on="f" focussize="0,0"/>
                  <v:stroke on="f"/>
                  <v:imagedata r:id="rId117" o:title=""/>
                  <o:lock v:ext="edit" aspectratio="t"/>
                  <w10:wrap type="none"/>
                  <w10:anchorlock/>
                </v:shape>
                <o:OLEObject Type="Embed" ProgID="Equation.KSEE3" ShapeID="_x0000_i1072" DrawAspect="Content" ObjectID="_1468075772" r:id="rId116">
                  <o:LockedField>false</o:LockedField>
                </o:OLEObject>
              </w:object>
            </w:r>
            <w:r>
              <w:rPr>
                <w:rFonts w:hint="default" w:ascii="Times New Roman" w:hAnsi="Times New Roman" w:cs="Times New Roman"/>
                <w:b/>
                <w:bCs w:val="0"/>
                <w:color w:val="auto"/>
                <w:kern w:val="0"/>
                <w:sz w:val="24"/>
                <w:szCs w:val="24"/>
                <w:highlight w:val="none"/>
                <w:lang w:val="en-US" w:eastAsia="zh-CN"/>
              </w:rPr>
              <w:t xml:space="preserve">    </w:t>
            </w:r>
            <w:r>
              <w:rPr>
                <w:rFonts w:hint="default" w:ascii="Times New Roman" w:hAnsi="Times New Roman" w:cs="Times New Roman"/>
                <w:b w:val="0"/>
                <w:bCs/>
                <w:color w:val="auto"/>
                <w:kern w:val="0"/>
                <w:sz w:val="21"/>
                <w:szCs w:val="21"/>
                <w:highlight w:val="none"/>
                <w:lang w:val="en-US" w:eastAsia="zh-CN"/>
              </w:rPr>
              <w:t>式中：</w:t>
            </w:r>
            <w:r>
              <w:rPr>
                <w:rFonts w:hint="default" w:ascii="Times New Roman" w:hAnsi="Times New Roman" w:cs="Times New Roman"/>
                <w:b w:val="0"/>
                <w:bCs/>
                <w:color w:val="auto"/>
                <w:kern w:val="0"/>
                <w:position w:val="-12"/>
                <w:sz w:val="21"/>
                <w:szCs w:val="21"/>
                <w:highlight w:val="none"/>
                <w:lang w:val="en-US" w:eastAsia="zh-CN"/>
              </w:rPr>
              <w:object>
                <v:shape id="_x0000_i1073" o:spt="75" type="#_x0000_t75" style="height:18pt;width:13.95pt;" o:ole="t" filled="f" o:preferrelative="t" stroked="f" coordsize="21600,21600">
                  <v:path/>
                  <v:fill on="f" focussize="0,0"/>
                  <v:stroke on="f"/>
                  <v:imagedata r:id="rId119" o:title=""/>
                  <o:lock v:ext="edit" aspectratio="t"/>
                  <w10:wrap type="none"/>
                  <w10:anchorlock/>
                </v:shape>
                <o:OLEObject Type="Embed" ProgID="Equation.KSEE3" ShapeID="_x0000_i1073" DrawAspect="Content" ObjectID="_1468075773" r:id="rId118">
                  <o:LockedField>false</o:LockedField>
                </o:OLEObject>
              </w:object>
            </w:r>
            <w:r>
              <w:rPr>
                <w:rFonts w:hint="default" w:ascii="Times New Roman" w:hAnsi="Times New Roman" w:cs="Times New Roman"/>
                <w:b w:val="0"/>
                <w:bCs/>
                <w:color w:val="auto"/>
                <w:sz w:val="21"/>
                <w:szCs w:val="21"/>
                <w:highlight w:val="none"/>
                <w:lang w:val="en-US" w:eastAsia="zh-CN"/>
              </w:rPr>
              <w:t>—迷路内口的面积；</w:t>
            </w:r>
          </w:p>
          <w:p>
            <w:pPr>
              <w:pStyle w:val="2"/>
              <w:keepNext w:val="0"/>
              <w:keepLines w:val="0"/>
              <w:suppressLineNumbers w:val="0"/>
              <w:spacing w:before="0" w:beforeAutospacing="0" w:after="0" w:afterAutospacing="0" w:line="360" w:lineRule="auto"/>
              <w:ind w:left="0" w:right="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 xml:space="preserve">    </w:t>
            </w:r>
            <w:r>
              <w:rPr>
                <w:rFonts w:hint="default" w:ascii="Times New Roman" w:hAnsi="Times New Roman" w:cs="Times New Roman"/>
                <w:b w:val="0"/>
                <w:bCs/>
                <w:color w:val="auto"/>
                <w:kern w:val="2"/>
                <w:position w:val="-10"/>
                <w:sz w:val="21"/>
                <w:szCs w:val="21"/>
                <w:highlight w:val="none"/>
                <w:lang w:val="en-US" w:eastAsia="zh-CN"/>
              </w:rPr>
              <w:object>
                <v:shape id="_x0000_i1074" o:spt="75" type="#_x0000_t75" style="height:17pt;width:13pt;" o:ole="t" filled="f" o:preferrelative="t" stroked="f" coordsize="21600,21600">
                  <v:path/>
                  <v:fill on="f" focussize="0,0"/>
                  <v:stroke on="f"/>
                  <v:imagedata r:id="rId121" o:title=""/>
                  <o:lock v:ext="edit" aspectratio="t"/>
                  <w10:wrap type="none"/>
                  <w10:anchorlock/>
                </v:shape>
                <o:OLEObject Type="Embed" ProgID="Equation.KSEE3" ShapeID="_x0000_i1074" DrawAspect="Content" ObjectID="_1468075774" r:id="rId120">
                  <o:LockedField>false</o:LockedField>
                </o:OLEObject>
              </w:object>
            </w:r>
            <w:r>
              <w:rPr>
                <w:rFonts w:hint="default" w:ascii="Times New Roman" w:hAnsi="Times New Roman" w:cs="Times New Roman"/>
                <w:b w:val="0"/>
                <w:bCs/>
                <w:color w:val="auto"/>
                <w:kern w:val="2"/>
                <w:sz w:val="21"/>
                <w:szCs w:val="21"/>
                <w:highlight w:val="none"/>
                <w:lang w:val="en-US" w:eastAsia="zh-CN"/>
              </w:rPr>
              <w:t>—迷路横截面积；</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d</w:t>
            </w:r>
            <w:r>
              <w:rPr>
                <w:rFonts w:hint="default" w:ascii="Times New Roman" w:hAnsi="Times New Roman" w:cs="Times New Roman"/>
                <w:b w:val="0"/>
                <w:bCs/>
                <w:color w:val="auto"/>
                <w:kern w:val="2"/>
                <w:sz w:val="21"/>
                <w:szCs w:val="21"/>
                <w:highlight w:val="none"/>
                <w:vertAlign w:val="subscript"/>
                <w:lang w:val="en-US" w:eastAsia="zh-CN"/>
              </w:rPr>
              <w:t>2</w:t>
            </w:r>
            <w:r>
              <w:rPr>
                <w:rFonts w:hint="default" w:ascii="Times New Roman" w:hAnsi="Times New Roman" w:cs="Times New Roman"/>
                <w:b w:val="0"/>
                <w:bCs/>
                <w:color w:val="auto"/>
                <w:kern w:val="2"/>
                <w:sz w:val="21"/>
                <w:szCs w:val="21"/>
                <w:highlight w:val="none"/>
                <w:lang w:val="en-US" w:eastAsia="zh-CN"/>
              </w:rPr>
              <w:t>—</w:t>
            </w:r>
            <w:r>
              <w:rPr>
                <w:rFonts w:hint="default" w:ascii="Times New Roman" w:hAnsi="Times New Roman" w:cs="Times New Roman"/>
                <w:color w:val="auto"/>
                <w:kern w:val="2"/>
                <w:sz w:val="21"/>
                <w:szCs w:val="21"/>
                <w:highlight w:val="none"/>
                <w:lang w:val="en-US" w:eastAsia="zh-CN"/>
              </w:rPr>
              <w:t>B点至迷路入口距离</w:t>
            </w:r>
            <w:r>
              <w:rPr>
                <w:rFonts w:hint="default" w:ascii="Times New Roman" w:hAnsi="Times New Roman" w:cs="Times New Roman"/>
                <w:b w:val="0"/>
                <w:bCs/>
                <w:color w:val="auto"/>
                <w:kern w:val="2"/>
                <w:sz w:val="21"/>
                <w:szCs w:val="21"/>
                <w:highlight w:val="none"/>
                <w:lang w:val="en-US" w:eastAsia="zh-CN"/>
              </w:rPr>
              <w:t>；</w:t>
            </w:r>
          </w:p>
          <w:p>
            <w:pPr>
              <w:pStyle w:val="2"/>
              <w:keepNext w:val="0"/>
              <w:keepLines w:val="0"/>
              <w:suppressLineNumbers w:val="0"/>
              <w:spacing w:before="0" w:beforeAutospacing="0" w:after="0" w:afterAutospacing="0" w:line="360" w:lineRule="auto"/>
              <w:ind w:left="0" w:right="0"/>
              <w:rPr>
                <w:rFonts w:hint="default" w:ascii="Times New Roman" w:hAnsi="Times New Roman" w:cs="Times New Roman"/>
                <w:color w:val="auto"/>
                <w:kern w:val="2"/>
                <w:sz w:val="21"/>
                <w:szCs w:val="21"/>
                <w:highlight w:val="none"/>
                <w:vertAlign w:val="subscript"/>
                <w:lang w:val="en-US" w:eastAsia="zh-CN"/>
              </w:rPr>
            </w:pPr>
            <w:r>
              <w:rPr>
                <w:rFonts w:hint="default" w:ascii="Times New Roman" w:hAnsi="Times New Roman" w:cs="Times New Roman"/>
                <w:b w:val="0"/>
                <w:bCs/>
                <w:color w:val="auto"/>
                <w:kern w:val="2"/>
                <w:sz w:val="21"/>
                <w:szCs w:val="21"/>
                <w:highlight w:val="none"/>
                <w:lang w:val="en-US" w:eastAsia="zh-CN"/>
              </w:rPr>
              <w:t xml:space="preserve">   </w:t>
            </w:r>
            <w:r>
              <w:rPr>
                <w:rFonts w:hint="default" w:ascii="Times New Roman" w:hAnsi="Times New Roman" w:cs="Times New Roman"/>
                <w:b w:val="0"/>
                <w:bCs/>
                <w:color w:val="auto"/>
                <w:kern w:val="2"/>
                <w:position w:val="-12"/>
                <w:sz w:val="21"/>
                <w:szCs w:val="21"/>
                <w:highlight w:val="none"/>
                <w:lang w:val="en-US" w:eastAsia="zh-CN"/>
              </w:rPr>
              <w:object>
                <v:shape id="_x0000_i1075" o:spt="75" type="#_x0000_t75" style="height:18pt;width:13pt;" o:ole="t" filled="f" o:preferrelative="t" stroked="f" coordsize="21600,21600">
                  <v:path/>
                  <v:fill on="f" focussize="0,0"/>
                  <v:stroke on="f"/>
                  <v:imagedata r:id="rId123" o:title=""/>
                  <o:lock v:ext="edit" aspectratio="t"/>
                  <w10:wrap type="none"/>
                  <w10:anchorlock/>
                </v:shape>
                <o:OLEObject Type="Embed" ProgID="Equation.KSEE3" ShapeID="_x0000_i1075" DrawAspect="Content" ObjectID="_1468075775" r:id="rId122">
                  <o:LockedField>false</o:LockedField>
                </o:OLEObject>
              </w:object>
            </w:r>
            <w:r>
              <w:rPr>
                <w:rFonts w:hint="default" w:ascii="Times New Roman" w:hAnsi="Times New Roman" w:cs="Times New Roman"/>
                <w:b w:val="0"/>
                <w:bCs/>
                <w:color w:val="auto"/>
                <w:kern w:val="2"/>
                <w:sz w:val="21"/>
                <w:szCs w:val="21"/>
                <w:highlight w:val="none"/>
                <w:lang w:val="en-US" w:eastAsia="zh-CN"/>
              </w:rPr>
              <w:t>—迷路中能量相对高的中子剂量衰减至十分之一行径的距离，是经验值，与迷路横截面积有关，</w:t>
            </w:r>
            <w:r>
              <w:rPr>
                <w:rFonts w:hint="default" w:ascii="Times New Roman" w:hAnsi="Times New Roman" w:cs="Times New Roman"/>
                <w:b w:val="0"/>
                <w:bCs/>
                <w:color w:val="auto"/>
                <w:kern w:val="2"/>
                <w:position w:val="-12"/>
                <w:sz w:val="21"/>
                <w:szCs w:val="21"/>
                <w:highlight w:val="none"/>
                <w:lang w:val="en-US" w:eastAsia="zh-CN"/>
              </w:rPr>
              <w:object>
                <v:shape id="_x0000_i1076" o:spt="75" type="#_x0000_t75" style="height:20pt;width:65pt;" o:ole="t" filled="f" o:preferrelative="t" stroked="f" coordsize="21600,21600">
                  <v:path/>
                  <v:fill on="f" focussize="0,0"/>
                  <v:stroke on="f"/>
                  <v:imagedata r:id="rId125" o:title=""/>
                  <o:lock v:ext="edit" aspectratio="t"/>
                  <w10:wrap type="none"/>
                  <w10:anchorlock/>
                </v:shape>
                <o:OLEObject Type="Embed" ProgID="Equation.KSEE3" ShapeID="_x0000_i1076" DrawAspect="Content" ObjectID="_1468075776" r:id="rId124">
                  <o:LockedField>false</o:LockedField>
                </o:OLEObject>
              </w:object>
            </w:r>
            <w:r>
              <w:rPr>
                <w:rFonts w:hint="default" w:ascii="Times New Roman" w:hAnsi="Times New Roman" w:cs="Times New Roman"/>
                <w:b w:val="0"/>
                <w:bCs/>
                <w:color w:val="auto"/>
                <w:kern w:val="2"/>
                <w:sz w:val="21"/>
                <w:szCs w:val="21"/>
                <w:highlight w:val="none"/>
                <w:lang w:val="en-US" w:eastAsia="zh-CN"/>
              </w:rPr>
              <w:t>。</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③泄漏辐射和散射辐射的剂量估算</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position w:val="-14"/>
                <w:sz w:val="24"/>
                <w:szCs w:val="24"/>
                <w:highlight w:val="none"/>
                <w:lang w:val="en-US" w:eastAsia="zh-CN"/>
              </w:rPr>
              <w:object>
                <v:shape id="_x0000_i1077" o:spt="75" type="#_x0000_t75" style="height:19pt;width:190pt;" o:ole="t" filled="f" o:preferrelative="t" stroked="f" coordsize="21600,21600">
                  <v:path/>
                  <v:fill on="f" focussize="0,0"/>
                  <v:stroke on="f"/>
                  <v:imagedata r:id="rId127" o:title=""/>
                  <o:lock v:ext="edit" aspectratio="t"/>
                  <w10:wrap type="none"/>
                  <w10:anchorlock/>
                </v:shape>
                <o:OLEObject Type="Embed" ProgID="Equation.KSEE3" ShapeID="_x0000_i1077" DrawAspect="Content" ObjectID="_1468075777" r:id="rId126">
                  <o:LockedField>false</o:LockedField>
                </o:OLEObject>
              </w:objec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式中：</w:t>
            </w:r>
            <w:r>
              <w:rPr>
                <w:rFonts w:hint="default" w:ascii="Times New Roman" w:hAnsi="Times New Roman" w:cs="Times New Roman"/>
                <w:b w:val="0"/>
                <w:bCs/>
                <w:color w:val="auto"/>
                <w:kern w:val="0"/>
                <w:position w:val="-12"/>
                <w:sz w:val="21"/>
                <w:szCs w:val="21"/>
                <w:highlight w:val="none"/>
                <w:lang w:val="en-US" w:eastAsia="zh-CN"/>
              </w:rPr>
              <w:object>
                <v:shape id="_x0000_i1078" o:spt="75" type="#_x0000_t75" style="height:18pt;width:18pt;" o:ole="t" filled="f" o:preferrelative="t" stroked="f" coordsize="21600,21600">
                  <v:path/>
                  <v:fill on="f" focussize="0,0"/>
                  <v:stroke on="f"/>
                  <v:imagedata r:id="rId129" o:title=""/>
                  <o:lock v:ext="edit" aspectratio="t"/>
                  <w10:wrap type="none"/>
                  <w10:anchorlock/>
                </v:shape>
                <o:OLEObject Type="Embed" ProgID="Equation.KSEE3" ShapeID="_x0000_i1078" DrawAspect="Content" ObjectID="_1468075778" r:id="rId128">
                  <o:LockedField>false</o:LockedField>
                </o:OLEObject>
              </w:object>
            </w:r>
            <w:r>
              <w:rPr>
                <w:rFonts w:hint="default" w:ascii="Times New Roman" w:hAnsi="Times New Roman" w:cs="Times New Roman"/>
                <w:b w:val="0"/>
                <w:bCs/>
                <w:color w:val="auto"/>
                <w:sz w:val="21"/>
                <w:szCs w:val="21"/>
                <w:highlight w:val="none"/>
                <w:lang w:val="en-US" w:eastAsia="zh-CN"/>
              </w:rPr>
              <w:t>—迷路外入口处泄漏和散射辐射剂量率；</w:t>
            </w:r>
          </w:p>
          <w:p>
            <w:pPr>
              <w:pStyle w:val="2"/>
              <w:keepNext w:val="0"/>
              <w:keepLines w:val="0"/>
              <w:suppressLineNumbers w:val="0"/>
              <w:spacing w:before="0" w:beforeAutospacing="0" w:after="0" w:afterAutospacing="0" w:line="360" w:lineRule="auto"/>
              <w:ind w:left="0" w:right="0"/>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 xml:space="preserve">    </w:t>
            </w:r>
            <w:r>
              <w:rPr>
                <w:rFonts w:hint="default" w:ascii="Times New Roman" w:hAnsi="Times New Roman" w:cs="Times New Roman"/>
                <w:b w:val="0"/>
                <w:bCs/>
                <w:color w:val="auto"/>
                <w:kern w:val="2"/>
                <w:position w:val="-14"/>
                <w:sz w:val="21"/>
                <w:szCs w:val="21"/>
                <w:highlight w:val="none"/>
                <w:lang w:val="en-US" w:eastAsia="zh-CN"/>
              </w:rPr>
              <w:object>
                <v:shape id="_x0000_i1079" o:spt="75" type="#_x0000_t75" style="height:19pt;width:21pt;" o:ole="t" filled="f" o:preferrelative="t" stroked="f" coordsize="21600,21600">
                  <v:path/>
                  <v:fill on="f" focussize="0,0"/>
                  <v:stroke on="f"/>
                  <v:imagedata r:id="rId131" o:title=""/>
                  <o:lock v:ext="edit" aspectratio="t"/>
                  <w10:wrap type="none"/>
                  <w10:anchorlock/>
                </v:shape>
                <o:OLEObject Type="Embed" ProgID="Equation.KSEE3" ShapeID="_x0000_i1079" DrawAspect="Content" ObjectID="_1468075779" r:id="rId130">
                  <o:LockedField>false</o:LockedField>
                </o:OLEObject>
              </w:object>
            </w:r>
            <w:r>
              <w:rPr>
                <w:rFonts w:hint="default" w:ascii="Times New Roman" w:hAnsi="Times New Roman" w:cs="Times New Roman"/>
                <w:b w:val="0"/>
                <w:bCs/>
                <w:color w:val="auto"/>
                <w:kern w:val="2"/>
                <w:sz w:val="21"/>
                <w:szCs w:val="21"/>
                <w:highlight w:val="none"/>
                <w:lang w:val="en-US" w:eastAsia="zh-CN"/>
              </w:rPr>
              <w:t>—迷路外入口处病人散射辐射剂量率；</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f—病人透射因子；</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2"/>
                <w:sz w:val="21"/>
                <w:szCs w:val="21"/>
                <w:highlight w:val="none"/>
                <w:lang w:val="en-US" w:eastAsia="zh-CN"/>
              </w:rPr>
              <w:object>
                <v:shape id="_x0000_i1080" o:spt="75" type="#_x0000_t75" style="height:18pt;width:18pt;" o:ole="t" filled="f" o:preferrelative="t" stroked="f" coordsize="21600,21600">
                  <v:path/>
                  <v:fill on="f" focussize="0,0"/>
                  <v:stroke on="f"/>
                  <v:imagedata r:id="rId133" o:title=""/>
                  <o:lock v:ext="edit" aspectratio="t"/>
                  <w10:wrap type="none"/>
                  <w10:anchorlock/>
                </v:shape>
                <o:OLEObject Type="Embed" ProgID="Equation.KSEE3" ShapeID="_x0000_i1080" DrawAspect="Content" ObjectID="_1468075780" r:id="rId132">
                  <o:LockedField>false</o:LockedField>
                </o:OLEObject>
              </w:object>
            </w:r>
            <w:r>
              <w:rPr>
                <w:rFonts w:hint="default" w:ascii="Times New Roman" w:hAnsi="Times New Roman" w:cs="Times New Roman"/>
                <w:b w:val="0"/>
                <w:bCs/>
                <w:color w:val="auto"/>
                <w:kern w:val="2"/>
                <w:sz w:val="21"/>
                <w:szCs w:val="21"/>
                <w:highlight w:val="none"/>
                <w:lang w:val="en-US" w:eastAsia="zh-CN"/>
              </w:rPr>
              <w:t>—迷路外入口处墙体散射辐射剂量率；</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2"/>
                <w:sz w:val="21"/>
                <w:szCs w:val="21"/>
                <w:highlight w:val="none"/>
                <w:lang w:val="en-US" w:eastAsia="zh-CN"/>
              </w:rPr>
              <w:object>
                <v:shape id="_x0000_i1081" o:spt="75" type="#_x0000_t75" style="height:18pt;width:22pt;" o:ole="t" filled="f" o:preferrelative="t" stroked="f" coordsize="21600,21600">
                  <v:path/>
                  <v:fill on="f" focussize="0,0"/>
                  <v:stroke on="f"/>
                  <v:imagedata r:id="rId135" o:title=""/>
                  <o:lock v:ext="edit" aspectratio="t"/>
                  <w10:wrap type="none"/>
                  <w10:anchorlock/>
                </v:shape>
                <o:OLEObject Type="Embed" ProgID="Equation.KSEE3" ShapeID="_x0000_i1081" DrawAspect="Content" ObjectID="_1468075781" r:id="rId134">
                  <o:LockedField>false</o:LockedField>
                </o:OLEObject>
              </w:object>
            </w:r>
            <w:r>
              <w:rPr>
                <w:rFonts w:hint="default" w:ascii="Times New Roman" w:hAnsi="Times New Roman" w:cs="Times New Roman"/>
                <w:b w:val="0"/>
                <w:bCs/>
                <w:color w:val="auto"/>
                <w:kern w:val="2"/>
                <w:sz w:val="21"/>
                <w:szCs w:val="21"/>
                <w:highlight w:val="none"/>
                <w:lang w:val="en-US" w:eastAsia="zh-CN"/>
              </w:rPr>
              <w:t>—迷路处入口处机头泄漏线的墙体散射辐射剂量率；</w:t>
            </w:r>
          </w:p>
          <w:p>
            <w:pPr>
              <w:pStyle w:val="2"/>
              <w:keepNext w:val="0"/>
              <w:keepLines w:val="0"/>
              <w:suppressLineNumbers w:val="0"/>
              <w:spacing w:before="0" w:beforeAutospacing="0" w:after="0" w:afterAutospacing="0" w:line="360" w:lineRule="auto"/>
              <w:ind w:left="689" w:leftChars="228" w:right="0" w:hanging="210" w:hangingChars="100"/>
              <w:rPr>
                <w:rFonts w:hint="default" w:ascii="Times New Roman" w:hAnsi="Times New Roman" w:cs="Times New Roman"/>
                <w:b w:val="0"/>
                <w:bCs/>
                <w:color w:val="auto"/>
                <w:kern w:val="2"/>
                <w:sz w:val="24"/>
                <w:szCs w:val="24"/>
                <w:highlight w:val="none"/>
                <w:lang w:val="en-US" w:eastAsia="zh-CN"/>
              </w:rPr>
            </w:pPr>
            <w:r>
              <w:rPr>
                <w:rFonts w:hint="default" w:ascii="Times New Roman" w:hAnsi="Times New Roman" w:cs="Times New Roman"/>
                <w:b w:val="0"/>
                <w:bCs/>
                <w:color w:val="auto"/>
                <w:kern w:val="2"/>
                <w:position w:val="-10"/>
                <w:sz w:val="21"/>
                <w:szCs w:val="21"/>
                <w:highlight w:val="none"/>
                <w:lang w:val="en-US" w:eastAsia="zh-CN"/>
              </w:rPr>
              <w:object>
                <v:shape id="_x0000_i1082" o:spt="75" type="#_x0000_t75" style="height:17pt;width:24pt;" o:ole="t" filled="f" o:preferrelative="t" stroked="f" coordsize="21600,21600">
                  <v:path/>
                  <v:fill on="f" focussize="0,0"/>
                  <v:stroke on="f"/>
                  <v:imagedata r:id="rId137" o:title=""/>
                  <o:lock v:ext="edit" aspectratio="t"/>
                  <w10:wrap type="none"/>
                  <w10:anchorlock/>
                </v:shape>
                <o:OLEObject Type="Embed" ProgID="Equation.KSEE3" ShapeID="_x0000_i1082" DrawAspect="Content" ObjectID="_1468075782" r:id="rId136">
                  <o:LockedField>false</o:LockedField>
                </o:OLEObject>
              </w:object>
            </w:r>
            <w:r>
              <w:rPr>
                <w:rFonts w:hint="default" w:ascii="Times New Roman" w:hAnsi="Times New Roman" w:cs="Times New Roman"/>
                <w:b w:val="0"/>
                <w:bCs/>
                <w:color w:val="auto"/>
                <w:kern w:val="2"/>
                <w:sz w:val="21"/>
                <w:szCs w:val="21"/>
                <w:highlight w:val="none"/>
                <w:lang w:val="en-US" w:eastAsia="zh-CN"/>
              </w:rPr>
              <w:t>—迷路外入口处机头泄漏散射辐射剂量率；</w:t>
            </w:r>
            <w:r>
              <w:rPr>
                <w:rFonts w:hint="default" w:ascii="Times New Roman" w:hAnsi="Times New Roman" w:cs="Times New Roman"/>
                <w:b w:val="0"/>
                <w:bCs/>
                <w:color w:val="auto"/>
                <w:kern w:val="2"/>
                <w:sz w:val="24"/>
                <w:szCs w:val="24"/>
                <w:highlight w:val="none"/>
                <w:lang w:val="en-US" w:eastAsia="zh-CN"/>
              </w:rPr>
              <w:t xml:space="preserve"> </w:t>
            </w:r>
            <w:r>
              <w:rPr>
                <w:rFonts w:hint="default" w:ascii="Times New Roman" w:hAnsi="Times New Roman" w:cs="Times New Roman"/>
                <w:b w:val="0"/>
                <w:bCs/>
                <w:color w:val="auto"/>
                <w:kern w:val="2"/>
                <w:position w:val="-14"/>
                <w:sz w:val="24"/>
                <w:szCs w:val="24"/>
                <w:highlight w:val="none"/>
                <w:lang w:val="en-US" w:eastAsia="zh-CN"/>
              </w:rPr>
              <w:object>
                <v:shape id="_x0000_i1083" o:spt="75" type="#_x0000_t75" style="height:20pt;width:298pt;" o:ole="t" filled="f" o:preferrelative="t" stroked="f" coordsize="21600,21600">
                  <v:path/>
                  <v:fill on="f" focussize="0,0"/>
                  <v:stroke on="f"/>
                  <v:imagedata r:id="rId139" o:title=""/>
                  <o:lock v:ext="edit" aspectratio="t"/>
                  <w10:wrap type="none"/>
                  <w10:anchorlock/>
                </v:shape>
                <o:OLEObject Type="Embed" ProgID="Equation.KSEE3" ShapeID="_x0000_i1083" DrawAspect="Content" ObjectID="_1468075783" r:id="rId138">
                  <o:LockedField>false</o:LockedField>
                </o:OLEObject>
              </w:object>
            </w:r>
          </w:p>
          <w:p>
            <w:pPr>
              <w:pStyle w:val="2"/>
              <w:keepNext w:val="0"/>
              <w:keepLines w:val="0"/>
              <w:suppressLineNumbers w:val="0"/>
              <w:spacing w:before="0" w:beforeAutospacing="0" w:after="0" w:afterAutospacing="0"/>
              <w:ind w:left="0" w:right="0" w:firstLine="720" w:firstLineChars="300"/>
              <w:rPr>
                <w:rFonts w:hint="default" w:ascii="Times New Roman" w:hAnsi="Times New Roman" w:cs="Times New Roman"/>
                <w:b w:val="0"/>
                <w:bCs/>
                <w:color w:val="auto"/>
                <w:kern w:val="2"/>
                <w:sz w:val="24"/>
                <w:szCs w:val="24"/>
                <w:highlight w:val="none"/>
                <w:lang w:val="en-US" w:eastAsia="zh-CN"/>
              </w:rPr>
            </w:pPr>
            <w:r>
              <w:rPr>
                <w:rFonts w:hint="default" w:ascii="Times New Roman" w:hAnsi="Times New Roman" w:cs="Times New Roman"/>
                <w:b w:val="0"/>
                <w:bCs/>
                <w:color w:val="auto"/>
                <w:kern w:val="2"/>
                <w:position w:val="-12"/>
                <w:sz w:val="24"/>
                <w:szCs w:val="24"/>
                <w:highlight w:val="none"/>
                <w:lang w:val="en-US" w:eastAsia="zh-CN"/>
              </w:rPr>
              <w:object>
                <v:shape id="_x0000_i1084" o:spt="75" type="#_x0000_t75" style="height:19pt;width:323pt;" o:ole="t" filled="f" o:preferrelative="t" stroked="f" coordsize="21600,21600">
                  <v:path/>
                  <v:fill on="f" focussize="0,0"/>
                  <v:stroke on="f"/>
                  <v:imagedata r:id="rId141" o:title=""/>
                  <o:lock v:ext="edit" aspectratio="t"/>
                  <w10:wrap type="none"/>
                  <w10:anchorlock/>
                </v:shape>
                <o:OLEObject Type="Embed" ProgID="Equation.KSEE3" ShapeID="_x0000_i1084" DrawAspect="Content" ObjectID="_1468075784" r:id="rId140">
                  <o:LockedField>false</o:LockedField>
                </o:OLEObject>
              </w:objec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式中：</w:t>
            </w:r>
            <w:r>
              <w:rPr>
                <w:rFonts w:hint="default" w:ascii="Times New Roman" w:hAnsi="Times New Roman" w:cs="Times New Roman"/>
                <w:b w:val="0"/>
                <w:bCs/>
                <w:color w:val="auto"/>
                <w:kern w:val="2"/>
                <w:position w:val="-6"/>
                <w:sz w:val="21"/>
                <w:szCs w:val="21"/>
                <w:highlight w:val="none"/>
                <w:lang w:val="en-US" w:eastAsia="zh-CN"/>
              </w:rPr>
              <w:object>
                <v:shape id="_x0000_i1085" o:spt="75" type="#_x0000_t75" style="height:11pt;width:12pt;" o:ole="t" filled="f" o:preferrelative="t" stroked="f" coordsize="21600,21600">
                  <v:path/>
                  <v:fill on="f" focussize="0,0"/>
                  <v:stroke on="f"/>
                  <v:imagedata r:id="rId143" o:title=""/>
                  <o:lock v:ext="edit" aspectratio="t"/>
                  <w10:wrap type="none"/>
                  <w10:anchorlock/>
                </v:shape>
                <o:OLEObject Type="Embed" ProgID="Equation.KSEE3" ShapeID="_x0000_i1085" DrawAspect="Content" ObjectID="_1468075785" r:id="rId142">
                  <o:LockedField>false</o:LockedField>
                </o:OLEObject>
              </w:object>
            </w:r>
            <w:r>
              <w:rPr>
                <w:rFonts w:hint="default" w:ascii="Times New Roman" w:hAnsi="Times New Roman" w:cs="Times New Roman"/>
                <w:b w:val="0"/>
                <w:bCs/>
                <w:color w:val="auto"/>
                <w:kern w:val="2"/>
                <w:sz w:val="21"/>
                <w:szCs w:val="21"/>
                <w:highlight w:val="none"/>
                <w:lang w:val="en-US" w:eastAsia="zh-CN"/>
              </w:rPr>
              <w:t>—患者受照射面积400cm</w:t>
            </w:r>
            <w:r>
              <w:rPr>
                <w:rFonts w:hint="default" w:ascii="Times New Roman" w:hAnsi="Times New Roman" w:cs="Times New Roman"/>
                <w:b w:val="0"/>
                <w:bCs/>
                <w:color w:val="auto"/>
                <w:kern w:val="2"/>
                <w:sz w:val="21"/>
                <w:szCs w:val="21"/>
                <w:highlight w:val="none"/>
                <w:vertAlign w:val="superscript"/>
                <w:lang w:val="en-US" w:eastAsia="zh-CN"/>
              </w:rPr>
              <w:t>2</w:t>
            </w:r>
            <w:r>
              <w:rPr>
                <w:rFonts w:hint="default" w:ascii="Times New Roman" w:hAnsi="Times New Roman" w:cs="Times New Roman"/>
                <w:b w:val="0"/>
                <w:bCs/>
                <w:color w:val="auto"/>
                <w:kern w:val="2"/>
                <w:sz w:val="21"/>
                <w:szCs w:val="21"/>
                <w:highlight w:val="none"/>
                <w:lang w:val="en-US" w:eastAsia="zh-CN"/>
              </w:rPr>
              <w:t>的散射因子；</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0"/>
                <w:sz w:val="21"/>
                <w:szCs w:val="21"/>
                <w:highlight w:val="none"/>
                <w:lang w:val="en-US" w:eastAsia="zh-CN"/>
              </w:rPr>
              <w:object>
                <v:shape id="_x0000_i1086" o:spt="75" type="#_x0000_t75" style="height:17pt;width:15pt;" o:ole="t" filled="f" o:preferrelative="t" stroked="f" coordsize="21600,21600">
                  <v:path/>
                  <v:fill on="f" focussize="0,0"/>
                  <v:stroke on="f"/>
                  <v:imagedata r:id="rId145" o:title=""/>
                  <o:lock v:ext="edit" aspectratio="t"/>
                  <w10:wrap type="none"/>
                  <w10:anchorlock/>
                </v:shape>
                <o:OLEObject Type="Embed" ProgID="Equation.KSEE3" ShapeID="_x0000_i1086" DrawAspect="Content" ObjectID="_1468075786" r:id="rId144">
                  <o:LockedField>false</o:LockedField>
                </o:OLEObject>
              </w:object>
            </w:r>
            <w:r>
              <w:rPr>
                <w:rFonts w:hint="default" w:ascii="Times New Roman" w:hAnsi="Times New Roman" w:cs="Times New Roman"/>
                <w:b w:val="0"/>
                <w:bCs/>
                <w:color w:val="auto"/>
                <w:kern w:val="2"/>
                <w:sz w:val="21"/>
                <w:szCs w:val="21"/>
                <w:highlight w:val="none"/>
                <w:lang w:val="en-US" w:eastAsia="zh-CN"/>
              </w:rPr>
              <w:t>—迷路内入口墙体散射系数；</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A</w:t>
            </w:r>
            <w:r>
              <w:rPr>
                <w:rFonts w:hint="default" w:ascii="Times New Roman" w:hAnsi="Times New Roman" w:cs="Times New Roman"/>
                <w:b w:val="0"/>
                <w:bCs/>
                <w:color w:val="auto"/>
                <w:kern w:val="2"/>
                <w:sz w:val="21"/>
                <w:szCs w:val="21"/>
                <w:highlight w:val="none"/>
                <w:vertAlign w:val="subscript"/>
                <w:lang w:val="en-US" w:eastAsia="zh-CN"/>
              </w:rPr>
              <w:t>1</w:t>
            </w:r>
            <w:r>
              <w:rPr>
                <w:rFonts w:hint="default" w:ascii="Times New Roman" w:hAnsi="Times New Roman" w:cs="Times New Roman"/>
                <w:b w:val="0"/>
                <w:bCs/>
                <w:color w:val="auto"/>
                <w:kern w:val="2"/>
                <w:sz w:val="21"/>
                <w:szCs w:val="21"/>
                <w:highlight w:val="none"/>
                <w:lang w:val="en-US" w:eastAsia="zh-CN"/>
              </w:rPr>
              <w:t>—迷路内入口散射面积；</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dsca—靶中心至体表散射点距离；</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d</w:t>
            </w:r>
            <w:r>
              <w:rPr>
                <w:rFonts w:hint="default" w:ascii="Times New Roman" w:hAnsi="Times New Roman" w:cs="Times New Roman"/>
                <w:b w:val="0"/>
                <w:bCs/>
                <w:color w:val="auto"/>
                <w:kern w:val="2"/>
                <w:sz w:val="21"/>
                <w:szCs w:val="21"/>
                <w:highlight w:val="none"/>
                <w:vertAlign w:val="subscript"/>
                <w:lang w:val="en-US" w:eastAsia="zh-CN"/>
              </w:rPr>
              <w:t>1</w:t>
            </w:r>
            <w:r>
              <w:rPr>
                <w:rFonts w:hint="default" w:ascii="Times New Roman" w:hAnsi="Times New Roman" w:cs="Times New Roman"/>
                <w:b w:val="0"/>
                <w:bCs/>
                <w:color w:val="auto"/>
                <w:kern w:val="2"/>
                <w:sz w:val="21"/>
                <w:szCs w:val="21"/>
                <w:highlight w:val="none"/>
                <w:lang w:val="en-US" w:eastAsia="zh-CN"/>
              </w:rPr>
              <w:t>—体表散射点至迷路内入口距离；</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d</w:t>
            </w:r>
            <w:r>
              <w:rPr>
                <w:rFonts w:hint="default" w:ascii="Times New Roman" w:hAnsi="Times New Roman" w:cs="Times New Roman"/>
                <w:b w:val="0"/>
                <w:bCs/>
                <w:color w:val="auto"/>
                <w:kern w:val="2"/>
                <w:sz w:val="21"/>
                <w:szCs w:val="21"/>
                <w:highlight w:val="none"/>
                <w:vertAlign w:val="subscript"/>
                <w:lang w:val="en-US" w:eastAsia="zh-CN"/>
              </w:rPr>
              <w:t>2</w:t>
            </w:r>
            <w:r>
              <w:rPr>
                <w:rFonts w:hint="default" w:ascii="Times New Roman" w:hAnsi="Times New Roman" w:cs="Times New Roman"/>
                <w:b w:val="0"/>
                <w:bCs/>
                <w:color w:val="auto"/>
                <w:kern w:val="2"/>
                <w:sz w:val="21"/>
                <w:szCs w:val="21"/>
                <w:highlight w:val="none"/>
                <w:lang w:val="en-US" w:eastAsia="zh-CN"/>
              </w:rPr>
              <w:t>—</w:t>
            </w:r>
            <w:r>
              <w:rPr>
                <w:rFonts w:hint="default" w:ascii="Times New Roman" w:hAnsi="Times New Roman" w:cs="Times New Roman"/>
                <w:color w:val="auto"/>
                <w:kern w:val="2"/>
                <w:sz w:val="21"/>
                <w:szCs w:val="21"/>
                <w:highlight w:val="none"/>
                <w:lang w:val="en-US" w:eastAsia="zh-CN"/>
              </w:rPr>
              <w:t>B点至迷路入口距离</w:t>
            </w:r>
            <w:r>
              <w:rPr>
                <w:rFonts w:hint="default" w:ascii="Times New Roman" w:hAnsi="Times New Roman" w:cs="Times New Roman"/>
                <w:b w:val="0"/>
                <w:bCs/>
                <w:color w:val="auto"/>
                <w:kern w:val="2"/>
                <w:sz w:val="21"/>
                <w:szCs w:val="21"/>
                <w:highlight w:val="none"/>
                <w:lang w:val="en-US" w:eastAsia="zh-CN"/>
              </w:rPr>
              <w:t>。</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kern w:val="2"/>
                <w:sz w:val="24"/>
                <w:szCs w:val="24"/>
                <w:highlight w:val="none"/>
                <w:lang w:val="en-US" w:eastAsia="zh-CN"/>
              </w:rPr>
            </w:pPr>
            <w:r>
              <w:rPr>
                <w:rFonts w:hint="default" w:ascii="Times New Roman" w:hAnsi="Times New Roman" w:cs="Times New Roman"/>
                <w:b w:val="0"/>
                <w:bCs/>
                <w:color w:val="auto"/>
                <w:kern w:val="2"/>
                <w:position w:val="-12"/>
                <w:sz w:val="24"/>
                <w:szCs w:val="24"/>
                <w:highlight w:val="none"/>
                <w:lang w:val="en-US" w:eastAsia="zh-CN"/>
              </w:rPr>
              <w:object>
                <v:shape id="_x0000_i1087" o:spt="75" type="#_x0000_t75" style="height:19pt;width:208pt;" o:ole="t" filled="f" o:preferrelative="t" stroked="f" coordsize="21600,21600">
                  <v:path/>
                  <v:fill on="f" focussize="0,0"/>
                  <v:stroke on="f"/>
                  <v:imagedata r:id="rId147" o:title=""/>
                  <o:lock v:ext="edit" aspectratio="t"/>
                  <w10:wrap type="none"/>
                  <w10:anchorlock/>
                </v:shape>
                <o:OLEObject Type="Embed" ProgID="Equation.KSEE3" ShapeID="_x0000_i1087" DrawAspect="Content" ObjectID="_1468075787" r:id="rId146">
                  <o:LockedField>false</o:LockedField>
                </o:OLEObject>
              </w:objec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kern w:val="2"/>
                <w:sz w:val="24"/>
                <w:szCs w:val="24"/>
                <w:highlight w:val="none"/>
                <w:lang w:val="en-US" w:eastAsia="zh-CN"/>
              </w:rPr>
            </w:pPr>
            <w:r>
              <w:rPr>
                <w:rFonts w:hint="default" w:ascii="Times New Roman" w:hAnsi="Times New Roman" w:cs="Times New Roman"/>
                <w:b w:val="0"/>
                <w:bCs/>
                <w:color w:val="auto"/>
                <w:kern w:val="2"/>
                <w:position w:val="-12"/>
                <w:sz w:val="24"/>
                <w:szCs w:val="24"/>
                <w:highlight w:val="none"/>
                <w:lang w:val="en-US" w:eastAsia="zh-CN"/>
              </w:rPr>
              <w:object>
                <v:shape id="_x0000_i1088" o:spt="75" type="#_x0000_t75" style="height:19pt;width:383pt;" o:ole="t" filled="f" o:preferrelative="t" stroked="f" coordsize="21600,21600">
                  <v:path/>
                  <v:fill on="f" focussize="0,0"/>
                  <v:stroke on="f"/>
                  <v:imagedata r:id="rId149" o:title=""/>
                  <o:lock v:ext="edit" aspectratio="t"/>
                  <w10:wrap type="none"/>
                  <w10:anchorlock/>
                </v:shape>
                <o:OLEObject Type="Embed" ProgID="Equation.KSEE3" ShapeID="_x0000_i1088" DrawAspect="Content" ObjectID="_1468075788" r:id="rId148">
                  <o:LockedField>false</o:LockedField>
                </o:OLEObject>
              </w:objec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式中：</w:t>
            </w:r>
            <w:r>
              <w:rPr>
                <w:rFonts w:hint="default" w:ascii="Times New Roman" w:hAnsi="Times New Roman" w:cs="Times New Roman"/>
                <w:b w:val="0"/>
                <w:bCs/>
                <w:color w:val="auto"/>
                <w:kern w:val="2"/>
                <w:position w:val="-12"/>
                <w:sz w:val="21"/>
                <w:szCs w:val="21"/>
                <w:highlight w:val="none"/>
                <w:lang w:val="en-US" w:eastAsia="zh-CN"/>
              </w:rPr>
              <w:object>
                <v:shape id="_x0000_i1089" o:spt="75" type="#_x0000_t75" style="height:18pt;width:15pt;" o:ole="t" filled="f" o:preferrelative="t" stroked="f" coordsize="21600,21600">
                  <v:path/>
                  <v:fill on="f" focussize="0,0"/>
                  <v:stroke on="f"/>
                  <v:imagedata r:id="rId151" o:title=""/>
                  <o:lock v:ext="edit" aspectratio="t"/>
                  <w10:wrap type="none"/>
                  <w10:anchorlock/>
                </v:shape>
                <o:OLEObject Type="Embed" ProgID="Equation.KSEE3" ShapeID="_x0000_i1089" DrawAspect="Content" ObjectID="_1468075789" r:id="rId150">
                  <o:LockedField>false</o:LockedField>
                </o:OLEObject>
              </w:object>
            </w:r>
            <w:r>
              <w:rPr>
                <w:rFonts w:hint="default" w:ascii="Times New Roman" w:hAnsi="Times New Roman" w:cs="Times New Roman"/>
                <w:b w:val="0"/>
                <w:bCs/>
                <w:color w:val="auto"/>
                <w:kern w:val="2"/>
                <w:sz w:val="21"/>
                <w:szCs w:val="21"/>
                <w:highlight w:val="none"/>
                <w:lang w:val="en-US" w:eastAsia="zh-CN"/>
              </w:rPr>
              <w:t>—主防护墙散射系数；</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2"/>
                <w:sz w:val="21"/>
                <w:szCs w:val="21"/>
                <w:highlight w:val="none"/>
                <w:lang w:val="en-US" w:eastAsia="zh-CN"/>
              </w:rPr>
              <w:object>
                <v:shape id="_x0000_i1090" o:spt="75" type="#_x0000_t75" style="height:18pt;width:16pt;" o:ole="t" filled="f" o:preferrelative="t" stroked="f" coordsize="21600,21600">
                  <v:path/>
                  <v:fill on="f" focussize="0,0"/>
                  <v:stroke on="f"/>
                  <v:imagedata r:id="rId153" o:title=""/>
                  <o:lock v:ext="edit" aspectratio="t"/>
                  <w10:wrap type="none"/>
                  <w10:anchorlock/>
                </v:shape>
                <o:OLEObject Type="Embed" ProgID="Equation.KSEE3" ShapeID="_x0000_i1090" DrawAspect="Content" ObjectID="_1468075790" r:id="rId152">
                  <o:LockedField>false</o:LockedField>
                </o:OLEObject>
              </w:object>
            </w:r>
            <w:r>
              <w:rPr>
                <w:rFonts w:hint="default" w:ascii="Times New Roman" w:hAnsi="Times New Roman" w:cs="Times New Roman"/>
                <w:b w:val="0"/>
                <w:bCs/>
                <w:color w:val="auto"/>
                <w:kern w:val="2"/>
                <w:sz w:val="21"/>
                <w:szCs w:val="21"/>
                <w:highlight w:val="none"/>
                <w:lang w:val="en-US" w:eastAsia="zh-CN"/>
              </w:rPr>
              <w:t>—主防护墙散射面积；</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2"/>
                <w:sz w:val="21"/>
                <w:szCs w:val="21"/>
                <w:highlight w:val="none"/>
                <w:lang w:val="en-US" w:eastAsia="zh-CN"/>
              </w:rPr>
              <w:object>
                <v:shape id="_x0000_i1091" o:spt="75" type="#_x0000_t75" style="height:18pt;width:15pt;" o:ole="t" filled="f" o:preferrelative="t" stroked="f" coordsize="21600,21600">
                  <v:path/>
                  <v:fill on="f" focussize="0,0"/>
                  <v:stroke on="f"/>
                  <v:imagedata r:id="rId155" o:title=""/>
                  <o:lock v:ext="edit" aspectratio="t"/>
                  <w10:wrap type="none"/>
                  <w10:anchorlock/>
                </v:shape>
                <o:OLEObject Type="Embed" ProgID="Equation.KSEE3" ShapeID="_x0000_i1091" DrawAspect="Content" ObjectID="_1468075791" r:id="rId154">
                  <o:LockedField>false</o:LockedField>
                </o:OLEObject>
              </w:object>
            </w:r>
            <w:r>
              <w:rPr>
                <w:rFonts w:hint="default" w:ascii="Times New Roman" w:hAnsi="Times New Roman" w:cs="Times New Roman"/>
                <w:b w:val="0"/>
                <w:bCs/>
                <w:color w:val="auto"/>
                <w:kern w:val="2"/>
                <w:sz w:val="21"/>
                <w:szCs w:val="21"/>
                <w:highlight w:val="none"/>
                <w:lang w:val="en-US" w:eastAsia="zh-CN"/>
              </w:rPr>
              <w:t>—迷路内入口二次散射点散射系数；</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d</w:t>
            </w:r>
            <w:r>
              <w:rPr>
                <w:rFonts w:hint="default" w:ascii="Times New Roman" w:hAnsi="Times New Roman" w:cs="Times New Roman"/>
                <w:b w:val="0"/>
                <w:bCs/>
                <w:color w:val="auto"/>
                <w:kern w:val="2"/>
                <w:sz w:val="21"/>
                <w:szCs w:val="21"/>
                <w:highlight w:val="none"/>
                <w:vertAlign w:val="subscript"/>
                <w:lang w:val="en-US" w:eastAsia="zh-CN"/>
              </w:rPr>
              <w:t>3</w:t>
            </w:r>
            <w:r>
              <w:rPr>
                <w:rFonts w:hint="default" w:ascii="Times New Roman" w:hAnsi="Times New Roman" w:cs="Times New Roman"/>
                <w:b w:val="0"/>
                <w:bCs/>
                <w:color w:val="auto"/>
                <w:kern w:val="2"/>
                <w:sz w:val="21"/>
                <w:szCs w:val="21"/>
                <w:highlight w:val="none"/>
                <w:lang w:val="en-US" w:eastAsia="zh-CN"/>
              </w:rPr>
              <w:t>—靶中心到主防护墙最近距离；</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d</w:t>
            </w:r>
            <w:r>
              <w:rPr>
                <w:rFonts w:hint="default" w:ascii="Times New Roman" w:hAnsi="Times New Roman" w:cs="Times New Roman"/>
                <w:b w:val="0"/>
                <w:bCs/>
                <w:color w:val="auto"/>
                <w:kern w:val="2"/>
                <w:sz w:val="21"/>
                <w:szCs w:val="21"/>
                <w:highlight w:val="none"/>
                <w:vertAlign w:val="subscript"/>
                <w:lang w:val="en-US" w:eastAsia="zh-CN"/>
              </w:rPr>
              <w:t>4</w:t>
            </w:r>
            <w:r>
              <w:rPr>
                <w:rFonts w:hint="default" w:ascii="Times New Roman" w:hAnsi="Times New Roman" w:cs="Times New Roman"/>
                <w:b w:val="0"/>
                <w:bCs/>
                <w:color w:val="auto"/>
                <w:kern w:val="2"/>
                <w:sz w:val="21"/>
                <w:szCs w:val="21"/>
                <w:highlight w:val="none"/>
                <w:lang w:val="en-US" w:eastAsia="zh-CN"/>
              </w:rPr>
              <w:t>—主防护墙至迷路内入口二次散射点距离；</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d</w:t>
            </w:r>
            <w:r>
              <w:rPr>
                <w:rFonts w:hint="default" w:ascii="Times New Roman" w:hAnsi="Times New Roman" w:cs="Times New Roman"/>
                <w:b w:val="0"/>
                <w:bCs/>
                <w:color w:val="auto"/>
                <w:kern w:val="2"/>
                <w:sz w:val="21"/>
                <w:szCs w:val="21"/>
                <w:highlight w:val="none"/>
                <w:vertAlign w:val="subscript"/>
                <w:lang w:val="en-US" w:eastAsia="zh-CN"/>
              </w:rPr>
              <w:t>5</w:t>
            </w:r>
            <w:r>
              <w:rPr>
                <w:rFonts w:hint="default" w:ascii="Times New Roman" w:hAnsi="Times New Roman" w:cs="Times New Roman"/>
                <w:b w:val="0"/>
                <w:bCs/>
                <w:color w:val="auto"/>
                <w:kern w:val="2"/>
                <w:sz w:val="21"/>
                <w:szCs w:val="21"/>
                <w:highlight w:val="none"/>
                <w:lang w:val="en-US" w:eastAsia="zh-CN"/>
              </w:rPr>
              <w:t>—迷路内入口二次散射点至迷路外入口距离。</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kern w:val="2"/>
                <w:sz w:val="24"/>
                <w:szCs w:val="24"/>
                <w:highlight w:val="none"/>
                <w:lang w:val="en-US" w:eastAsia="zh-CN"/>
              </w:rPr>
            </w:pPr>
            <w:r>
              <w:rPr>
                <w:rFonts w:hint="default" w:ascii="Times New Roman" w:hAnsi="Times New Roman" w:cs="Times New Roman"/>
                <w:b w:val="0"/>
                <w:bCs/>
                <w:color w:val="auto"/>
                <w:kern w:val="2"/>
                <w:position w:val="-12"/>
                <w:sz w:val="24"/>
                <w:szCs w:val="24"/>
                <w:highlight w:val="none"/>
                <w:lang w:val="en-US" w:eastAsia="zh-CN"/>
              </w:rPr>
              <w:object>
                <v:shape id="_x0000_i1092" o:spt="75" type="#_x0000_t75" style="height:19pt;width:159pt;" o:ole="t" filled="f" o:preferrelative="t" stroked="f" coordsize="21600,21600">
                  <v:path/>
                  <v:fill on="f" focussize="0,0"/>
                  <v:stroke on="f"/>
                  <v:imagedata r:id="rId157" o:title=""/>
                  <o:lock v:ext="edit" aspectratio="t"/>
                  <w10:wrap type="none"/>
                  <w10:anchorlock/>
                </v:shape>
                <o:OLEObject Type="Embed" ProgID="Equation.KSEE3" ShapeID="_x0000_i1092" DrawAspect="Content" ObjectID="_1468075792" r:id="rId156">
                  <o:LockedField>false</o:LockedField>
                </o:OLEObject>
              </w:object>
            </w:r>
          </w:p>
          <w:p>
            <w:pPr>
              <w:pStyle w:val="2"/>
              <w:keepNext w:val="0"/>
              <w:keepLines w:val="0"/>
              <w:suppressLineNumbers w:val="0"/>
              <w:spacing w:before="0" w:beforeAutospacing="0" w:after="0" w:afterAutospacing="0"/>
              <w:ind w:left="0" w:right="0" w:firstLine="480" w:firstLineChars="200"/>
              <w:rPr>
                <w:rFonts w:hint="default" w:ascii="Times New Roman" w:hAnsi="Times New Roman" w:cs="Times New Roman"/>
                <w:b w:val="0"/>
                <w:bCs/>
                <w:color w:val="auto"/>
                <w:kern w:val="2"/>
                <w:sz w:val="24"/>
                <w:szCs w:val="24"/>
                <w:highlight w:val="none"/>
                <w:lang w:val="en-US" w:eastAsia="zh-CN"/>
              </w:rPr>
            </w:pPr>
            <w:r>
              <w:rPr>
                <w:rFonts w:hint="default" w:ascii="Times New Roman" w:hAnsi="Times New Roman" w:cs="Times New Roman"/>
                <w:b w:val="0"/>
                <w:bCs/>
                <w:color w:val="auto"/>
                <w:kern w:val="2"/>
                <w:position w:val="-12"/>
                <w:sz w:val="24"/>
                <w:szCs w:val="24"/>
                <w:highlight w:val="none"/>
                <w:lang w:val="en-US" w:eastAsia="zh-CN"/>
              </w:rPr>
              <w:object>
                <v:shape id="_x0000_i1093" o:spt="75" type="#_x0000_t75" style="height:19pt;width:329pt;" o:ole="t" filled="f" o:preferrelative="t" stroked="f" coordsize="21600,21600">
                  <v:path/>
                  <v:fill on="f" focussize="0,0"/>
                  <v:stroke on="f"/>
                  <v:imagedata r:id="rId159" o:title=""/>
                  <o:lock v:ext="edit" aspectratio="t"/>
                  <w10:wrap type="none"/>
                  <w10:anchorlock/>
                </v:shape>
                <o:OLEObject Type="Embed" ProgID="Equation.KSEE3" ShapeID="_x0000_i1093" DrawAspect="Content" ObjectID="_1468075793" r:id="rId158">
                  <o:LockedField>false</o:LockedField>
                </o:OLEObject>
              </w:object>
            </w:r>
          </w:p>
          <w:p>
            <w:pPr>
              <w:pStyle w:val="2"/>
              <w:keepNext w:val="0"/>
              <w:keepLines w:val="0"/>
              <w:suppressLineNumbers w:val="0"/>
              <w:spacing w:before="0" w:beforeAutospacing="0" w:after="0" w:afterAutospacing="0" w:line="24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式中：</w:t>
            </w:r>
            <w:r>
              <w:rPr>
                <w:rFonts w:hint="default" w:ascii="Times New Roman" w:hAnsi="Times New Roman" w:cs="Times New Roman"/>
                <w:b w:val="0"/>
                <w:bCs/>
                <w:color w:val="auto"/>
                <w:kern w:val="2"/>
                <w:position w:val="-12"/>
                <w:sz w:val="21"/>
                <w:szCs w:val="21"/>
                <w:highlight w:val="none"/>
                <w:lang w:val="en-US" w:eastAsia="zh-CN"/>
              </w:rPr>
              <w:object>
                <v:shape id="_x0000_i1094" o:spt="75" type="#_x0000_t75" style="height:18pt;width:15pt;" o:ole="t" filled="f" o:preferrelative="t" stroked="f" coordsize="21600,21600">
                  <v:path/>
                  <v:fill on="f" focussize="0,0"/>
                  <v:stroke on="f"/>
                  <v:imagedata r:id="rId161" o:title=""/>
                  <o:lock v:ext="edit" aspectratio="t"/>
                  <w10:wrap type="none"/>
                  <w10:anchorlock/>
                </v:shape>
                <o:OLEObject Type="Embed" ProgID="Equation.KSEE3" ShapeID="_x0000_i1094" DrawAspect="Content" ObjectID="_1468075794" r:id="rId160">
                  <o:LockedField>false</o:LockedField>
                </o:OLEObject>
              </w:object>
            </w:r>
            <w:r>
              <w:rPr>
                <w:rFonts w:hint="default" w:ascii="Times New Roman" w:hAnsi="Times New Roman" w:cs="Times New Roman"/>
                <w:b w:val="0"/>
                <w:bCs/>
                <w:color w:val="auto"/>
                <w:kern w:val="2"/>
                <w:sz w:val="21"/>
                <w:szCs w:val="21"/>
                <w:highlight w:val="none"/>
                <w:lang w:val="en-US" w:eastAsia="zh-CN"/>
              </w:rPr>
              <w:t>—迷路内入口墙体漏射线散射系数；</w:t>
            </w:r>
          </w:p>
          <w:p>
            <w:pPr>
              <w:pStyle w:val="2"/>
              <w:keepNext w:val="0"/>
              <w:keepLines w:val="0"/>
              <w:suppressLineNumbers w:val="0"/>
              <w:spacing w:before="0" w:beforeAutospacing="0" w:after="0" w:afterAutospacing="0" w:line="24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0"/>
                <w:sz w:val="21"/>
                <w:szCs w:val="21"/>
                <w:highlight w:val="none"/>
                <w:lang w:val="en-US" w:eastAsia="zh-CN"/>
              </w:rPr>
              <w:object>
                <v:shape id="_x0000_i1095" o:spt="75" type="#_x0000_t75" style="height:17pt;width:13.95pt;" o:ole="t" filled="f" o:preferrelative="t" stroked="f" coordsize="21600,21600">
                  <v:path/>
                  <v:fill on="f" focussize="0,0"/>
                  <v:stroke on="f"/>
                  <v:imagedata r:id="rId163" o:title=""/>
                  <o:lock v:ext="edit" aspectratio="t"/>
                  <w10:wrap type="none"/>
                  <w10:anchorlock/>
                </v:shape>
                <o:OLEObject Type="Embed" ProgID="Equation.KSEE3" ShapeID="_x0000_i1095" DrawAspect="Content" ObjectID="_1468075795" r:id="rId162">
                  <o:LockedField>false</o:LockedField>
                </o:OLEObject>
              </w:object>
            </w:r>
            <w:r>
              <w:rPr>
                <w:rFonts w:hint="default" w:ascii="Times New Roman" w:hAnsi="Times New Roman" w:cs="Times New Roman"/>
                <w:b w:val="0"/>
                <w:bCs/>
                <w:color w:val="auto"/>
                <w:kern w:val="2"/>
                <w:sz w:val="21"/>
                <w:szCs w:val="21"/>
                <w:highlight w:val="none"/>
                <w:lang w:val="en-US" w:eastAsia="zh-CN"/>
              </w:rPr>
              <w:t>—迷路内入口散射面积；</w:t>
            </w:r>
          </w:p>
          <w:p>
            <w:pPr>
              <w:pStyle w:val="2"/>
              <w:keepNext w:val="0"/>
              <w:keepLines w:val="0"/>
              <w:suppressLineNumbers w:val="0"/>
              <w:spacing w:before="0" w:beforeAutospacing="0" w:after="0" w:afterAutospacing="0" w:line="24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0"/>
                <w:sz w:val="21"/>
                <w:szCs w:val="21"/>
                <w:highlight w:val="none"/>
                <w:lang w:val="en-US" w:eastAsia="zh-CN"/>
              </w:rPr>
              <w:object>
                <v:shape id="_x0000_i1096" o:spt="75" type="#_x0000_t75" style="height:17pt;width:15pt;" o:ole="t" filled="f" o:preferrelative="t" stroked="f" coordsize="21600,21600">
                  <v:path/>
                  <v:fill on="f" focussize="0,0"/>
                  <v:stroke on="f"/>
                  <v:imagedata r:id="rId165" o:title=""/>
                  <o:lock v:ext="edit" aspectratio="t"/>
                  <w10:wrap type="none"/>
                  <w10:anchorlock/>
                </v:shape>
                <o:OLEObject Type="Embed" ProgID="Equation.KSEE3" ShapeID="_x0000_i1096" DrawAspect="Content" ObjectID="_1468075796" r:id="rId164">
                  <o:LockedField>false</o:LockedField>
                </o:OLEObject>
              </w:object>
            </w:r>
            <w:r>
              <w:rPr>
                <w:rFonts w:hint="default" w:ascii="Times New Roman" w:hAnsi="Times New Roman" w:cs="Times New Roman"/>
                <w:b w:val="0"/>
                <w:bCs/>
                <w:color w:val="auto"/>
                <w:kern w:val="2"/>
                <w:sz w:val="21"/>
                <w:szCs w:val="21"/>
                <w:highlight w:val="none"/>
                <w:lang w:val="en-US" w:eastAsia="zh-CN"/>
              </w:rPr>
              <w:t>—迷路内入口二次散射点散射系数；</w:t>
            </w:r>
          </w:p>
          <w:p>
            <w:pPr>
              <w:pStyle w:val="2"/>
              <w:keepNext w:val="0"/>
              <w:keepLines w:val="0"/>
              <w:suppressLineNumbers w:val="0"/>
              <w:spacing w:before="0" w:beforeAutospacing="0" w:after="0" w:afterAutospacing="0" w:line="24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0"/>
                <w:sz w:val="21"/>
                <w:szCs w:val="21"/>
                <w:highlight w:val="none"/>
                <w:lang w:val="en-US" w:eastAsia="zh-CN"/>
              </w:rPr>
              <w:object>
                <v:shape id="_x0000_i1097" o:spt="75" type="#_x0000_t75" style="height:17pt;width:13pt;" o:ole="t" filled="f" o:preferrelative="t" stroked="f" coordsize="21600,21600">
                  <v:path/>
                  <v:fill on="f" focussize="0,0"/>
                  <v:stroke on="f"/>
                  <v:imagedata r:id="rId167" o:title=""/>
                  <o:lock v:ext="edit" aspectratio="t"/>
                  <w10:wrap type="none"/>
                  <w10:anchorlock/>
                </v:shape>
                <o:OLEObject Type="Embed" ProgID="Equation.KSEE3" ShapeID="_x0000_i1097" DrawAspect="Content" ObjectID="_1468075797" r:id="rId166">
                  <o:LockedField>false</o:LockedField>
                </o:OLEObject>
              </w:object>
            </w:r>
            <w:r>
              <w:rPr>
                <w:rFonts w:hint="default" w:ascii="Times New Roman" w:hAnsi="Times New Roman" w:cs="Times New Roman"/>
                <w:b w:val="0"/>
                <w:bCs/>
                <w:color w:val="auto"/>
                <w:kern w:val="2"/>
                <w:sz w:val="21"/>
                <w:szCs w:val="21"/>
                <w:highlight w:val="none"/>
                <w:lang w:val="en-US" w:eastAsia="zh-CN"/>
              </w:rPr>
              <w:t>—靶中心至迷路内入口的距离；</w:t>
            </w:r>
          </w:p>
          <w:p>
            <w:pPr>
              <w:pStyle w:val="2"/>
              <w:keepNext w:val="0"/>
              <w:keepLines w:val="0"/>
              <w:suppressLineNumbers w:val="0"/>
              <w:spacing w:before="0" w:beforeAutospacing="0" w:after="0" w:afterAutospacing="0" w:line="24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0"/>
                <w:sz w:val="21"/>
                <w:szCs w:val="21"/>
                <w:highlight w:val="none"/>
                <w:lang w:val="en-US" w:eastAsia="zh-CN"/>
              </w:rPr>
              <w:object>
                <v:shape id="_x0000_i1098" o:spt="75" type="#_x0000_t75" style="height:17pt;width:13.95pt;" o:ole="t" filled="f" o:preferrelative="t" stroked="f" coordsize="21600,21600">
                  <v:path/>
                  <v:fill on="f" focussize="0,0"/>
                  <v:stroke on="f"/>
                  <v:imagedata r:id="rId169" o:title=""/>
                  <o:lock v:ext="edit" aspectratio="t"/>
                  <w10:wrap type="none"/>
                  <w10:anchorlock/>
                </v:shape>
                <o:OLEObject Type="Embed" ProgID="Equation.KSEE3" ShapeID="_x0000_i1098" DrawAspect="Content" ObjectID="_1468075798" r:id="rId168">
                  <o:LockedField>false</o:LockedField>
                </o:OLEObject>
              </w:object>
            </w:r>
            <w:r>
              <w:rPr>
                <w:rFonts w:hint="default" w:ascii="Times New Roman" w:hAnsi="Times New Roman" w:cs="Times New Roman"/>
                <w:b w:val="0"/>
                <w:bCs/>
                <w:color w:val="auto"/>
                <w:kern w:val="2"/>
                <w:sz w:val="21"/>
                <w:szCs w:val="21"/>
                <w:highlight w:val="none"/>
                <w:lang w:val="en-US" w:eastAsia="zh-CN"/>
              </w:rPr>
              <w:t>—</w:t>
            </w:r>
            <w:r>
              <w:rPr>
                <w:rFonts w:hint="default" w:ascii="Times New Roman" w:hAnsi="Times New Roman" w:cs="Times New Roman"/>
                <w:color w:val="auto"/>
                <w:kern w:val="2"/>
                <w:sz w:val="21"/>
                <w:szCs w:val="21"/>
                <w:highlight w:val="none"/>
                <w:lang w:val="en-US" w:eastAsia="zh-CN"/>
              </w:rPr>
              <w:t>B点至迷路入口距离</w:t>
            </w:r>
            <w:r>
              <w:rPr>
                <w:rFonts w:hint="default" w:ascii="Times New Roman" w:hAnsi="Times New Roman" w:cs="Times New Roman"/>
                <w:b w:val="0"/>
                <w:bCs/>
                <w:color w:val="auto"/>
                <w:kern w:val="2"/>
                <w:sz w:val="21"/>
                <w:szCs w:val="21"/>
                <w:highlight w:val="none"/>
                <w:lang w:val="en-US" w:eastAsia="zh-CN"/>
              </w:rPr>
              <w:t>。</w:t>
            </w:r>
          </w:p>
          <w:p>
            <w:pPr>
              <w:pStyle w:val="2"/>
              <w:keepNext w:val="0"/>
              <w:keepLines w:val="0"/>
              <w:suppressLineNumbers w:val="0"/>
              <w:spacing w:before="0" w:beforeAutospacing="0" w:after="0" w:afterAutospacing="0"/>
              <w:ind w:left="0" w:right="0" w:firstLine="480" w:firstLineChars="200"/>
              <w:rPr>
                <w:rFonts w:hint="default" w:ascii="Times New Roman" w:hAnsi="Times New Roman" w:cs="Times New Roman"/>
                <w:b w:val="0"/>
                <w:bCs/>
                <w:color w:val="auto"/>
                <w:kern w:val="2"/>
                <w:sz w:val="24"/>
                <w:szCs w:val="24"/>
                <w:highlight w:val="none"/>
                <w:lang w:val="en-US" w:eastAsia="zh-CN"/>
              </w:rPr>
            </w:pPr>
            <w:r>
              <w:rPr>
                <w:rFonts w:hint="default" w:ascii="Times New Roman" w:hAnsi="Times New Roman" w:cs="Times New Roman"/>
                <w:b w:val="0"/>
                <w:bCs/>
                <w:color w:val="auto"/>
                <w:kern w:val="2"/>
                <w:position w:val="-14"/>
                <w:sz w:val="24"/>
                <w:szCs w:val="24"/>
                <w:highlight w:val="none"/>
                <w:lang w:val="en-US" w:eastAsia="zh-CN"/>
              </w:rPr>
              <w:object>
                <v:shape id="_x0000_i1099" o:spt="75" type="#_x0000_t75" style="height:23pt;width:112pt;" o:ole="t" filled="f" o:preferrelative="t" stroked="f" coordsize="21600,21600">
                  <v:path/>
                  <v:fill on="f" focussize="0,0"/>
                  <v:stroke on="f"/>
                  <v:imagedata r:id="rId171" o:title=""/>
                  <o:lock v:ext="edit" aspectratio="t"/>
                  <w10:wrap type="none"/>
                  <w10:anchorlock/>
                </v:shape>
                <o:OLEObject Type="Embed" ProgID="Equation.KSEE3" ShapeID="_x0000_i1099" DrawAspect="Content" ObjectID="_1468075799" r:id="rId170">
                  <o:LockedField>false</o:LockedField>
                </o:OLEObject>
              </w:object>
            </w:r>
          </w:p>
          <w:p>
            <w:pPr>
              <w:pStyle w:val="2"/>
              <w:keepNext w:val="0"/>
              <w:keepLines w:val="0"/>
              <w:suppressLineNumbers w:val="0"/>
              <w:spacing w:before="0" w:beforeAutospacing="0" w:after="0" w:afterAutospacing="0"/>
              <w:ind w:left="0" w:right="0" w:firstLine="480" w:firstLineChars="200"/>
              <w:rPr>
                <w:rFonts w:hint="default" w:ascii="Times New Roman" w:hAnsi="Times New Roman" w:cs="Times New Roman"/>
                <w:b w:val="0"/>
                <w:bCs/>
                <w:color w:val="auto"/>
                <w:kern w:val="2"/>
                <w:sz w:val="24"/>
                <w:szCs w:val="24"/>
                <w:highlight w:val="none"/>
                <w:lang w:val="en-US" w:eastAsia="zh-CN"/>
              </w:rPr>
            </w:pPr>
            <w:r>
              <w:rPr>
                <w:rFonts w:hint="default" w:ascii="Times New Roman" w:hAnsi="Times New Roman" w:cs="Times New Roman"/>
                <w:b w:val="0"/>
                <w:bCs/>
                <w:color w:val="auto"/>
                <w:kern w:val="2"/>
                <w:position w:val="-10"/>
                <w:sz w:val="24"/>
                <w:szCs w:val="24"/>
                <w:highlight w:val="none"/>
                <w:lang w:val="en-US" w:eastAsia="zh-CN"/>
              </w:rPr>
              <w:object>
                <v:shape id="_x0000_i1100" o:spt="75" type="#_x0000_t75" style="height:18pt;width:263pt;" o:ole="t" filled="f" o:preferrelative="t" stroked="f" coordsize="21600,21600">
                  <v:path/>
                  <v:fill on="f" focussize="0,0"/>
                  <v:stroke on="f"/>
                  <v:imagedata r:id="rId173" o:title=""/>
                  <o:lock v:ext="edit" aspectratio="t"/>
                  <w10:wrap type="none"/>
                  <w10:anchorlock/>
                </v:shape>
                <o:OLEObject Type="Embed" ProgID="Equation.KSEE3" ShapeID="_x0000_i1100" DrawAspect="Content" ObjectID="_1468075800" r:id="rId172">
                  <o:LockedField>false</o:LockedField>
                </o:OLEObject>
              </w:objec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sz w:val="21"/>
                <w:szCs w:val="21"/>
                <w:highlight w:val="none"/>
                <w:lang w:val="en-US" w:eastAsia="zh-CN"/>
              </w:rPr>
              <w:t>式中：</w:t>
            </w:r>
            <w:r>
              <w:rPr>
                <w:rFonts w:hint="default" w:ascii="Times New Roman" w:hAnsi="Times New Roman" w:cs="Times New Roman"/>
                <w:b w:val="0"/>
                <w:bCs/>
                <w:color w:val="auto"/>
                <w:kern w:val="2"/>
                <w:position w:val="-4"/>
                <w:sz w:val="21"/>
                <w:szCs w:val="21"/>
                <w:highlight w:val="none"/>
                <w:lang w:val="en-US" w:eastAsia="zh-CN"/>
              </w:rPr>
              <w:object>
                <v:shape id="_x0000_i1101" o:spt="75" type="#_x0000_t75" style="height:13pt;width:12pt;" o:ole="t" filled="f" o:preferrelative="t" stroked="f" coordsize="21600,21600">
                  <v:path/>
                  <v:fill on="f" focussize="0,0"/>
                  <v:stroke on="f"/>
                  <v:imagedata r:id="rId175" o:title=""/>
                  <o:lock v:ext="edit" aspectratio="t"/>
                  <w10:wrap type="none"/>
                  <w10:anchorlock/>
                </v:shape>
                <o:OLEObject Type="Embed" ProgID="Equation.KSEE3" ShapeID="_x0000_i1101" DrawAspect="Content" ObjectID="_1468075801" r:id="rId174">
                  <o:LockedField>false</o:LockedField>
                </o:OLEObject>
              </w:object>
            </w:r>
            <w:r>
              <w:rPr>
                <w:rFonts w:hint="default" w:ascii="Times New Roman" w:hAnsi="Times New Roman" w:cs="Times New Roman"/>
                <w:b w:val="0"/>
                <w:bCs/>
                <w:color w:val="auto"/>
                <w:kern w:val="2"/>
                <w:sz w:val="21"/>
                <w:szCs w:val="21"/>
                <w:highlight w:val="none"/>
                <w:lang w:val="en-US" w:eastAsia="zh-CN"/>
              </w:rPr>
              <w:t>—迷路的泄漏辐射屏蔽透射因子；</w:t>
            </w:r>
          </w:p>
          <w:p>
            <w:pPr>
              <w:pStyle w:val="2"/>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2"/>
                <w:position w:val="-12"/>
                <w:sz w:val="21"/>
                <w:szCs w:val="21"/>
                <w:highlight w:val="none"/>
                <w:lang w:val="en-US" w:eastAsia="zh-CN"/>
              </w:rPr>
              <w:object>
                <v:shape id="_x0000_i1102" o:spt="75" type="#_x0000_t75" style="height:18pt;width:13.95pt;" o:ole="t" filled="f" o:preferrelative="t" stroked="f" coordsize="21600,21600">
                  <v:path/>
                  <v:fill on="f" focussize="0,0"/>
                  <v:stroke on="f"/>
                  <v:imagedata r:id="rId177" o:title=""/>
                  <o:lock v:ext="edit" aspectratio="t"/>
                  <w10:wrap type="none"/>
                  <w10:anchorlock/>
                </v:shape>
                <o:OLEObject Type="Embed" ProgID="Equation.KSEE3" ShapeID="_x0000_i1102" DrawAspect="Content" ObjectID="_1468075802" r:id="rId176">
                  <o:LockedField>false</o:LockedField>
                </o:OLEObject>
              </w:object>
            </w:r>
            <w:r>
              <w:rPr>
                <w:rFonts w:hint="default" w:ascii="Times New Roman" w:hAnsi="Times New Roman" w:cs="Times New Roman"/>
                <w:b w:val="0"/>
                <w:bCs/>
                <w:color w:val="auto"/>
                <w:kern w:val="2"/>
                <w:sz w:val="21"/>
                <w:szCs w:val="21"/>
                <w:highlight w:val="none"/>
                <w:lang w:val="en-US" w:eastAsia="zh-CN"/>
              </w:rPr>
              <w:t>—靶中心至迷路外入口距离。</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黑体" w:cs="Times New Roman"/>
                <w:b w:val="0"/>
                <w:bCs/>
                <w:color w:val="auto"/>
                <w:kern w:val="0"/>
                <w:sz w:val="24"/>
                <w:szCs w:val="24"/>
                <w:highlight w:val="none"/>
                <w:lang w:val="en-US" w:eastAsia="zh-CN"/>
              </w:rPr>
            </w:pPr>
            <w:r>
              <w:rPr>
                <w:rFonts w:hint="default" w:ascii="Times New Roman" w:hAnsi="Times New Roman" w:cs="Times New Roman"/>
                <w:b w:val="0"/>
                <w:bCs/>
                <w:color w:val="auto"/>
                <w:kern w:val="2"/>
                <w:position w:val="-12"/>
                <w:sz w:val="24"/>
                <w:szCs w:val="24"/>
                <w:highlight w:val="none"/>
                <w:lang w:val="en-US" w:eastAsia="zh-CN"/>
              </w:rPr>
              <w:object>
                <v:shape id="_x0000_i1103" o:spt="75" type="#_x0000_t75" style="height:18pt;width:422pt;" o:ole="t" filled="f" o:preferrelative="t" stroked="f" coordsize="21600,21600">
                  <v:path/>
                  <v:fill on="f" focussize="0,0"/>
                  <v:stroke on="f"/>
                  <v:imagedata r:id="rId179" o:title=""/>
                  <o:lock v:ext="edit" aspectratio="t"/>
                  <w10:wrap type="none"/>
                  <w10:anchorlock/>
                </v:shape>
                <o:OLEObject Type="Embed" ProgID="Equation.KSEE3" ShapeID="_x0000_i1103" DrawAspect="Content" ObjectID="_1468075803" r:id="rId178">
                  <o:LockedField>false</o:LockedField>
                </o:OLEObject>
              </w:object>
            </w:r>
            <w:r>
              <w:rPr>
                <w:rFonts w:hint="default" w:ascii="Times New Roman" w:hAnsi="Times New Roman" w:cs="Times New Roman"/>
                <w:b w:val="0"/>
                <w:bCs/>
                <w:color w:val="auto"/>
                <w:kern w:val="2"/>
                <w:position w:val="-12"/>
                <w:sz w:val="24"/>
                <w:szCs w:val="24"/>
                <w:highlight w:val="none"/>
                <w:lang w:val="en-US" w:eastAsia="zh-CN"/>
              </w:rPr>
              <w:t xml:space="preserve">  </w:t>
            </w:r>
            <w:r>
              <w:rPr>
                <w:rFonts w:hint="default" w:ascii="Times New Roman" w:hAnsi="Times New Roman" w:eastAsia="黑体" w:cs="Times New Roman"/>
                <w:b w:val="0"/>
                <w:bCs/>
                <w:color w:val="auto"/>
                <w:kern w:val="0"/>
                <w:sz w:val="24"/>
                <w:szCs w:val="24"/>
                <w:highlight w:val="none"/>
                <w:lang w:val="en-US" w:eastAsia="zh-CN"/>
              </w:rPr>
              <w:t>2#加速器治疗室防护门的屏蔽计算结果：</w:t>
            </w:r>
          </w:p>
          <w:p>
            <w:pPr>
              <w:pStyle w:val="2"/>
              <w:keepNext w:val="0"/>
              <w:keepLines w:val="0"/>
              <w:suppressLineNumbers w:val="0"/>
              <w:spacing w:before="0" w:beforeAutospacing="0" w:after="0" w:afterAutospacing="0"/>
              <w:ind w:left="0" w:right="0" w:firstLine="56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position w:val="-32"/>
                <w:highlight w:val="none"/>
                <w:lang w:val="en-US" w:eastAsia="zh-CN"/>
              </w:rPr>
              <w:object>
                <v:shape id="_x0000_i1104" o:spt="75" type="#_x0000_t75" style="height:36pt;width:111pt;" o:ole="t" filled="f" o:preferrelative="t" stroked="f" coordsize="21600,21600">
                  <v:path/>
                  <v:fill on="f" focussize="0,0"/>
                  <v:stroke on="f"/>
                  <v:imagedata r:id="rId181" o:title=""/>
                  <o:lock v:ext="edit" aspectratio="t"/>
                  <w10:wrap type="none"/>
                  <w10:anchorlock/>
                </v:shape>
                <o:OLEObject Type="Embed" ProgID="Equation.KSEE3" ShapeID="_x0000_i1104" DrawAspect="Content" ObjectID="_1468075804" r:id="rId180">
                  <o:LockedField>false</o:LockedField>
                </o:OLEObject>
              </w:object>
            </w:r>
            <w:r>
              <w:rPr>
                <w:rFonts w:hint="default" w:ascii="Times New Roman" w:hAnsi="Times New Roman" w:cs="Times New Roman"/>
                <w:color w:val="auto"/>
                <w:kern w:val="2"/>
                <w:position w:val="-32"/>
                <w:highlight w:val="none"/>
                <w:lang w:val="en-US" w:eastAsia="zh-CN"/>
              </w:rPr>
              <w:t xml:space="preserve">       </w:t>
            </w:r>
          </w:p>
          <w:p>
            <w:pPr>
              <w:pStyle w:val="2"/>
              <w:keepNext w:val="0"/>
              <w:keepLines w:val="0"/>
              <w:suppressLineNumbers w:val="0"/>
              <w:spacing w:before="0" w:beforeAutospacing="0" w:after="0" w:afterAutospacing="0"/>
              <w:ind w:left="0" w:right="0" w:firstLine="56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position w:val="-14"/>
                <w:highlight w:val="none"/>
                <w:lang w:val="en-US" w:eastAsia="zh-CN"/>
              </w:rPr>
              <w:object>
                <v:shape id="_x0000_i1105" o:spt="75" type="#_x0000_t75" style="height:20pt;width:227pt;" o:ole="t" filled="f" o:preferrelative="t" stroked="f" coordsize="21600,21600">
                  <v:path/>
                  <v:fill on="f" focussize="0,0"/>
                  <v:stroke on="f"/>
                  <v:imagedata r:id="rId183" o:title=""/>
                  <o:lock v:ext="edit" aspectratio="t"/>
                  <w10:wrap type="none"/>
                  <w10:anchorlock/>
                </v:shape>
                <o:OLEObject Type="Embed" ProgID="Equation.KSEE3" ShapeID="_x0000_i1105" DrawAspect="Content" ObjectID="_1468075805" r:id="rId182">
                  <o:LockedField>false</o:LockedField>
                </o:OLEObject>
              </w:object>
            </w:r>
          </w:p>
          <w:p>
            <w:pPr>
              <w:pStyle w:val="2"/>
              <w:keepNext w:val="0"/>
              <w:keepLines w:val="0"/>
              <w:suppressLineNumbers w:val="0"/>
              <w:spacing w:before="0" w:beforeAutospacing="0" w:after="0" w:afterAutospacing="0"/>
              <w:ind w:left="0" w:right="0" w:firstLine="560"/>
              <w:rPr>
                <w:rFonts w:hint="default" w:ascii="Times New Roman" w:hAnsi="Times New Roman" w:cs="Times New Roman"/>
                <w:color w:val="auto"/>
                <w:kern w:val="2"/>
                <w:position w:val="-12"/>
                <w:highlight w:val="none"/>
                <w:lang w:val="en-US" w:eastAsia="zh-CN"/>
              </w:rPr>
            </w:pPr>
            <w:r>
              <w:rPr>
                <w:rFonts w:hint="default" w:ascii="Times New Roman" w:hAnsi="Times New Roman" w:cs="Times New Roman"/>
                <w:color w:val="auto"/>
                <w:kern w:val="2"/>
                <w:position w:val="-12"/>
                <w:highlight w:val="none"/>
                <w:lang w:val="en-US" w:eastAsia="zh-CN"/>
              </w:rPr>
              <w:object>
                <v:shape id="_x0000_i1106" o:spt="75" type="#_x0000_t75" style="height:18pt;width:207pt;" o:ole="t" filled="f" o:preferrelative="t" stroked="f" coordsize="21600,21600">
                  <v:path/>
                  <v:fill on="f" focussize="0,0"/>
                  <v:stroke on="f"/>
                  <v:imagedata r:id="rId185" o:title=""/>
                  <o:lock v:ext="edit" aspectratio="t"/>
                  <w10:wrap type="none"/>
                  <w10:anchorlock/>
                </v:shape>
                <o:OLEObject Type="Embed" ProgID="Equation.KSEE3" ShapeID="_x0000_i1106" DrawAspect="Content" ObjectID="_1468075806" r:id="rId184">
                  <o:LockedField>false</o:LockedField>
                </o:OLEObject>
              </w:object>
            </w:r>
          </w:p>
          <w:p>
            <w:pPr>
              <w:pStyle w:val="2"/>
              <w:keepNext w:val="0"/>
              <w:keepLines w:val="0"/>
              <w:suppressLineNumbers w:val="0"/>
              <w:spacing w:before="0" w:beforeAutospacing="0" w:after="0" w:afterAutospacing="0"/>
              <w:ind w:left="0" w:right="0" w:firstLine="560"/>
              <w:rPr>
                <w:rFonts w:hint="default" w:ascii="Times New Roman" w:hAnsi="Times New Roman" w:cs="Times New Roman"/>
                <w:color w:val="auto"/>
                <w:kern w:val="2"/>
                <w:position w:val="-32"/>
                <w:highlight w:val="none"/>
                <w:lang w:val="en-US" w:eastAsia="zh-CN"/>
              </w:rPr>
            </w:pPr>
            <w:r>
              <w:rPr>
                <w:rFonts w:hint="default" w:ascii="Times New Roman" w:hAnsi="Times New Roman" w:cs="Times New Roman"/>
                <w:color w:val="auto"/>
                <w:kern w:val="2"/>
                <w:position w:val="-12"/>
                <w:highlight w:val="none"/>
                <w:lang w:val="en-US" w:eastAsia="zh-CN"/>
              </w:rPr>
              <w:object>
                <v:shape id="_x0000_i1107" o:spt="75" type="#_x0000_t75" style="height:18pt;width:168.95pt;" o:ole="t" filled="f" o:preferrelative="t" stroked="f" coordsize="21600,21600">
                  <v:path/>
                  <v:fill on="f" focussize="0,0"/>
                  <v:stroke on="f"/>
                  <v:imagedata r:id="rId187" o:title=""/>
                  <o:lock v:ext="edit" aspectratio="t"/>
                  <w10:wrap type="none"/>
                  <w10:anchorlock/>
                </v:shape>
                <o:OLEObject Type="Embed" ProgID="Equation.KSEE3" ShapeID="_x0000_i1107" DrawAspect="Content" ObjectID="_1468075807" r:id="rId186">
                  <o:LockedField>false</o:LockedField>
                </o:OLEObject>
              </w:object>
            </w:r>
          </w:p>
          <w:p>
            <w:pPr>
              <w:pStyle w:val="2"/>
              <w:keepNext w:val="0"/>
              <w:keepLines w:val="0"/>
              <w:suppressLineNumbers w:val="0"/>
              <w:spacing w:before="0" w:beforeAutospacing="0" w:after="0" w:afterAutospacing="0"/>
              <w:ind w:left="0" w:right="0" w:firstLine="560"/>
              <w:rPr>
                <w:rFonts w:hint="default" w:ascii="Times New Roman" w:hAnsi="Times New Roman" w:cs="Times New Roman"/>
                <w:color w:val="auto"/>
                <w:kern w:val="2"/>
                <w:position w:val="-32"/>
                <w:highlight w:val="none"/>
                <w:lang w:val="en-US" w:eastAsia="zh-CN"/>
              </w:rPr>
            </w:pPr>
            <w:r>
              <w:rPr>
                <w:rFonts w:hint="default" w:ascii="Times New Roman" w:hAnsi="Times New Roman" w:cs="Times New Roman"/>
                <w:color w:val="auto"/>
                <w:kern w:val="2"/>
                <w:position w:val="-10"/>
                <w:highlight w:val="none"/>
                <w:lang w:val="en-US" w:eastAsia="zh-CN"/>
              </w:rPr>
              <w:object>
                <v:shape id="_x0000_i1108" o:spt="75" type="#_x0000_t75" style="height:17pt;width:199pt;" o:ole="t" filled="f" o:preferrelative="t" stroked="f" coordsize="21600,21600">
                  <v:path/>
                  <v:fill on="f" focussize="0,0"/>
                  <v:stroke on="f"/>
                  <v:imagedata r:id="rId189" o:title=""/>
                  <o:lock v:ext="edit" aspectratio="t"/>
                  <w10:wrap type="none"/>
                  <w10:anchorlock/>
                </v:shape>
                <o:OLEObject Type="Embed" ProgID="Equation.KSEE3" ShapeID="_x0000_i1108" DrawAspect="Content" ObjectID="_1468075808" r:id="rId188">
                  <o:LockedField>false</o:LockedField>
                </o:OLEObject>
              </w:objec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注：TVL（铅）取6mm，</w:t>
            </w:r>
            <w:r>
              <w:rPr>
                <w:rFonts w:hint="default" w:ascii="Times New Roman" w:hAnsi="Times New Roman" w:cs="Times New Roman"/>
                <w:color w:val="auto"/>
                <w:kern w:val="2"/>
                <w:highlight w:val="none"/>
                <w:vertAlign w:val="baseline"/>
                <w:lang w:val="en-US" w:eastAsia="zh-CN"/>
              </w:rPr>
              <w:t>含硼5％聚乙烯得</w:t>
            </w:r>
            <w:r>
              <w:rPr>
                <w:rFonts w:hint="default" w:ascii="Times New Roman" w:hAnsi="Times New Roman" w:cs="Times New Roman"/>
                <w:color w:val="auto"/>
                <w:kern w:val="2"/>
                <w:highlight w:val="none"/>
                <w:lang w:val="en-US" w:eastAsia="zh-CN"/>
              </w:rPr>
              <w:t>TVL</w:t>
            </w:r>
            <w:r>
              <w:rPr>
                <w:rFonts w:hint="default" w:ascii="Times New Roman" w:hAnsi="Times New Roman" w:cs="Times New Roman"/>
                <w:color w:val="auto"/>
                <w:kern w:val="2"/>
                <w:highlight w:val="none"/>
                <w:vertAlign w:val="subscript"/>
                <w:lang w:val="en-US" w:eastAsia="zh-CN"/>
              </w:rPr>
              <w:t>n</w:t>
            </w:r>
            <w:r>
              <w:rPr>
                <w:rFonts w:hint="default" w:ascii="Times New Roman" w:hAnsi="Times New Roman" w:cs="Times New Roman"/>
                <w:color w:val="auto"/>
                <w:kern w:val="2"/>
                <w:highlight w:val="none"/>
                <w:vertAlign w:val="baseline"/>
                <w:lang w:val="en-US" w:eastAsia="zh-CN"/>
              </w:rPr>
              <w:t>取45mm</w:t>
            </w:r>
            <w:r>
              <w:rPr>
                <w:rFonts w:hint="default" w:ascii="Times New Roman" w:hAnsi="Times New Roman" w:cs="Times New Roman"/>
                <w:color w:val="auto"/>
                <w:kern w:val="2"/>
                <w:highlight w:val="none"/>
                <w:lang w:val="en-US" w:eastAsia="zh-CN"/>
              </w:rPr>
              <w:t>。</w:t>
            </w:r>
          </w:p>
          <w:p>
            <w:pPr>
              <w:pStyle w:val="2"/>
              <w:keepNext w:val="0"/>
              <w:keepLines w:val="0"/>
              <w:suppressLineNumbers w:val="0"/>
              <w:spacing w:before="0" w:beforeAutospacing="0" w:after="0" w:afterAutospacing="0" w:line="360" w:lineRule="auto"/>
              <w:ind w:left="0" w:right="0" w:firstLine="560"/>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由上述公式计算得出该项目2#防护门厚度为12.5mmPb+41.38mm含硼聚乙烯，设计值为15mmPb+80mm含硼聚乙烯，屏蔽防护门满足辐射防护要求。</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kern w:val="0"/>
                <w:sz w:val="28"/>
                <w:szCs w:val="28"/>
                <w:highlight w:val="none"/>
              </w:rPr>
            </w:pPr>
            <w:r>
              <w:rPr>
                <w:rFonts w:hint="default" w:ascii="Times New Roman" w:hAnsi="Times New Roman" w:cs="Times New Roman"/>
                <w:b/>
                <w:bCs w:val="0"/>
                <w:color w:val="auto"/>
                <w:kern w:val="0"/>
                <w:sz w:val="28"/>
                <w:szCs w:val="28"/>
                <w:highlight w:val="none"/>
                <w:lang w:eastAsia="zh-CN"/>
              </w:rPr>
              <w:t>（</w:t>
            </w:r>
            <w:r>
              <w:rPr>
                <w:rFonts w:hint="default" w:ascii="Times New Roman" w:hAnsi="Times New Roman" w:cs="Times New Roman"/>
                <w:b/>
                <w:bCs w:val="0"/>
                <w:color w:val="auto"/>
                <w:kern w:val="0"/>
                <w:sz w:val="28"/>
                <w:szCs w:val="28"/>
                <w:highlight w:val="none"/>
                <w:lang w:val="en-US" w:eastAsia="zh-CN"/>
              </w:rPr>
              <w:t>二</w:t>
            </w:r>
            <w:r>
              <w:rPr>
                <w:rFonts w:hint="default" w:ascii="Times New Roman" w:hAnsi="Times New Roman" w:cs="Times New Roman"/>
                <w:b/>
                <w:bCs w:val="0"/>
                <w:color w:val="auto"/>
                <w:kern w:val="0"/>
                <w:sz w:val="28"/>
                <w:szCs w:val="28"/>
                <w:highlight w:val="none"/>
                <w:lang w:eastAsia="zh-CN"/>
              </w:rPr>
              <w:t>）</w:t>
            </w:r>
            <w:r>
              <w:rPr>
                <w:rFonts w:hint="default" w:ascii="Times New Roman" w:hAnsi="Times New Roman" w:cs="Times New Roman"/>
                <w:b/>
                <w:bCs w:val="0"/>
                <w:color w:val="auto"/>
                <w:kern w:val="0"/>
                <w:sz w:val="28"/>
                <w:szCs w:val="28"/>
                <w:highlight w:val="none"/>
              </w:rPr>
              <w:t>电子的环境影响分析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MV医用直线加速器在按电子模式工作时，最大电子线能量为22MeV，根据</w:t>
            </w:r>
            <w:r>
              <w:rPr>
                <w:rFonts w:hint="default" w:ascii="Times New Roman" w:hAnsi="Times New Roman" w:cs="Times New Roman"/>
                <w:bCs/>
                <w:color w:val="auto"/>
                <w:sz w:val="24"/>
                <w:highlight w:val="none"/>
              </w:rPr>
              <w:t>《辐射防护手册》第三分册4.1.5加速器的辐射源（P</w:t>
            </w:r>
            <w:r>
              <w:rPr>
                <w:rFonts w:hint="default" w:ascii="Times New Roman" w:hAnsi="Times New Roman" w:cs="Times New Roman"/>
                <w:bCs/>
                <w:color w:val="auto"/>
                <w:sz w:val="24"/>
                <w:highlight w:val="none"/>
                <w:vertAlign w:val="subscript"/>
              </w:rPr>
              <w:t>95</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能量为E（MeV）的单能电子束，在低Z物质中的</w:t>
            </w:r>
            <w:r>
              <w:rPr>
                <w:rFonts w:hint="default" w:ascii="Times New Roman" w:hAnsi="Times New Roman" w:cs="Times New Roman"/>
                <w:bCs/>
                <w:color w:val="auto"/>
                <w:sz w:val="24"/>
                <w:highlight w:val="none"/>
              </w:rPr>
              <w:t>射程（单位为g·cm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）约为能量（单位为MeV）的0.6倍。本项目1</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MV直线加速器以电子档工作时最大电子线能量为22MeV，射程为22×0.6=13.2g/cm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可以估算出22MeV的电子在密度为2.35g·cm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的混凝土中的深度约为5.6cm，而本项目屏蔽体厚度最小的亦为1</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0cm混凝土，对</w:t>
            </w:r>
            <w:r>
              <w:rPr>
                <w:rFonts w:hint="default" w:ascii="Times New Roman" w:hAnsi="Times New Roman" w:cs="Times New Roman"/>
                <w:color w:val="auto"/>
                <w:sz w:val="24"/>
                <w:highlight w:val="none"/>
                <w:lang w:val="en-US" w:eastAsia="zh-CN"/>
              </w:rPr>
              <w:t>能完全屏蔽电子线</w:t>
            </w:r>
            <w:r>
              <w:rPr>
                <w:rFonts w:hint="default" w:ascii="Times New Roman" w:hAnsi="Times New Roman" w:cs="Times New Roman"/>
                <w:color w:val="auto"/>
                <w:sz w:val="24"/>
                <w:highlight w:val="none"/>
              </w:rPr>
              <w:t>，可不再作特殊的防护要求，可不再考虑对电子模式产生的X射线的屏蔽。</w:t>
            </w:r>
          </w:p>
          <w:p>
            <w:pPr>
              <w:keepNext w:val="0"/>
              <w:keepLines w:val="0"/>
              <w:suppressLineNumbers w:val="0"/>
              <w:spacing w:before="0" w:beforeAutospacing="0" w:after="0" w:afterAutospacing="0" w:line="520" w:lineRule="exact"/>
              <w:ind w:left="0" w:right="0"/>
              <w:outlineLvl w:val="1"/>
              <w:rPr>
                <w:rFonts w:hint="default" w:ascii="Times New Roman" w:hAnsi="Times New Roman" w:cs="Times New Roman"/>
                <w:bCs/>
                <w:color w:val="auto"/>
                <w:sz w:val="28"/>
                <w:szCs w:val="28"/>
                <w:highlight w:val="none"/>
              </w:rPr>
            </w:pPr>
            <w:r>
              <w:rPr>
                <w:rFonts w:hint="default" w:ascii="Times New Roman" w:hAnsi="Times New Roman" w:cs="Times New Roman"/>
                <w:b/>
                <w:color w:val="auto"/>
                <w:sz w:val="28"/>
                <w:szCs w:val="28"/>
                <w:highlight w:val="none"/>
                <w:lang w:eastAsia="zh-CN"/>
              </w:rPr>
              <w:t>（</w:t>
            </w:r>
            <w:r>
              <w:rPr>
                <w:rFonts w:hint="default" w:ascii="Times New Roman" w:hAnsi="Times New Roman" w:cs="Times New Roman"/>
                <w:b/>
                <w:color w:val="auto"/>
                <w:sz w:val="28"/>
                <w:szCs w:val="28"/>
                <w:highlight w:val="none"/>
                <w:lang w:val="en-US" w:eastAsia="zh-CN"/>
              </w:rPr>
              <w:t>三</w:t>
            </w:r>
            <w:r>
              <w:rPr>
                <w:rFonts w:hint="default" w:ascii="Times New Roman" w:hAnsi="Times New Roman" w:cs="Times New Roman"/>
                <w:b/>
                <w:color w:val="auto"/>
                <w:sz w:val="28"/>
                <w:szCs w:val="28"/>
                <w:highlight w:val="none"/>
                <w:lang w:eastAsia="zh-CN"/>
              </w:rPr>
              <w:t>）</w:t>
            </w:r>
            <w:r>
              <w:rPr>
                <w:rFonts w:hint="default" w:ascii="Times New Roman" w:hAnsi="Times New Roman" w:cs="Times New Roman"/>
                <w:b/>
                <w:color w:val="auto"/>
                <w:sz w:val="28"/>
                <w:szCs w:val="28"/>
                <w:highlight w:val="none"/>
              </w:rPr>
              <w:t>中子的环境影响分析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本项目</w:t>
            </w:r>
            <w:r>
              <w:rPr>
                <w:rFonts w:hint="default" w:ascii="Times New Roman" w:hAnsi="Times New Roman" w:cs="Times New Roman"/>
                <w:bCs/>
                <w:color w:val="auto"/>
                <w:sz w:val="24"/>
                <w:szCs w:val="24"/>
                <w:highlight w:val="none"/>
                <w:lang w:val="en-US" w:eastAsia="zh-CN"/>
              </w:rPr>
              <w:t>15MV</w:t>
            </w:r>
            <w:r>
              <w:rPr>
                <w:rFonts w:hint="default" w:ascii="Times New Roman" w:hAnsi="Times New Roman" w:cs="Times New Roman"/>
                <w:bCs/>
                <w:color w:val="auto"/>
                <w:sz w:val="24"/>
                <w:szCs w:val="24"/>
                <w:highlight w:val="none"/>
              </w:rPr>
              <w:t>加速器有用线束直接投照的防护墙、屋顶按初级辐射屏蔽要求设计，防护门里侧贴一层</w:t>
            </w:r>
            <w:r>
              <w:rPr>
                <w:rFonts w:hint="default" w:ascii="Times New Roman" w:hAnsi="Times New Roman" w:cs="Times New Roman"/>
                <w:b w:val="0"/>
                <w:bCs w:val="0"/>
                <w:color w:val="auto"/>
                <w:sz w:val="24"/>
                <w:szCs w:val="24"/>
                <w:highlight w:val="none"/>
                <w:lang w:val="en-US" w:eastAsia="zh-CN"/>
              </w:rPr>
              <w:t>80mm厚的</w:t>
            </w:r>
            <w:r>
              <w:rPr>
                <w:rFonts w:hint="default" w:ascii="Times New Roman" w:hAnsi="Times New Roman" w:cs="Times New Roman"/>
                <w:color w:val="auto"/>
                <w:sz w:val="24"/>
                <w:szCs w:val="24"/>
                <w:highlight w:val="none"/>
              </w:rPr>
              <w:t>硼聚乙烯</w:t>
            </w:r>
            <w:r>
              <w:rPr>
                <w:rFonts w:hint="default" w:ascii="Times New Roman" w:hAnsi="Times New Roman" w:cs="Times New Roman"/>
                <w:bCs/>
                <w:color w:val="auto"/>
                <w:sz w:val="24"/>
                <w:szCs w:val="24"/>
                <w:highlight w:val="none"/>
              </w:rPr>
              <w:t>吸收热中子。因此，本项目加速器产生的中子线对周围环境的影响很小。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sz w:val="28"/>
                <w:highlight w:val="none"/>
              </w:rPr>
            </w:pPr>
            <w:r>
              <w:rPr>
                <w:rFonts w:hint="default" w:ascii="Times New Roman" w:hAnsi="Times New Roman" w:cs="Times New Roman"/>
                <w:b/>
                <w:bCs w:val="0"/>
                <w:color w:val="auto"/>
                <w:sz w:val="28"/>
                <w:szCs w:val="28"/>
                <w:highlight w:val="none"/>
                <w:lang w:eastAsia="zh-CN"/>
              </w:rPr>
              <w:t>（</w:t>
            </w:r>
            <w:r>
              <w:rPr>
                <w:rFonts w:hint="default" w:ascii="Times New Roman" w:hAnsi="Times New Roman" w:cs="Times New Roman"/>
                <w:b/>
                <w:bCs w:val="0"/>
                <w:color w:val="auto"/>
                <w:sz w:val="28"/>
                <w:szCs w:val="28"/>
                <w:highlight w:val="none"/>
                <w:lang w:val="en-US" w:eastAsia="zh-CN"/>
              </w:rPr>
              <w:t>四</w:t>
            </w:r>
            <w:r>
              <w:rPr>
                <w:rFonts w:hint="default" w:ascii="Times New Roman" w:hAnsi="Times New Roman" w:cs="Times New Roman"/>
                <w:b/>
                <w:bCs w:val="0"/>
                <w:color w:val="auto"/>
                <w:sz w:val="28"/>
                <w:szCs w:val="28"/>
                <w:highlight w:val="none"/>
                <w:lang w:eastAsia="zh-CN"/>
              </w:rPr>
              <w:t>）</w:t>
            </w:r>
            <w:r>
              <w:rPr>
                <w:rFonts w:hint="default" w:ascii="Times New Roman" w:hAnsi="Times New Roman" w:cs="Times New Roman"/>
                <w:b/>
                <w:bCs w:val="0"/>
                <w:color w:val="auto"/>
                <w:sz w:val="28"/>
                <w:szCs w:val="28"/>
                <w:highlight w:val="none"/>
              </w:rPr>
              <w:t>感生放射性气体的环境影响分析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15MV医用直线加速器</w:t>
            </w:r>
            <w:r>
              <w:rPr>
                <w:rFonts w:hint="default" w:ascii="Times New Roman" w:hAnsi="Times New Roman" w:cs="Times New Roman"/>
                <w:color w:val="auto"/>
                <w:sz w:val="24"/>
                <w:szCs w:val="24"/>
                <w:highlight w:val="none"/>
              </w:rPr>
              <w:t>在治疗中发出的电离辐射通过空气时，除产生臭氧和氮氧化物外，当辐射的能量达到或超过产生(r</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n)反应的阀能时，空气中还会出现</w:t>
            </w:r>
            <w:r>
              <w:rPr>
                <w:rFonts w:hint="default" w:ascii="Times New Roman" w:hAnsi="Times New Roman" w:cs="Times New Roman"/>
                <w:color w:val="auto"/>
                <w:sz w:val="24"/>
                <w:szCs w:val="24"/>
                <w:highlight w:val="none"/>
                <w:vertAlign w:val="superscript"/>
              </w:rPr>
              <w:t>11</w:t>
            </w:r>
            <w:r>
              <w:rPr>
                <w:rFonts w:hint="default" w:ascii="Times New Roman" w:hAnsi="Times New Roman" w:cs="Times New Roman"/>
                <w:color w:val="auto"/>
                <w:sz w:val="24"/>
                <w:szCs w:val="24"/>
                <w:highlight w:val="none"/>
              </w:rPr>
              <w:t>C、</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O等放射性气体</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其中核反应</w:t>
            </w:r>
            <w:r>
              <w:rPr>
                <w:rFonts w:hint="default" w:ascii="Times New Roman" w:hAnsi="Times New Roman" w:cs="Times New Roman"/>
                <w:color w:val="auto"/>
                <w:sz w:val="24"/>
                <w:szCs w:val="24"/>
                <w:highlight w:val="none"/>
                <w:vertAlign w:val="superscript"/>
              </w:rPr>
              <w:t>14</w:t>
            </w:r>
            <w:r>
              <w:rPr>
                <w:rFonts w:hint="default" w:ascii="Times New Roman" w:hAnsi="Times New Roman" w:cs="Times New Roman"/>
                <w:color w:val="auto"/>
                <w:sz w:val="24"/>
                <w:szCs w:val="24"/>
                <w:highlight w:val="none"/>
              </w:rPr>
              <w:t>N(r</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n)</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N的阀能为10.6MeV，所产生核素</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N的半衰期为10min；核反应</w:t>
            </w:r>
            <w:r>
              <w:rPr>
                <w:rFonts w:hint="default" w:ascii="Times New Roman" w:hAnsi="Times New Roman" w:cs="Times New Roman"/>
                <w:color w:val="auto"/>
                <w:sz w:val="24"/>
                <w:szCs w:val="24"/>
                <w:highlight w:val="none"/>
                <w:vertAlign w:val="superscript"/>
              </w:rPr>
              <w:t>16</w:t>
            </w:r>
            <w:r>
              <w:rPr>
                <w:rFonts w:hint="default" w:ascii="Times New Roman" w:hAnsi="Times New Roman" w:cs="Times New Roman"/>
                <w:color w:val="auto"/>
                <w:sz w:val="24"/>
                <w:szCs w:val="24"/>
                <w:highlight w:val="none"/>
              </w:rPr>
              <w:t>O(r</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n)</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O的阀能为15.7MeV，产生核素</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O的半衰期为124s；核反应</w:t>
            </w:r>
            <w:r>
              <w:rPr>
                <w:rFonts w:hint="default" w:ascii="Times New Roman" w:hAnsi="Times New Roman" w:cs="Times New Roman"/>
                <w:color w:val="auto"/>
                <w:sz w:val="24"/>
                <w:szCs w:val="24"/>
                <w:highlight w:val="none"/>
                <w:vertAlign w:val="superscript"/>
              </w:rPr>
              <w:t>12</w:t>
            </w:r>
            <w:r>
              <w:rPr>
                <w:rFonts w:hint="default" w:ascii="Times New Roman" w:hAnsi="Times New Roman" w:cs="Times New Roman"/>
                <w:color w:val="auto"/>
                <w:sz w:val="24"/>
                <w:szCs w:val="24"/>
                <w:highlight w:val="none"/>
              </w:rPr>
              <w:t>C(r</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n)</w:t>
            </w:r>
            <w:r>
              <w:rPr>
                <w:rFonts w:hint="default" w:ascii="Times New Roman" w:hAnsi="Times New Roman" w:cs="Times New Roman"/>
                <w:color w:val="auto"/>
                <w:sz w:val="24"/>
                <w:szCs w:val="24"/>
                <w:highlight w:val="none"/>
                <w:vertAlign w:val="superscript"/>
              </w:rPr>
              <w:t>11</w:t>
            </w:r>
            <w:r>
              <w:rPr>
                <w:rFonts w:hint="default" w:ascii="Times New Roman" w:hAnsi="Times New Roman" w:cs="Times New Roman"/>
                <w:color w:val="auto"/>
                <w:sz w:val="24"/>
                <w:szCs w:val="24"/>
                <w:highlight w:val="none"/>
              </w:rPr>
              <w:t>C的阀能为18.7MeV，产生核素</w:t>
            </w:r>
            <w:r>
              <w:rPr>
                <w:rFonts w:hint="default" w:ascii="Times New Roman" w:hAnsi="Times New Roman" w:cs="Times New Roman"/>
                <w:color w:val="auto"/>
                <w:sz w:val="24"/>
                <w:szCs w:val="24"/>
                <w:highlight w:val="none"/>
                <w:vertAlign w:val="superscript"/>
              </w:rPr>
              <w:t>11</w:t>
            </w:r>
            <w:r>
              <w:rPr>
                <w:rFonts w:hint="default" w:ascii="Times New Roman" w:hAnsi="Times New Roman" w:cs="Times New Roman"/>
                <w:color w:val="auto"/>
                <w:sz w:val="24"/>
                <w:szCs w:val="24"/>
                <w:highlight w:val="none"/>
              </w:rPr>
              <w:t>C的半衰期为20.5min。根据医院提供的信息，本项目使用的加速器最大电子能量为</w:t>
            </w:r>
            <w:r>
              <w:rPr>
                <w:rFonts w:hint="default"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rPr>
              <w:t>MeV，</w:t>
            </w:r>
            <w:r>
              <w:rPr>
                <w:rFonts w:hint="default" w:ascii="Times New Roman" w:hAnsi="Times New Roman" w:cs="Times New Roman"/>
                <w:color w:val="auto"/>
                <w:sz w:val="24"/>
                <w:szCs w:val="24"/>
                <w:highlight w:val="none"/>
                <w:lang w:val="en-US" w:eastAsia="zh-CN"/>
              </w:rPr>
              <w:t>但15MV医用直线加速器在使用过程中超过18MeV的概率较小，</w:t>
            </w:r>
            <w:r>
              <w:rPr>
                <w:rFonts w:hint="default" w:ascii="Times New Roman" w:hAnsi="Times New Roman" w:cs="Times New Roman"/>
                <w:color w:val="auto"/>
                <w:sz w:val="24"/>
                <w:szCs w:val="24"/>
                <w:highlight w:val="none"/>
              </w:rPr>
              <w:t>故在对加速器运营时所产生的放射性气体中，只对</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O两种气体的污染与治理作预测和分析。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加速器运营中产生的</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O两种放射性气体，均为正电子(β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)核素。</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N的β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最大能量为1.190MeV，在空气中的射程为3.52m。而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O的β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最大能量为1.723MeV，在空气中的射程为5.86m。它们均能与β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发生“湮灭”反应而产生能量为0.511MeV的γ辐射。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加速器产生的</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O弥散于治疗室内，可能使职业人员的皮肤受到β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的浸没外照射；而职业人员全身还可能受由湮灭反应而产生的γ辐射的浸没外照射；至于吸入</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O后，也会对职业人员形成内照射。上述三种照射途径中，由于</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O所致内照射很弱，所致的各内照射剂量因子，在我国现行放射防护标准中未列出，相关文献也未见报导，故不对吸入</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O所致内照射剂量作预测和分析</w:t>
            </w:r>
            <w:r>
              <w:rPr>
                <w:rFonts w:hint="default" w:ascii="Times New Roman" w:hAnsi="Times New Roman" w:cs="Times New Roman"/>
                <w:color w:val="auto"/>
                <w:sz w:val="24"/>
                <w:szCs w:val="24"/>
                <w:highlight w:val="none"/>
                <w:lang w:eastAsia="zh-CN"/>
              </w:rPr>
              <w:t>；由于</w:t>
            </w:r>
            <w:r>
              <w:rPr>
                <w:rFonts w:hint="default" w:ascii="Times New Roman" w:hAnsi="Times New Roman" w:cs="Times New Roman"/>
                <w:color w:val="auto"/>
                <w:sz w:val="24"/>
                <w:szCs w:val="24"/>
                <w:highlight w:val="none"/>
              </w:rPr>
              <w:t>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lang w:eastAsia="zh-CN"/>
              </w:rPr>
              <w:t>单独存在的时间很短，为千分之毫秒级，对环境产生的影响很小，故也不对</w:t>
            </w:r>
            <w:r>
              <w:rPr>
                <w:rFonts w:hint="default" w:ascii="Times New Roman" w:hAnsi="Times New Roman" w:cs="Times New Roman"/>
                <w:color w:val="auto"/>
                <w:sz w:val="24"/>
                <w:szCs w:val="24"/>
                <w:highlight w:val="none"/>
              </w:rPr>
              <w:t>职业人员皮肤受到β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的浸没外照射</w:t>
            </w:r>
            <w:r>
              <w:rPr>
                <w:rFonts w:hint="default" w:ascii="Times New Roman" w:hAnsi="Times New Roman" w:cs="Times New Roman"/>
                <w:color w:val="auto"/>
                <w:sz w:val="24"/>
                <w:szCs w:val="24"/>
                <w:highlight w:val="none"/>
                <w:lang w:eastAsia="zh-CN"/>
              </w:rPr>
              <w:t>进行预测和分析，因此本报告表只对</w:t>
            </w:r>
            <w:r>
              <w:rPr>
                <w:rFonts w:hint="default" w:ascii="Times New Roman" w:hAnsi="Times New Roman" w:cs="Times New Roman"/>
                <w:color w:val="auto"/>
                <w:sz w:val="24"/>
                <w:szCs w:val="24"/>
                <w:highlight w:val="none"/>
              </w:rPr>
              <w:t>湮灭反应而产生的γ辐射浸没外照射</w:t>
            </w:r>
            <w:r>
              <w:rPr>
                <w:rFonts w:hint="default" w:ascii="Times New Roman" w:hAnsi="Times New Roman" w:cs="Times New Roman"/>
                <w:color w:val="auto"/>
                <w:sz w:val="24"/>
                <w:szCs w:val="24"/>
                <w:highlight w:val="none"/>
                <w:lang w:eastAsia="zh-CN"/>
              </w:rPr>
              <w:t>进行预测和分析。</w:t>
            </w:r>
          </w:p>
          <w:p>
            <w:pPr>
              <w:pStyle w:val="2"/>
              <w:keepNext w:val="0"/>
              <w:keepLines w:val="0"/>
              <w:suppressLineNumbers w:val="0"/>
              <w:spacing w:before="0" w:beforeAutospacing="0" w:after="0" w:afterAutospacing="0" w:line="360" w:lineRule="auto"/>
              <w:ind w:left="0" w:right="0"/>
              <w:rPr>
                <w:rFonts w:hint="default" w:ascii="Times New Roman" w:hAnsi="Times New Roman" w:eastAsia="黑体" w:cs="Times New Roman"/>
                <w:color w:val="auto"/>
                <w:kern w:val="2"/>
                <w:highlight w:val="none"/>
                <w:lang w:val="en-US"/>
              </w:rPr>
            </w:pPr>
            <w:r>
              <w:rPr>
                <w:rFonts w:hint="default" w:ascii="Times New Roman" w:hAnsi="Times New Roman" w:cs="Times New Roman"/>
                <w:color w:val="auto"/>
                <w:kern w:val="2"/>
                <w:sz w:val="24"/>
                <w:szCs w:val="24"/>
                <w:highlight w:val="none"/>
                <w:lang w:val="en-US" w:eastAsia="zh-CN"/>
              </w:rPr>
              <w:t xml:space="preserve">  </w:t>
            </w:r>
            <w:r>
              <w:rPr>
                <w:rFonts w:hint="default" w:ascii="Times New Roman" w:hAnsi="Times New Roman" w:eastAsia="黑体" w:cs="Times New Roman"/>
                <w:color w:val="auto"/>
                <w:kern w:val="2"/>
                <w:sz w:val="24"/>
                <w:szCs w:val="24"/>
                <w:highlight w:val="none"/>
                <w:lang w:val="en-US" w:eastAsia="zh-CN"/>
              </w:rPr>
              <w:t xml:space="preserve">  1、感生放射性对治疗室内职业人员的影响</w:t>
            </w:r>
          </w:p>
          <w:p>
            <w:pPr>
              <w:keepNext w:val="0"/>
              <w:keepLines w:val="0"/>
              <w:suppressLineNumbers w:val="0"/>
              <w:spacing w:before="0" w:beforeAutospacing="0" w:after="0" w:afterAutospacing="0" w:line="360" w:lineRule="auto"/>
              <w:ind w:left="0" w:right="0" w:firstLine="573"/>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O的β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湮灭反应产生的γ辐射所致辐射效应属于随机性效应，</w:t>
            </w:r>
            <w:r>
              <w:rPr>
                <w:rFonts w:hint="default" w:ascii="Times New Roman" w:hAnsi="Times New Roman" w:cs="Times New Roman"/>
                <w:color w:val="auto"/>
                <w:sz w:val="24"/>
                <w:szCs w:val="24"/>
                <w:highlight w:val="none"/>
                <w:lang w:val="en-US" w:eastAsia="zh-CN"/>
              </w:rPr>
              <w:t>其剂量约束值取5mSv/a。</w:t>
            </w:r>
            <w:r>
              <w:rPr>
                <w:rFonts w:hint="default" w:ascii="Times New Roman" w:hAnsi="Times New Roman" w:cs="Times New Roman"/>
                <w:color w:val="auto"/>
                <w:sz w:val="24"/>
                <w:szCs w:val="24"/>
                <w:highlight w:val="none"/>
              </w:rPr>
              <w:t>弥散于治疗室内的放射性气体所形成的浸没照射，</w:t>
            </w:r>
            <w:r>
              <w:rPr>
                <w:rFonts w:hint="default" w:ascii="Times New Roman" w:hAnsi="Times New Roman" w:cs="Times New Roman"/>
                <w:color w:val="auto"/>
                <w:sz w:val="24"/>
                <w:szCs w:val="24"/>
                <w:highlight w:val="none"/>
                <w:lang w:val="en-US" w:eastAsia="zh-CN"/>
              </w:rPr>
              <w:t>主要对治疗室内摆位的医生产生影响</w:t>
            </w:r>
            <w:r>
              <w:rPr>
                <w:rFonts w:hint="default" w:ascii="Times New Roman" w:hAnsi="Times New Roman" w:cs="Times New Roman"/>
                <w:color w:val="auto"/>
                <w:sz w:val="24"/>
                <w:szCs w:val="24"/>
                <w:highlight w:val="none"/>
              </w:rPr>
              <w:t>。</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加速器电子束流为0.1mA，加速器运行时间取3min，加速器治疗室通风量为</w:t>
            </w:r>
            <w:r>
              <w:rPr>
                <w:rFonts w:hint="eastAsia" w:ascii="Times New Roman" w:hAnsi="Times New Roman" w:cs="Times New Roman"/>
                <w:color w:val="auto"/>
                <w:kern w:val="2"/>
                <w:sz w:val="24"/>
                <w:szCs w:val="24"/>
                <w:highlight w:val="none"/>
                <w:lang w:val="en-US" w:eastAsia="zh-CN"/>
              </w:rPr>
              <w:t>4286.4</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/h，每次开机后，5min再进行下一次治疗。因为产生的X射线是</w:t>
            </w:r>
            <w:r>
              <w:rPr>
                <w:rFonts w:hint="eastAsia"/>
                <w:color w:val="auto"/>
                <w:kern w:val="2"/>
                <w:highlight w:val="none"/>
              </w:rPr>
              <w:t>轫致辐射</w:t>
            </w:r>
            <w:r>
              <w:rPr>
                <w:rFonts w:hint="default" w:ascii="Times New Roman" w:hAnsi="Times New Roman" w:cs="Times New Roman"/>
                <w:color w:val="auto"/>
                <w:kern w:val="2"/>
                <w:sz w:val="24"/>
                <w:szCs w:val="24"/>
                <w:highlight w:val="none"/>
                <w:lang w:val="en-US" w:eastAsia="zh-CN"/>
              </w:rPr>
              <w:t>，其能谱是连续的，一般情况下，15MV加速器等能量份额取10%。</w:t>
            </w:r>
            <w:r>
              <w:rPr>
                <w:rFonts w:hint="default" w:ascii="Times New Roman" w:hAnsi="Times New Roman" w:cs="Times New Roman"/>
                <w:color w:val="auto"/>
                <w:kern w:val="2"/>
                <w:sz w:val="24"/>
                <w:szCs w:val="24"/>
                <w:highlight w:val="none"/>
                <w:vertAlign w:val="superscript"/>
              </w:rPr>
              <w:t>13</w:t>
            </w:r>
            <w:r>
              <w:rPr>
                <w:rFonts w:hint="default" w:ascii="Times New Roman" w:hAnsi="Times New Roman" w:cs="Times New Roman"/>
                <w:color w:val="auto"/>
                <w:kern w:val="2"/>
                <w:sz w:val="24"/>
                <w:szCs w:val="24"/>
                <w:highlight w:val="none"/>
              </w:rPr>
              <w:t>N</w:t>
            </w:r>
            <w:r>
              <w:rPr>
                <w:rFonts w:hint="default" w:ascii="Times New Roman" w:hAnsi="Times New Roman" w:cs="Times New Roman"/>
                <w:color w:val="auto"/>
                <w:kern w:val="2"/>
                <w:sz w:val="24"/>
                <w:szCs w:val="24"/>
                <w:highlight w:val="none"/>
                <w:lang w:val="en-US" w:eastAsia="zh-CN"/>
              </w:rPr>
              <w:t>的感生放射性生成率为4.1</w:t>
            </w:r>
            <w:r>
              <w:rPr>
                <w:rFonts w:hint="default" w:ascii="Times New Roman" w:hAnsi="Times New Roman" w:cs="Times New Roman"/>
                <w:color w:val="auto"/>
                <w:kern w:val="2"/>
                <w:position w:val="-6"/>
                <w:sz w:val="24"/>
                <w:szCs w:val="24"/>
                <w:highlight w:val="none"/>
                <w:lang w:val="en-US" w:eastAsia="zh-CN"/>
              </w:rPr>
              <w:object>
                <v:shape id="_x0000_i1109" o:spt="75" type="#_x0000_t75" style="height:13.95pt;width:94pt;" o:ole="t" filled="f" o:preferrelative="t" stroked="f" coordsize="21600,21600">
                  <v:path/>
                  <v:fill on="f" focussize="0,0"/>
                  <v:stroke on="f"/>
                  <v:imagedata r:id="rId191" o:title=""/>
                  <o:lock v:ext="edit" aspectratio="t"/>
                  <w10:wrap type="none"/>
                  <w10:anchorlock/>
                </v:shape>
                <o:OLEObject Type="Embed" ProgID="Equation.KSEE3" ShapeID="_x0000_i1109" DrawAspect="Content" ObjectID="_1468075809" r:id="rId190">
                  <o:LockedField>false</o:LockedField>
                </o:OLEObject>
              </w:objec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vertAlign w:val="superscript"/>
              </w:rPr>
              <w:t>15</w:t>
            </w:r>
            <w:r>
              <w:rPr>
                <w:rFonts w:hint="default" w:ascii="Times New Roman" w:hAnsi="Times New Roman" w:cs="Times New Roman"/>
                <w:color w:val="auto"/>
                <w:kern w:val="2"/>
                <w:sz w:val="24"/>
                <w:szCs w:val="24"/>
                <w:highlight w:val="none"/>
              </w:rPr>
              <w:t>O</w:t>
            </w:r>
            <w:r>
              <w:rPr>
                <w:rFonts w:hint="default" w:ascii="Times New Roman" w:hAnsi="Times New Roman" w:cs="Times New Roman"/>
                <w:color w:val="auto"/>
                <w:kern w:val="2"/>
                <w:sz w:val="24"/>
                <w:szCs w:val="24"/>
                <w:highlight w:val="none"/>
                <w:lang w:val="en-US" w:eastAsia="zh-CN"/>
              </w:rPr>
              <w:t>的感生放射性生成率为5.16</w:t>
            </w:r>
            <w:r>
              <w:rPr>
                <w:rFonts w:hint="default" w:ascii="Times New Roman" w:hAnsi="Times New Roman" w:cs="Times New Roman"/>
                <w:color w:val="auto"/>
                <w:kern w:val="2"/>
                <w:position w:val="-6"/>
                <w:sz w:val="24"/>
                <w:szCs w:val="24"/>
                <w:highlight w:val="none"/>
                <w:lang w:val="en-US" w:eastAsia="zh-CN"/>
              </w:rPr>
              <w:object>
                <v:shape id="_x0000_i1110" o:spt="75" type="#_x0000_t75" style="height:13.95pt;width:94pt;" o:ole="t" filled="f" o:preferrelative="t" stroked="f" coordsize="21600,21600">
                  <v:path/>
                  <v:fill on="f" focussize="0,0"/>
                  <v:stroke on="f"/>
                  <v:imagedata r:id="rId191" o:title=""/>
                  <o:lock v:ext="edit" aspectratio="t"/>
                  <w10:wrap type="none"/>
                  <w10:anchorlock/>
                </v:shape>
                <o:OLEObject Type="Embed" ProgID="Equation.KSEE3" ShapeID="_x0000_i1110" DrawAspect="Content" ObjectID="_1468075810" r:id="rId192">
                  <o:LockedField>false</o:LockedField>
                </o:OLEObject>
              </w:object>
            </w:r>
            <w:r>
              <w:rPr>
                <w:rFonts w:hint="default" w:ascii="Times New Roman" w:hAnsi="Times New Roman" w:cs="Times New Roman"/>
                <w:color w:val="auto"/>
                <w:kern w:val="2"/>
                <w:sz w:val="24"/>
                <w:szCs w:val="24"/>
                <w:highlight w:val="none"/>
                <w:lang w:val="en-US" w:eastAsia="zh-CN"/>
              </w:rPr>
              <w:t>，则医用直线加速器运行3min时</w:t>
            </w:r>
            <w:r>
              <w:rPr>
                <w:rFonts w:hint="default" w:ascii="Times New Roman" w:hAnsi="Times New Roman" w:cs="Times New Roman"/>
                <w:color w:val="auto"/>
                <w:kern w:val="2"/>
                <w:sz w:val="24"/>
                <w:szCs w:val="24"/>
                <w:highlight w:val="none"/>
                <w:vertAlign w:val="superscript"/>
              </w:rPr>
              <w:t>13</w:t>
            </w:r>
            <w:r>
              <w:rPr>
                <w:rFonts w:hint="default" w:ascii="Times New Roman" w:hAnsi="Times New Roman" w:cs="Times New Roman"/>
                <w:color w:val="auto"/>
                <w:kern w:val="2"/>
                <w:sz w:val="24"/>
                <w:szCs w:val="24"/>
                <w:highlight w:val="none"/>
              </w:rPr>
              <w:t>N和</w:t>
            </w:r>
            <w:r>
              <w:rPr>
                <w:rFonts w:hint="default" w:ascii="Times New Roman" w:hAnsi="Times New Roman" w:cs="Times New Roman"/>
                <w:color w:val="auto"/>
                <w:kern w:val="2"/>
                <w:sz w:val="24"/>
                <w:szCs w:val="24"/>
                <w:highlight w:val="none"/>
                <w:vertAlign w:val="superscript"/>
              </w:rPr>
              <w:t>15</w:t>
            </w:r>
            <w:r>
              <w:rPr>
                <w:rFonts w:hint="default" w:ascii="Times New Roman" w:hAnsi="Times New Roman" w:cs="Times New Roman"/>
                <w:color w:val="auto"/>
                <w:kern w:val="2"/>
                <w:sz w:val="24"/>
                <w:szCs w:val="24"/>
                <w:highlight w:val="none"/>
              </w:rPr>
              <w:t>O</w:t>
            </w:r>
            <w:r>
              <w:rPr>
                <w:rFonts w:hint="default" w:ascii="Times New Roman" w:hAnsi="Times New Roman" w:cs="Times New Roman"/>
                <w:color w:val="auto"/>
                <w:kern w:val="2"/>
                <w:sz w:val="24"/>
                <w:szCs w:val="24"/>
                <w:highlight w:val="none"/>
                <w:lang w:val="en-US" w:eastAsia="zh-CN"/>
              </w:rPr>
              <w:t>的产生量为：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10"/>
                <w:sz w:val="24"/>
                <w:szCs w:val="24"/>
                <w:highlight w:val="none"/>
              </w:rPr>
              <w:object>
                <v:shape id="_x0000_i1111" o:spt="75" type="#_x0000_t75" style="height:18pt;width:300pt;" o:ole="t" filled="f" o:preferrelative="t" stroked="f" coordsize="21600,21600">
                  <v:path/>
                  <v:fill on="f" focussize="0,0"/>
                  <v:stroke on="f"/>
                  <v:imagedata r:id="rId194" o:title=""/>
                  <o:lock v:ext="edit" aspectratio="t"/>
                  <w10:wrap type="none"/>
                  <w10:anchorlock/>
                </v:shape>
                <o:OLEObject Type="Embed" ProgID="Equation.KSEE3" ShapeID="_x0000_i1111" DrawAspect="Content" ObjectID="_1468075811" r:id="rId193">
                  <o:LockedField>false</o:LockedField>
                </o:OLEObject>
              </w:objec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10"/>
                <w:sz w:val="24"/>
                <w:szCs w:val="24"/>
                <w:highlight w:val="none"/>
              </w:rPr>
              <w:object>
                <v:shape id="_x0000_i1112" o:spt="75" type="#_x0000_t75" style="height:18pt;width:306pt;" o:ole="t" filled="f" o:preferrelative="t" stroked="f" coordsize="21600,21600">
                  <v:path/>
                  <v:fill on="f" focussize="0,0"/>
                  <v:stroke on="f"/>
                  <v:imagedata r:id="rId196" o:title=""/>
                  <o:lock v:ext="edit" aspectratio="t"/>
                  <w10:wrap type="none"/>
                  <w10:anchorlock/>
                </v:shape>
                <o:OLEObject Type="Embed" ProgID="Equation.KSEE3" ShapeID="_x0000_i1112" DrawAspect="Content" ObjectID="_1468075812" r:id="rId195">
                  <o:LockedField>false</o:LockedField>
                </o:OLEObject>
              </w:objec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经过5min后，工作人员进入治疗室对病人进行摆位，2#加速器治疗室内通风量</w:t>
            </w:r>
            <w:r>
              <w:rPr>
                <w:rFonts w:hint="eastAsia" w:ascii="Times New Roman" w:hAnsi="Times New Roman" w:cs="Times New Roman"/>
                <w:color w:val="auto"/>
                <w:kern w:val="2"/>
                <w:sz w:val="24"/>
                <w:szCs w:val="24"/>
                <w:highlight w:val="none"/>
                <w:lang w:val="en-US" w:eastAsia="zh-CN"/>
              </w:rPr>
              <w:t>4286.4</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/h，则5min时通风量为208.3m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。经过5min的衰减后，</w:t>
            </w:r>
            <w:r>
              <w:rPr>
                <w:rFonts w:hint="default" w:ascii="Times New Roman" w:hAnsi="Times New Roman" w:cs="Times New Roman"/>
                <w:color w:val="auto"/>
                <w:kern w:val="2"/>
                <w:sz w:val="24"/>
                <w:szCs w:val="24"/>
                <w:highlight w:val="none"/>
                <w:vertAlign w:val="superscript"/>
              </w:rPr>
              <w:t>13</w:t>
            </w:r>
            <w:r>
              <w:rPr>
                <w:rFonts w:hint="default" w:ascii="Times New Roman" w:hAnsi="Times New Roman" w:cs="Times New Roman"/>
                <w:color w:val="auto"/>
                <w:kern w:val="2"/>
                <w:sz w:val="24"/>
                <w:szCs w:val="24"/>
                <w:highlight w:val="none"/>
              </w:rPr>
              <w:t>N</w:t>
            </w:r>
            <w:r>
              <w:rPr>
                <w:rFonts w:hint="default" w:ascii="Times New Roman" w:hAnsi="Times New Roman" w:cs="Times New Roman"/>
                <w:color w:val="auto"/>
                <w:kern w:val="2"/>
                <w:sz w:val="24"/>
                <w:szCs w:val="24"/>
                <w:highlight w:val="none"/>
                <w:lang w:val="en-US" w:eastAsia="zh-CN"/>
              </w:rPr>
              <w:t>为</w:t>
            </w:r>
            <w:r>
              <w:rPr>
                <w:rFonts w:hint="default" w:ascii="Times New Roman" w:hAnsi="Times New Roman" w:cs="Times New Roman"/>
                <w:color w:val="auto"/>
                <w:kern w:val="2"/>
                <w:position w:val="-10"/>
                <w:sz w:val="24"/>
                <w:szCs w:val="24"/>
                <w:highlight w:val="none"/>
                <w:lang w:val="en-US" w:eastAsia="zh-CN"/>
              </w:rPr>
              <w:object>
                <v:shape id="_x0000_i1113" o:spt="75" type="#_x0000_t75" style="height:18pt;width:70pt;" o:ole="t" filled="f" o:preferrelative="t" stroked="f" coordsize="21600,21600">
                  <v:path/>
                  <v:fill on="f" focussize="0,0"/>
                  <v:stroke on="f"/>
                  <v:imagedata r:id="rId198" o:title=""/>
                  <o:lock v:ext="edit" aspectratio="t"/>
                  <w10:wrap type="none"/>
                  <w10:anchorlock/>
                </v:shape>
                <o:OLEObject Type="Embed" ProgID="Equation.KSEE3" ShapeID="_x0000_i1113" DrawAspect="Content" ObjectID="_1468075813" r:id="rId197">
                  <o:LockedField>false</o:LockedField>
                </o:OLEObject>
              </w:objec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vertAlign w:val="superscript"/>
              </w:rPr>
              <w:t>15</w:t>
            </w:r>
            <w:r>
              <w:rPr>
                <w:rFonts w:hint="default" w:ascii="Times New Roman" w:hAnsi="Times New Roman" w:cs="Times New Roman"/>
                <w:color w:val="auto"/>
                <w:kern w:val="2"/>
                <w:sz w:val="24"/>
                <w:szCs w:val="24"/>
                <w:highlight w:val="none"/>
              </w:rPr>
              <w:t>O</w:t>
            </w:r>
            <w:r>
              <w:rPr>
                <w:rFonts w:hint="default" w:ascii="Times New Roman" w:hAnsi="Times New Roman" w:cs="Times New Roman"/>
                <w:color w:val="auto"/>
                <w:kern w:val="2"/>
                <w:sz w:val="24"/>
                <w:szCs w:val="24"/>
                <w:highlight w:val="none"/>
                <w:lang w:val="en-US" w:eastAsia="zh-CN"/>
              </w:rPr>
              <w:t>为</w:t>
            </w:r>
            <w:r>
              <w:rPr>
                <w:rFonts w:hint="default" w:ascii="Times New Roman" w:hAnsi="Times New Roman" w:cs="Times New Roman"/>
                <w:color w:val="auto"/>
                <w:kern w:val="2"/>
                <w:position w:val="-10"/>
                <w:sz w:val="24"/>
                <w:szCs w:val="24"/>
                <w:highlight w:val="none"/>
                <w:lang w:val="en-US" w:eastAsia="zh-CN"/>
              </w:rPr>
              <w:object>
                <v:shape id="_x0000_i1114" o:spt="75" type="#_x0000_t75" style="height:18pt;width:64pt;" o:ole="t" filled="f" o:preferrelative="t" stroked="f" coordsize="21600,21600">
                  <v:path/>
                  <v:fill on="f" focussize="0,0"/>
                  <v:stroke on="f"/>
                  <v:imagedata r:id="rId200" o:title=""/>
                  <o:lock v:ext="edit" aspectratio="t"/>
                  <w10:wrap type="none"/>
                  <w10:anchorlock/>
                </v:shape>
                <o:OLEObject Type="Embed" ProgID="Equation.KSEE3" ShapeID="_x0000_i1114" DrawAspect="Content" ObjectID="_1468075814" r:id="rId199">
                  <o:LockedField>false</o:LockedField>
                </o:OLEObject>
              </w:object>
            </w:r>
            <w:r>
              <w:rPr>
                <w:rFonts w:hint="default" w:ascii="Times New Roman" w:hAnsi="Times New Roman" w:cs="Times New Roman"/>
                <w:color w:val="auto"/>
                <w:kern w:val="2"/>
                <w:sz w:val="24"/>
                <w:szCs w:val="24"/>
                <w:highlight w:val="none"/>
                <w:lang w:val="en-US" w:eastAsia="zh-CN"/>
              </w:rPr>
              <w:t>，此时治疗室内</w:t>
            </w:r>
            <w:r>
              <w:rPr>
                <w:rFonts w:hint="default" w:ascii="Times New Roman" w:hAnsi="Times New Roman" w:cs="Times New Roman"/>
                <w:color w:val="auto"/>
                <w:kern w:val="2"/>
                <w:sz w:val="24"/>
                <w:szCs w:val="24"/>
                <w:highlight w:val="none"/>
                <w:vertAlign w:val="superscript"/>
              </w:rPr>
              <w:t>13</w:t>
            </w:r>
            <w:r>
              <w:rPr>
                <w:rFonts w:hint="default" w:ascii="Times New Roman" w:hAnsi="Times New Roman" w:cs="Times New Roman"/>
                <w:color w:val="auto"/>
                <w:kern w:val="2"/>
                <w:sz w:val="24"/>
                <w:szCs w:val="24"/>
                <w:highlight w:val="none"/>
              </w:rPr>
              <w:t>N</w:t>
            </w:r>
            <w:r>
              <w:rPr>
                <w:rFonts w:hint="default" w:ascii="Times New Roman" w:hAnsi="Times New Roman" w:cs="Times New Roman"/>
                <w:color w:val="auto"/>
                <w:kern w:val="2"/>
                <w:sz w:val="24"/>
                <w:szCs w:val="24"/>
                <w:highlight w:val="none"/>
                <w:lang w:val="en-US" w:eastAsia="zh-CN"/>
              </w:rPr>
              <w:t>的浓度为</w:t>
            </w:r>
            <w:r>
              <w:rPr>
                <w:rFonts w:hint="default" w:ascii="Times New Roman" w:hAnsi="Times New Roman" w:cs="Times New Roman"/>
                <w:color w:val="auto"/>
                <w:kern w:val="2"/>
                <w:position w:val="-10"/>
                <w:sz w:val="24"/>
                <w:szCs w:val="24"/>
                <w:highlight w:val="none"/>
                <w:lang w:val="en-US" w:eastAsia="zh-CN"/>
              </w:rPr>
              <w:object>
                <v:shape id="_x0000_i1115" o:spt="75" type="#_x0000_t75" style="height:18pt;width:78.95pt;" o:ole="t" filled="f" o:preferrelative="t" stroked="f" coordsize="21600,21600">
                  <v:path/>
                  <v:fill on="f" focussize="0,0"/>
                  <v:stroke on="f"/>
                  <v:imagedata r:id="rId202" o:title=""/>
                  <o:lock v:ext="edit" aspectratio="t"/>
                  <w10:wrap type="none"/>
                  <w10:anchorlock/>
                </v:shape>
                <o:OLEObject Type="Embed" ProgID="Equation.KSEE3" ShapeID="_x0000_i1115" DrawAspect="Content" ObjectID="_1468075815" r:id="rId201">
                  <o:LockedField>false</o:LockedField>
                </o:OLEObject>
              </w:objec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vertAlign w:val="superscript"/>
              </w:rPr>
              <w:t>15</w:t>
            </w:r>
            <w:r>
              <w:rPr>
                <w:rFonts w:hint="default" w:ascii="Times New Roman" w:hAnsi="Times New Roman" w:cs="Times New Roman"/>
                <w:color w:val="auto"/>
                <w:kern w:val="2"/>
                <w:sz w:val="24"/>
                <w:szCs w:val="24"/>
                <w:highlight w:val="none"/>
              </w:rPr>
              <w:t>O</w:t>
            </w:r>
            <w:r>
              <w:rPr>
                <w:rFonts w:hint="default" w:ascii="Times New Roman" w:hAnsi="Times New Roman" w:cs="Times New Roman"/>
                <w:color w:val="auto"/>
                <w:kern w:val="2"/>
                <w:sz w:val="24"/>
                <w:szCs w:val="24"/>
                <w:highlight w:val="none"/>
                <w:lang w:val="en-US" w:eastAsia="zh-CN"/>
              </w:rPr>
              <w:t>的浓度为</w:t>
            </w:r>
            <w:r>
              <w:rPr>
                <w:rFonts w:hint="default" w:ascii="Times New Roman" w:hAnsi="Times New Roman" w:cs="Times New Roman"/>
                <w:color w:val="auto"/>
                <w:kern w:val="2"/>
                <w:position w:val="-10"/>
                <w:sz w:val="24"/>
                <w:szCs w:val="24"/>
                <w:highlight w:val="none"/>
                <w:lang w:val="en-US" w:eastAsia="zh-CN"/>
              </w:rPr>
              <w:object>
                <v:shape id="_x0000_i1116" o:spt="75" type="#_x0000_t75" style="height:18pt;width:78.95pt;" o:ole="t" filled="f" o:preferrelative="t" stroked="f" coordsize="21600,21600">
                  <v:path/>
                  <v:fill on="f" focussize="0,0"/>
                  <v:stroke on="f"/>
                  <v:imagedata r:id="rId204" o:title=""/>
                  <o:lock v:ext="edit" aspectratio="t"/>
                  <w10:wrap type="none"/>
                  <w10:anchorlock/>
                </v:shape>
                <o:OLEObject Type="Embed" ProgID="Equation.KSEE3" ShapeID="_x0000_i1116" DrawAspect="Content" ObjectID="_1468075816" r:id="rId203">
                  <o:LockedField>false</o:LockedField>
                </o:OLEObject>
              </w:object>
            </w:r>
            <w:r>
              <w:rPr>
                <w:rFonts w:hint="default" w:ascii="Times New Roman" w:hAnsi="Times New Roman" w:cs="Times New Roman"/>
                <w:color w:val="auto"/>
                <w:kern w:val="2"/>
                <w:sz w:val="24"/>
                <w:szCs w:val="24"/>
                <w:highlight w:val="none"/>
                <w:lang w:val="en-US" w:eastAsia="zh-CN"/>
              </w:rPr>
              <w:t xml:space="preserve">。工作人员摆位时，在治疗室内停留2min受到的照射剂量为：      </w:t>
            </w:r>
            <w:r>
              <w:rPr>
                <w:rFonts w:hint="default" w:ascii="Times New Roman" w:hAnsi="Times New Roman" w:cs="Times New Roman"/>
                <w:color w:val="auto"/>
                <w:kern w:val="2"/>
                <w:sz w:val="24"/>
                <w:szCs w:val="24"/>
                <w:highlight w:val="none"/>
                <w:vertAlign w:val="superscript"/>
              </w:rPr>
              <w:t>13</w:t>
            </w:r>
            <w:r>
              <w:rPr>
                <w:rFonts w:hint="default" w:ascii="Times New Roman" w:hAnsi="Times New Roman" w:cs="Times New Roman"/>
                <w:color w:val="auto"/>
                <w:kern w:val="2"/>
                <w:sz w:val="24"/>
                <w:szCs w:val="24"/>
                <w:highlight w:val="none"/>
              </w:rPr>
              <w:t>N</w: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position w:val="-10"/>
                <w:sz w:val="24"/>
                <w:szCs w:val="24"/>
                <w:highlight w:val="none"/>
                <w:lang w:val="en-US" w:eastAsia="zh-CN"/>
              </w:rPr>
              <w:object>
                <v:shape id="_x0000_i1117" o:spt="75" type="#_x0000_t75" style="height:18pt;width:353pt;" o:ole="t" filled="f" o:preferrelative="t" stroked="f" coordsize="21600,21600">
                  <v:path/>
                  <v:fill on="f" focussize="0,0"/>
                  <v:stroke on="f"/>
                  <v:imagedata r:id="rId206" o:title=""/>
                  <o:lock v:ext="edit" aspectratio="t"/>
                  <w10:wrap type="none"/>
                  <w10:anchorlock/>
                </v:shape>
                <o:OLEObject Type="Embed" ProgID="Equation.KSEE3" ShapeID="_x0000_i1117" DrawAspect="Content" ObjectID="_1468075817" r:id="rId205">
                  <o:LockedField>false</o:LockedField>
                </o:OLEObject>
              </w:object>
            </w:r>
            <w:r>
              <w:rPr>
                <w:rFonts w:hint="default" w:ascii="Times New Roman" w:hAnsi="Times New Roman" w:cs="Times New Roman"/>
                <w:color w:val="auto"/>
                <w:kern w:val="2"/>
                <w:sz w:val="24"/>
                <w:szCs w:val="24"/>
                <w:highlight w:val="none"/>
                <w:lang w:val="en-US" w:eastAsia="zh-CN"/>
              </w:rPr>
              <w:t>，每年摆位15000次，15MV医用直线加速器由3名技师轮流进行摆位，则每名技师所受的年剂量为2.915×10</w:t>
            </w:r>
            <w:r>
              <w:rPr>
                <w:rFonts w:hint="default" w:ascii="Times New Roman" w:hAnsi="Times New Roman" w:cs="Times New Roman"/>
                <w:color w:val="auto"/>
                <w:kern w:val="2"/>
                <w:sz w:val="24"/>
                <w:szCs w:val="24"/>
                <w:highlight w:val="none"/>
                <w:vertAlign w:val="superscript"/>
                <w:lang w:val="en-US" w:eastAsia="zh-CN"/>
              </w:rPr>
              <w:t>-4</w:t>
            </w:r>
            <w:r>
              <w:rPr>
                <w:rFonts w:hint="default" w:ascii="Times New Roman" w:hAnsi="Times New Roman" w:cs="Times New Roman"/>
                <w:color w:val="auto"/>
                <w:kern w:val="2"/>
                <w:sz w:val="24"/>
                <w:szCs w:val="24"/>
                <w:highlight w:val="none"/>
                <w:lang w:val="en-US" w:eastAsia="zh-CN"/>
              </w:rPr>
              <w:t>mSv/a；</w:t>
            </w:r>
            <w:r>
              <w:rPr>
                <w:rFonts w:hint="default" w:ascii="Times New Roman" w:hAnsi="Times New Roman" w:cs="Times New Roman"/>
                <w:color w:val="auto"/>
                <w:kern w:val="2"/>
                <w:sz w:val="24"/>
                <w:szCs w:val="24"/>
                <w:highlight w:val="none"/>
                <w:vertAlign w:val="superscript"/>
              </w:rPr>
              <w:t>15</w:t>
            </w:r>
            <w:r>
              <w:rPr>
                <w:rFonts w:hint="default" w:ascii="Times New Roman" w:hAnsi="Times New Roman" w:cs="Times New Roman"/>
                <w:color w:val="auto"/>
                <w:kern w:val="2"/>
                <w:sz w:val="24"/>
                <w:szCs w:val="24"/>
                <w:highlight w:val="none"/>
              </w:rPr>
              <w:t>O</w: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position w:val="-10"/>
                <w:sz w:val="24"/>
                <w:szCs w:val="24"/>
                <w:highlight w:val="none"/>
                <w:lang w:val="en-US" w:eastAsia="zh-CN"/>
              </w:rPr>
              <w:object>
                <v:shape id="_x0000_i1118" o:spt="75" type="#_x0000_t75" style="height:18pt;width:314.45pt;" o:ole="t" filled="f" o:preferrelative="t" stroked="f" coordsize="21600,21600">
                  <v:path/>
                  <v:fill on="f" focussize="0,0"/>
                  <v:stroke on="f"/>
                  <v:imagedata r:id="rId208" o:title=""/>
                  <o:lock v:ext="edit" aspectratio="t"/>
                  <w10:wrap type="none"/>
                  <w10:anchorlock/>
                </v:shape>
                <o:OLEObject Type="Embed" ProgID="Equation.KSEE3" ShapeID="_x0000_i1118" DrawAspect="Content" ObjectID="_1468075818" r:id="rId207">
                  <o:LockedField>false</o:LockedField>
                </o:OLEObject>
              </w:object>
            </w:r>
            <w:r>
              <w:rPr>
                <w:rFonts w:hint="default" w:ascii="Times New Roman" w:hAnsi="Times New Roman" w:cs="Times New Roman"/>
                <w:color w:val="auto"/>
                <w:kern w:val="2"/>
                <w:sz w:val="24"/>
                <w:szCs w:val="24"/>
                <w:highlight w:val="none"/>
                <w:lang w:val="en-US" w:eastAsia="zh-CN"/>
              </w:rPr>
              <w:t>，每年摆位15000次，15MV医用直线加速器由3名技师轮流进行摆位，则每名技师所受的年剂量为5.15×10</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mSv/a。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lang w:val="en-US" w:eastAsia="zh-CN"/>
              </w:rPr>
              <w:t>综上所述，由于气态感生放射性对2#加速器治疗室工作人员造成的总照射剂量不超过5.441×10</w:t>
            </w:r>
            <w:r>
              <w:rPr>
                <w:rFonts w:hint="default" w:ascii="Times New Roman" w:hAnsi="Times New Roman" w:eastAsia="黑体" w:cs="Times New Roman"/>
                <w:color w:val="auto"/>
                <w:sz w:val="24"/>
                <w:szCs w:val="24"/>
                <w:highlight w:val="none"/>
                <w:vertAlign w:val="superscript"/>
                <w:lang w:val="en-US" w:eastAsia="zh-CN"/>
              </w:rPr>
              <w:t>-3</w:t>
            </w:r>
            <w:r>
              <w:rPr>
                <w:rFonts w:hint="default" w:ascii="Times New Roman" w:hAnsi="Times New Roman" w:eastAsia="黑体" w:cs="Times New Roman"/>
                <w:color w:val="auto"/>
                <w:sz w:val="24"/>
                <w:szCs w:val="24"/>
                <w:highlight w:val="none"/>
                <w:lang w:val="en-US" w:eastAsia="zh-CN"/>
              </w:rPr>
              <w:t>mSv/a</w:t>
            </w:r>
            <w:r>
              <w:rPr>
                <w:rFonts w:hint="default"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低于本次评价中确定</w:t>
            </w:r>
            <w:r>
              <w:rPr>
                <w:rFonts w:hint="default" w:ascii="Times New Roman" w:hAnsi="Times New Roman" w:eastAsia="黑体" w:cs="Times New Roman"/>
                <w:color w:val="auto"/>
                <w:sz w:val="24"/>
                <w:szCs w:val="24"/>
                <w:highlight w:val="none"/>
                <w:lang w:val="en-US" w:eastAsia="zh-CN"/>
              </w:rPr>
              <w:t>5</w:t>
            </w:r>
            <w:r>
              <w:rPr>
                <w:rFonts w:hint="default" w:ascii="Times New Roman" w:hAnsi="Times New Roman" w:eastAsia="黑体" w:cs="Times New Roman"/>
                <w:color w:val="auto"/>
                <w:sz w:val="24"/>
                <w:szCs w:val="24"/>
                <w:highlight w:val="none"/>
              </w:rPr>
              <w:t>mSv/a的剂量约束值。</w:t>
            </w:r>
          </w:p>
          <w:p>
            <w:pPr>
              <w:pStyle w:val="2"/>
              <w:keepNext w:val="0"/>
              <w:keepLines w:val="0"/>
              <w:numPr>
                <w:ilvl w:val="0"/>
                <w:numId w:val="0"/>
              </w:numPr>
              <w:suppressLineNumbers w:val="0"/>
              <w:spacing w:before="0" w:beforeAutospacing="0" w:after="0" w:afterAutospacing="0" w:line="360" w:lineRule="auto"/>
              <w:ind w:left="420" w:leftChars="200" w:right="0"/>
              <w:rPr>
                <w:rFonts w:hint="default" w:ascii="Times New Roman" w:hAnsi="Times New Roman" w:eastAsia="黑体" w:cs="Times New Roman"/>
                <w:color w:val="auto"/>
                <w:kern w:val="2"/>
                <w:sz w:val="24"/>
                <w:szCs w:val="24"/>
                <w:highlight w:val="none"/>
                <w:lang w:val="en-US" w:eastAsia="zh-CN"/>
              </w:rPr>
            </w:pPr>
            <w:r>
              <w:rPr>
                <w:rFonts w:hint="default" w:ascii="Times New Roman" w:hAnsi="Times New Roman" w:eastAsia="黑体" w:cs="Times New Roman"/>
                <w:color w:val="auto"/>
                <w:kern w:val="2"/>
                <w:sz w:val="24"/>
                <w:szCs w:val="24"/>
                <w:highlight w:val="none"/>
                <w:lang w:val="en-US" w:eastAsia="zh-CN"/>
              </w:rPr>
              <w:t>2、感生放射性对公众产生的影响</w:t>
            </w:r>
          </w:p>
          <w:p>
            <w:pPr>
              <w:keepNext w:val="0"/>
              <w:keepLines w:val="0"/>
              <w:suppressLineNumbers w:val="0"/>
              <w:spacing w:before="0" w:beforeAutospacing="0" w:after="0" w:afterAutospacing="0" w:line="360" w:lineRule="auto"/>
              <w:ind w:left="0" w:right="0" w:firstLine="573"/>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O的β</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湮灭反应产生的γ辐射所致辐射效应属于随机性效应，</w:t>
            </w:r>
            <w:r>
              <w:rPr>
                <w:rFonts w:hint="default" w:ascii="Times New Roman" w:hAnsi="Times New Roman" w:cs="Times New Roman"/>
                <w:color w:val="auto"/>
                <w:sz w:val="24"/>
                <w:szCs w:val="24"/>
                <w:highlight w:val="none"/>
                <w:lang w:val="en-US" w:eastAsia="zh-CN"/>
              </w:rPr>
              <w:t>其对公众的剂量约束值取0.1mSv/a。</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N和</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lang w:val="en-US" w:eastAsia="zh-CN"/>
              </w:rPr>
              <w:t>的最大落地浓度采用</w:t>
            </w:r>
            <w:r>
              <w:rPr>
                <w:rFonts w:hint="default" w:ascii="Times New Roman" w:hAnsi="Times New Roman" w:cs="Times New Roman"/>
                <w:color w:val="auto"/>
                <w:spacing w:val="6"/>
                <w:sz w:val="24"/>
                <w:szCs w:val="24"/>
                <w:highlight w:val="none"/>
              </w:rPr>
              <w:t>《环境影响评价技术导则-大气环境》附录A推荐模型中的AERSCREEN模式进行分析。</w:t>
            </w:r>
          </w:p>
          <w:p>
            <w:pPr>
              <w:keepNext w:val="0"/>
              <w:keepLines w:val="0"/>
              <w:suppressLineNumbers w:val="0"/>
              <w:spacing w:before="156" w:beforeLines="50" w:beforeAutospacing="0" w:after="0" w:afterAutospacing="0"/>
              <w:ind w:left="0" w:right="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表11-</w:t>
            </w:r>
            <w:r>
              <w:rPr>
                <w:rFonts w:hint="default" w:ascii="Times New Roman" w:hAnsi="Times New Roman" w:eastAsia="宋体" w:cs="Times New Roman"/>
                <w:b/>
                <w:bCs w:val="0"/>
                <w:color w:val="auto"/>
                <w:szCs w:val="21"/>
                <w:highlight w:val="none"/>
                <w:lang w:val="en-US" w:eastAsia="zh-CN"/>
              </w:rPr>
              <w:t>1</w:t>
            </w:r>
            <w:r>
              <w:rPr>
                <w:rFonts w:hint="default" w:ascii="Times New Roman" w:hAnsi="Times New Roman" w:cs="Times New Roman"/>
                <w:b/>
                <w:bCs w:val="0"/>
                <w:color w:val="auto"/>
                <w:szCs w:val="21"/>
                <w:highlight w:val="none"/>
                <w:lang w:val="en-US" w:eastAsia="zh-CN"/>
              </w:rPr>
              <w:t>8</w:t>
            </w:r>
            <w:r>
              <w:rPr>
                <w:rFonts w:hint="default" w:ascii="Times New Roman" w:hAnsi="Times New Roman" w:eastAsia="宋体" w:cs="Times New Roman"/>
                <w:b/>
                <w:bCs w:val="0"/>
                <w:color w:val="auto"/>
                <w:szCs w:val="21"/>
                <w:highlight w:val="none"/>
                <w:lang w:val="en-US" w:eastAsia="zh-CN"/>
              </w:rPr>
              <w:t xml:space="preserve">  </w:t>
            </w:r>
            <w:r>
              <w:rPr>
                <w:rFonts w:hint="default" w:ascii="Times New Roman" w:hAnsi="Times New Roman" w:eastAsia="宋体" w:cs="Times New Roman"/>
                <w:b/>
                <w:bCs w:val="0"/>
                <w:color w:val="auto"/>
                <w:szCs w:val="21"/>
                <w:highlight w:val="none"/>
              </w:rPr>
              <w:t>点源污染源计算参数一览表</w:t>
            </w:r>
          </w:p>
          <w:tbl>
            <w:tblPr>
              <w:tblStyle w:val="17"/>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93"/>
              <w:gridCol w:w="687"/>
              <w:gridCol w:w="838"/>
              <w:gridCol w:w="1184"/>
              <w:gridCol w:w="1010"/>
              <w:gridCol w:w="906"/>
              <w:gridCol w:w="872"/>
              <w:gridCol w:w="1150"/>
              <w:gridCol w:w="179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901" w:hRule="atLeast"/>
                <w:jc w:val="center"/>
              </w:trPr>
              <w:tc>
                <w:tcPr>
                  <w:tcW w:w="293" w:type="dxa"/>
                  <w:tcBorders>
                    <w:top w:val="single" w:color="000000" w:sz="12" w:space="0"/>
                    <w:left w:val="nil"/>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编号</w:t>
                  </w:r>
                </w:p>
              </w:tc>
              <w:tc>
                <w:tcPr>
                  <w:tcW w:w="687" w:type="dxa"/>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w:t>
                  </w:r>
                </w:p>
              </w:tc>
              <w:tc>
                <w:tcPr>
                  <w:tcW w:w="838" w:type="dxa"/>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排气筒高度/m</w:t>
                  </w:r>
                </w:p>
              </w:tc>
              <w:tc>
                <w:tcPr>
                  <w:tcW w:w="1184" w:type="dxa"/>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排气筒出口内径/m</w:t>
                  </w:r>
                </w:p>
              </w:tc>
              <w:tc>
                <w:tcPr>
                  <w:tcW w:w="1010" w:type="dxa"/>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排风量</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/h）</w:t>
                  </w:r>
                </w:p>
              </w:tc>
              <w:tc>
                <w:tcPr>
                  <w:tcW w:w="906" w:type="dxa"/>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烟气排放速率</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lang w:val="en-US" w:eastAsia="zh-CN"/>
                    </w:rPr>
                    <w:t>s</w:t>
                  </w:r>
                  <w:r>
                    <w:rPr>
                      <w:rFonts w:hint="default" w:ascii="Times New Roman" w:hAnsi="Times New Roman" w:cs="Times New Roman"/>
                      <w:bCs/>
                      <w:color w:val="auto"/>
                      <w:sz w:val="21"/>
                      <w:szCs w:val="21"/>
                      <w:highlight w:val="none"/>
                    </w:rPr>
                    <w:t>）</w:t>
                  </w:r>
                </w:p>
              </w:tc>
              <w:tc>
                <w:tcPr>
                  <w:tcW w:w="872" w:type="dxa"/>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烟气温度/℃</w:t>
                  </w:r>
                </w:p>
              </w:tc>
              <w:tc>
                <w:tcPr>
                  <w:tcW w:w="1150" w:type="dxa"/>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排放工况</w:t>
                  </w:r>
                </w:p>
              </w:tc>
              <w:tc>
                <w:tcPr>
                  <w:tcW w:w="1794" w:type="dxa"/>
                  <w:tcBorders>
                    <w:top w:val="single" w:color="000000" w:sz="12" w:space="0"/>
                    <w:left w:val="single" w:color="000000" w:sz="4" w:space="0"/>
                    <w:bottom w:val="single" w:color="000000" w:sz="12" w:space="0"/>
                    <w:right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污染物排放量</w:t>
                  </w:r>
                </w:p>
                <w:p>
                  <w:pPr>
                    <w:pStyle w:val="2"/>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（Bq/h）</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533" w:hRule="atLeast"/>
                <w:jc w:val="center"/>
              </w:trPr>
              <w:tc>
                <w:tcPr>
                  <w:tcW w:w="293" w:type="dxa"/>
                  <w:tcBorders>
                    <w:top w:val="single" w:color="000000" w:sz="12"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687"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superscript"/>
                    </w:rPr>
                    <w:t>13</w:t>
                  </w:r>
                  <w:r>
                    <w:rPr>
                      <w:rFonts w:hint="default" w:ascii="Times New Roman" w:hAnsi="Times New Roman" w:cs="Times New Roman"/>
                      <w:color w:val="auto"/>
                      <w:sz w:val="21"/>
                      <w:szCs w:val="21"/>
                      <w:highlight w:val="none"/>
                    </w:rPr>
                    <w:t>N</w:t>
                  </w:r>
                </w:p>
              </w:tc>
              <w:tc>
                <w:tcPr>
                  <w:tcW w:w="838"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1184"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0.5</w:t>
                  </w:r>
                </w:p>
              </w:tc>
              <w:tc>
                <w:tcPr>
                  <w:tcW w:w="1010"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4286.4</w:t>
                  </w:r>
                </w:p>
              </w:tc>
              <w:tc>
                <w:tcPr>
                  <w:tcW w:w="906"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15</w:t>
                  </w:r>
                </w:p>
              </w:tc>
              <w:tc>
                <w:tcPr>
                  <w:tcW w:w="872"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20</w:t>
                  </w:r>
                </w:p>
              </w:tc>
              <w:tc>
                <w:tcPr>
                  <w:tcW w:w="1150"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正常</w:t>
                  </w:r>
                </w:p>
              </w:tc>
              <w:tc>
                <w:tcPr>
                  <w:tcW w:w="1794" w:type="dxa"/>
                  <w:tcBorders>
                    <w:top w:val="single" w:color="000000" w:sz="12"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lang w:val="en-US" w:eastAsia="zh-CN"/>
                    </w:rPr>
                    <w:t>9.38</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487" w:hRule="atLeast"/>
                <w:jc w:val="center"/>
              </w:trPr>
              <w:tc>
                <w:tcPr>
                  <w:tcW w:w="293" w:type="dxa"/>
                  <w:tcBorders>
                    <w:top w:val="single" w:color="000000" w:sz="4" w:space="0"/>
                    <w:left w:val="nil"/>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p>
              </w:tc>
              <w:tc>
                <w:tcPr>
                  <w:tcW w:w="687"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vertAlign w:val="superscript"/>
                    </w:rPr>
                  </w:pPr>
                  <w:r>
                    <w:rPr>
                      <w:rFonts w:hint="default" w:ascii="Times New Roman" w:hAnsi="Times New Roman" w:cs="Times New Roman"/>
                      <w:color w:val="auto"/>
                      <w:sz w:val="21"/>
                      <w:szCs w:val="21"/>
                      <w:highlight w:val="none"/>
                      <w:vertAlign w:val="superscript"/>
                    </w:rPr>
                    <w:t>15</w:t>
                  </w:r>
                  <w:r>
                    <w:rPr>
                      <w:rFonts w:hint="default" w:ascii="Times New Roman" w:hAnsi="Times New Roman" w:cs="Times New Roman"/>
                      <w:color w:val="auto"/>
                      <w:sz w:val="21"/>
                      <w:szCs w:val="21"/>
                      <w:highlight w:val="none"/>
                    </w:rPr>
                    <w:t>O</w:t>
                  </w:r>
                </w:p>
              </w:tc>
              <w:tc>
                <w:tcPr>
                  <w:tcW w:w="838"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1184"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0.5</w:t>
                  </w:r>
                </w:p>
              </w:tc>
              <w:tc>
                <w:tcPr>
                  <w:tcW w:w="1010"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4286.4</w:t>
                  </w:r>
                </w:p>
              </w:tc>
              <w:tc>
                <w:tcPr>
                  <w:tcW w:w="906"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15</w:t>
                  </w:r>
                </w:p>
              </w:tc>
              <w:tc>
                <w:tcPr>
                  <w:tcW w:w="872"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20</w:t>
                  </w:r>
                </w:p>
              </w:tc>
              <w:tc>
                <w:tcPr>
                  <w:tcW w:w="1150"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正常</w:t>
                  </w:r>
                </w:p>
              </w:tc>
              <w:tc>
                <w:tcPr>
                  <w:tcW w:w="1794" w:type="dxa"/>
                  <w:tcBorders>
                    <w:top w:val="single" w:color="000000" w:sz="4" w:space="0"/>
                    <w:left w:val="single" w:color="000000" w:sz="4" w:space="0"/>
                    <w:bottom w:val="single" w:color="000000" w:sz="12" w:space="0"/>
                    <w:right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sz w:val="21"/>
                      <w:szCs w:val="21"/>
                      <w:highlight w:val="none"/>
                      <w:lang w:val="en-US" w:eastAsia="zh-CN"/>
                    </w:rPr>
                    <w:t>3.32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10</w:t>
                  </w:r>
                </w:p>
              </w:tc>
            </w:tr>
          </w:tbl>
          <w:p>
            <w:pPr>
              <w:keepNext w:val="0"/>
              <w:keepLines w:val="0"/>
              <w:suppressLineNumbers w:val="0"/>
              <w:spacing w:before="156" w:beforeLines="50" w:beforeAutospacing="0" w:after="0" w:afterAutospacing="0"/>
              <w:ind w:left="0" w:right="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表11-</w:t>
            </w:r>
            <w:r>
              <w:rPr>
                <w:rFonts w:hint="default" w:ascii="Times New Roman" w:hAnsi="Times New Roman" w:eastAsia="宋体" w:cs="Times New Roman"/>
                <w:b/>
                <w:bCs w:val="0"/>
                <w:color w:val="auto"/>
                <w:szCs w:val="21"/>
                <w:highlight w:val="none"/>
                <w:lang w:val="en-US" w:eastAsia="zh-CN"/>
              </w:rPr>
              <w:t>1</w:t>
            </w:r>
            <w:r>
              <w:rPr>
                <w:rFonts w:hint="default" w:ascii="Times New Roman" w:hAnsi="Times New Roman" w:cs="Times New Roman"/>
                <w:b/>
                <w:bCs w:val="0"/>
                <w:color w:val="auto"/>
                <w:szCs w:val="21"/>
                <w:highlight w:val="none"/>
                <w:lang w:val="en-US" w:eastAsia="zh-CN"/>
              </w:rPr>
              <w:t>9</w:t>
            </w:r>
            <w:r>
              <w:rPr>
                <w:rFonts w:hint="default" w:ascii="Times New Roman" w:hAnsi="Times New Roman" w:eastAsia="宋体" w:cs="Times New Roman"/>
                <w:b/>
                <w:bCs w:val="0"/>
                <w:color w:val="auto"/>
                <w:szCs w:val="21"/>
                <w:highlight w:val="none"/>
              </w:rPr>
              <w:t xml:space="preserve">  估算模型参数表</w:t>
            </w:r>
          </w:p>
          <w:tbl>
            <w:tblPr>
              <w:tblStyle w:val="17"/>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357"/>
              <w:gridCol w:w="2716"/>
              <w:gridCol w:w="365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105" w:hRule="atLeast"/>
                <w:jc w:val="center"/>
              </w:trPr>
              <w:tc>
                <w:tcPr>
                  <w:tcW w:w="5073" w:type="dxa"/>
                  <w:gridSpan w:val="2"/>
                  <w:tcBorders>
                    <w:top w:val="single" w:color="auto" w:sz="12" w:space="0"/>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参数</w:t>
                  </w:r>
                </w:p>
              </w:tc>
              <w:tc>
                <w:tcPr>
                  <w:tcW w:w="3655" w:type="dxa"/>
                  <w:tcBorders>
                    <w:top w:val="single" w:color="auto" w:sz="12"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取值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273" w:hRule="atLeast"/>
                <w:jc w:val="center"/>
              </w:trPr>
              <w:tc>
                <w:tcPr>
                  <w:tcW w:w="2357" w:type="dxa"/>
                  <w:vMerge w:val="restart"/>
                  <w:tcBorders>
                    <w:top w:val="single" w:color="auto" w:sz="12" w:space="0"/>
                    <w:left w:val="nil"/>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城市农村/选项</w:t>
                  </w:r>
                </w:p>
              </w:tc>
              <w:tc>
                <w:tcPr>
                  <w:tcW w:w="2716" w:type="dxa"/>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w:t>
                  </w:r>
                </w:p>
              </w:tc>
              <w:tc>
                <w:tcPr>
                  <w:tcW w:w="3655" w:type="dxa"/>
                  <w:tcBorders>
                    <w:top w:val="single" w:color="auto" w:sz="12"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2357" w:type="dxa"/>
                  <w:vMerge w:val="continue"/>
                  <w:tcBorders>
                    <w:top w:val="single" w:color="auto" w:sz="4" w:space="0"/>
                    <w:left w:val="nil"/>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7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人口数(城市人口数)</w:t>
                  </w:r>
                </w:p>
              </w:tc>
              <w:tc>
                <w:tcPr>
                  <w:tcW w:w="3655" w:type="dxa"/>
                  <w:tcBorders>
                    <w:top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5073" w:type="dxa"/>
                  <w:gridSpan w:val="2"/>
                  <w:tcBorders>
                    <w:top w:val="single" w:color="auto" w:sz="4" w:space="0"/>
                    <w:left w:val="nil"/>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环境温度</w:t>
                  </w:r>
                </w:p>
              </w:tc>
              <w:tc>
                <w:tcPr>
                  <w:tcW w:w="3655" w:type="dxa"/>
                  <w:tcBorders>
                    <w:top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°C</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5073" w:type="dxa"/>
                  <w:gridSpan w:val="2"/>
                  <w:tcBorders>
                    <w:top w:val="single" w:color="auto" w:sz="4" w:space="0"/>
                    <w:left w:val="nil"/>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土地利用类型</w:t>
                  </w:r>
                </w:p>
              </w:tc>
              <w:tc>
                <w:tcPr>
                  <w:tcW w:w="3655" w:type="dxa"/>
                  <w:tcBorders>
                    <w:top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建设用地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5073" w:type="dxa"/>
                  <w:gridSpan w:val="2"/>
                  <w:tcBorders>
                    <w:top w:val="single" w:color="auto" w:sz="4" w:space="0"/>
                    <w:left w:val="nil"/>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区域湿度条件</w:t>
                  </w:r>
                </w:p>
              </w:tc>
              <w:tc>
                <w:tcPr>
                  <w:tcW w:w="3655" w:type="dxa"/>
                  <w:tcBorders>
                    <w:top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湿润地区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357" w:type="dxa"/>
                  <w:vMerge w:val="restart"/>
                  <w:tcBorders>
                    <w:top w:val="single" w:color="auto" w:sz="4" w:space="0"/>
                    <w:left w:val="nil"/>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是否考虑地形</w:t>
                  </w:r>
                </w:p>
              </w:tc>
              <w:tc>
                <w:tcPr>
                  <w:tcW w:w="271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考虑地形</w:t>
                  </w:r>
                </w:p>
              </w:tc>
              <w:tc>
                <w:tcPr>
                  <w:tcW w:w="3655" w:type="dxa"/>
                  <w:tcBorders>
                    <w:top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2357" w:type="dxa"/>
                  <w:vMerge w:val="continue"/>
                  <w:tcBorders>
                    <w:top w:val="single" w:color="auto" w:sz="4" w:space="0"/>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716" w:type="dxa"/>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地形数据分辨率(m)</w:t>
                  </w:r>
                </w:p>
              </w:tc>
              <w:tc>
                <w:tcPr>
                  <w:tcW w:w="3655" w:type="dxa"/>
                  <w:tcBorders>
                    <w:top w:val="single" w:color="auto" w:sz="4"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r>
          </w:tbl>
          <w:p>
            <w:pPr>
              <w:keepNext w:val="0"/>
              <w:keepLines w:val="0"/>
              <w:suppressLineNumbers w:val="0"/>
              <w:spacing w:before="0" w:beforeAutospacing="0" w:after="0" w:afterAutospacing="0" w:line="360" w:lineRule="auto"/>
              <w:ind w:left="0" w:right="0" w:firstLine="504" w:firstLineChars="200"/>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color w:val="auto"/>
                <w:spacing w:val="6"/>
                <w:sz w:val="24"/>
                <w:szCs w:val="24"/>
                <w:highlight w:val="none"/>
                <w:lang w:val="en-US" w:eastAsia="zh-CN"/>
              </w:rPr>
              <w:t>根据</w:t>
            </w:r>
            <w:r>
              <w:rPr>
                <w:rFonts w:hint="default" w:ascii="Times New Roman" w:hAnsi="Times New Roman" w:cs="Times New Roman"/>
                <w:color w:val="auto"/>
                <w:spacing w:val="6"/>
                <w:sz w:val="24"/>
                <w:szCs w:val="24"/>
                <w:highlight w:val="none"/>
              </w:rPr>
              <w:t>AERSCREEN</w:t>
            </w:r>
            <w:r>
              <w:rPr>
                <w:rFonts w:hint="default" w:ascii="Times New Roman" w:hAnsi="Times New Roman" w:cs="Times New Roman"/>
                <w:color w:val="auto"/>
                <w:spacing w:val="6"/>
                <w:sz w:val="24"/>
                <w:szCs w:val="24"/>
                <w:highlight w:val="none"/>
                <w:lang w:val="en-US" w:eastAsia="zh-CN"/>
              </w:rPr>
              <w:t>模式进行计算，</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w:t>
            </w:r>
            <w:r>
              <w:rPr>
                <w:rFonts w:hint="default" w:ascii="Times New Roman" w:hAnsi="Times New Roman" w:cs="Times New Roman"/>
                <w:color w:val="auto"/>
                <w:sz w:val="24"/>
                <w:szCs w:val="24"/>
                <w:highlight w:val="none"/>
                <w:lang w:val="en-US" w:eastAsia="zh-CN"/>
              </w:rPr>
              <w:t>最大落地浓度为244.60</w:t>
            </w:r>
            <w:r>
              <w:rPr>
                <w:rFonts w:hint="default" w:ascii="Times New Roman" w:hAnsi="Times New Roman" w:cs="Times New Roman"/>
                <w:color w:val="auto"/>
                <w:kern w:val="0"/>
                <w:sz w:val="24"/>
                <w:szCs w:val="24"/>
                <w:highlight w:val="none"/>
              </w:rPr>
              <w:t>Bq/</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lang w:val="en-US" w:eastAsia="zh-CN"/>
              </w:rPr>
              <w:t>最大落地浓度为86.56</w:t>
            </w:r>
            <w:r>
              <w:rPr>
                <w:rFonts w:hint="default" w:ascii="Times New Roman" w:hAnsi="Times New Roman" w:cs="Times New Roman"/>
                <w:color w:val="auto"/>
                <w:kern w:val="0"/>
                <w:sz w:val="24"/>
                <w:szCs w:val="24"/>
                <w:highlight w:val="none"/>
              </w:rPr>
              <w:t>Bq/</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，最大落地浓度距离为265m。</w:t>
            </w:r>
            <w:r>
              <w:rPr>
                <w:rFonts w:hint="default" w:ascii="Times New Roman" w:hAnsi="Times New Roman" w:cs="Times New Roman"/>
                <w:color w:val="auto"/>
                <w:kern w:val="2"/>
                <w:sz w:val="24"/>
                <w:szCs w:val="24"/>
                <w:highlight w:val="none"/>
                <w:lang w:val="en-US" w:eastAsia="zh-CN"/>
              </w:rPr>
              <w:t>15MV</w:t>
            </w:r>
            <w:r>
              <w:rPr>
                <w:rFonts w:hint="default" w:ascii="Times New Roman" w:hAnsi="Times New Roman" w:cs="Times New Roman"/>
                <w:color w:val="auto"/>
                <w:sz w:val="24"/>
                <w:szCs w:val="24"/>
                <w:highlight w:val="none"/>
                <w:lang w:val="en-US" w:eastAsia="zh-CN"/>
              </w:rPr>
              <w:t>医用直线加速器工作时间为</w:t>
            </w:r>
            <w:r>
              <w:rPr>
                <w:rFonts w:hint="eastAsia" w:ascii="Times New Roman" w:hAnsi="Times New Roman" w:cs="Times New Roman"/>
                <w:color w:val="auto"/>
                <w:sz w:val="24"/>
                <w:szCs w:val="24"/>
                <w:highlight w:val="none"/>
                <w:lang w:val="en-US" w:eastAsia="zh-CN"/>
              </w:rPr>
              <w:t>750</w:t>
            </w:r>
            <w:r>
              <w:rPr>
                <w:rFonts w:hint="default" w:ascii="Times New Roman" w:hAnsi="Times New Roman" w:cs="Times New Roman"/>
                <w:color w:val="auto"/>
                <w:sz w:val="24"/>
                <w:szCs w:val="24"/>
                <w:highlight w:val="none"/>
                <w:lang w:val="en-US" w:eastAsia="zh-CN"/>
              </w:rPr>
              <w:t>h，则</w:t>
            </w:r>
            <w:r>
              <w:rPr>
                <w:rFonts w:hint="default" w:ascii="Times New Roman" w:hAnsi="Times New Roman" w:cs="Times New Roman"/>
                <w:color w:val="auto"/>
                <w:sz w:val="24"/>
                <w:szCs w:val="24"/>
                <w:highlight w:val="none"/>
                <w:vertAlign w:val="superscript"/>
              </w:rPr>
              <w:t>13</w:t>
            </w:r>
            <w:r>
              <w:rPr>
                <w:rFonts w:hint="default" w:ascii="Times New Roman" w:hAnsi="Times New Roman" w:cs="Times New Roman"/>
                <w:color w:val="auto"/>
                <w:sz w:val="24"/>
                <w:szCs w:val="24"/>
                <w:highlight w:val="none"/>
              </w:rPr>
              <w:t>N</w:t>
            </w:r>
            <w:r>
              <w:rPr>
                <w:rFonts w:hint="default" w:ascii="Times New Roman" w:hAnsi="Times New Roman" w:cs="Times New Roman"/>
                <w:color w:val="auto"/>
                <w:sz w:val="24"/>
                <w:szCs w:val="24"/>
                <w:highlight w:val="none"/>
                <w:lang w:val="en-US" w:eastAsia="zh-CN"/>
              </w:rPr>
              <w:t>所致公众所受的有效剂量为1.</w:t>
            </w:r>
            <w:r>
              <w:rPr>
                <w:rFonts w:hint="eastAsia" w:ascii="Times New Roman" w:hAnsi="Times New Roman" w:cs="Times New Roman"/>
                <w:color w:val="auto"/>
                <w:sz w:val="24"/>
                <w:szCs w:val="24"/>
                <w:highlight w:val="none"/>
                <w:lang w:val="en-US" w:eastAsia="zh-CN"/>
              </w:rPr>
              <w:t>81</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mSv/a，</w:t>
            </w:r>
            <w:r>
              <w:rPr>
                <w:rFonts w:hint="default" w:ascii="Times New Roman" w:hAnsi="Times New Roman" w:cs="Times New Roman"/>
                <w:color w:val="auto"/>
                <w:sz w:val="24"/>
                <w:szCs w:val="24"/>
                <w:highlight w:val="none"/>
                <w:vertAlign w:val="superscript"/>
              </w:rPr>
              <w:t>15</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lang w:val="en-US" w:eastAsia="zh-CN"/>
              </w:rPr>
              <w:t>所致公众所受的有效剂量为6.</w:t>
            </w:r>
            <w:r>
              <w:rPr>
                <w:rFonts w:hint="eastAsia" w:ascii="Times New Roman" w:hAnsi="Times New Roman" w:cs="Times New Roman"/>
                <w:color w:val="auto"/>
                <w:sz w:val="24"/>
                <w:szCs w:val="24"/>
                <w:highlight w:val="none"/>
                <w:lang w:val="en-US" w:eastAsia="zh-CN"/>
              </w:rPr>
              <w:t>43</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lang w:val="en-US" w:eastAsia="zh-CN"/>
              </w:rPr>
              <w:t>mSv/a。因此，公众所受有效剂量为2.291</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mSv/a，低于本次评价确定的公众剂量约束值（0.1mSv/a）。</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8"/>
                <w:highlight w:val="none"/>
              </w:rPr>
            </w:pPr>
            <w:r>
              <w:rPr>
                <w:rFonts w:hint="default" w:ascii="Times New Roman" w:hAnsi="Times New Roman" w:cs="Times New Roman"/>
                <w:b/>
                <w:color w:val="auto"/>
                <w:sz w:val="28"/>
                <w:szCs w:val="28"/>
                <w:highlight w:val="none"/>
                <w:lang w:eastAsia="zh-CN"/>
              </w:rPr>
              <w:t>（</w:t>
            </w:r>
            <w:r>
              <w:rPr>
                <w:rFonts w:hint="default" w:ascii="Times New Roman" w:hAnsi="Times New Roman" w:cs="Times New Roman"/>
                <w:b/>
                <w:color w:val="auto"/>
                <w:sz w:val="28"/>
                <w:szCs w:val="28"/>
                <w:highlight w:val="none"/>
                <w:lang w:val="en-US" w:eastAsia="zh-CN"/>
              </w:rPr>
              <w:t>五</w:t>
            </w:r>
            <w:r>
              <w:rPr>
                <w:rFonts w:hint="default" w:ascii="Times New Roman" w:hAnsi="Times New Roman" w:cs="Times New Roman"/>
                <w:b/>
                <w:color w:val="auto"/>
                <w:sz w:val="28"/>
                <w:szCs w:val="28"/>
                <w:highlight w:val="none"/>
                <w:lang w:eastAsia="zh-CN"/>
              </w:rPr>
              <w:t>）</w:t>
            </w:r>
            <w:r>
              <w:rPr>
                <w:rFonts w:hint="default" w:ascii="Times New Roman" w:hAnsi="Times New Roman" w:cs="Times New Roman"/>
                <w:b/>
                <w:color w:val="auto"/>
                <w:sz w:val="28"/>
                <w:szCs w:val="28"/>
                <w:highlight w:val="none"/>
              </w:rPr>
              <w:t>臭氧的环境影响分析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室内空气中的氧受X</w:t>
            </w:r>
            <w:r>
              <w:rPr>
                <w:rFonts w:hint="default" w:ascii="Times New Roman" w:hAnsi="Times New Roman" w:cs="Times New Roman"/>
                <w:color w:val="auto"/>
                <w:sz w:val="24"/>
                <w:szCs w:val="24"/>
                <w:highlight w:val="none"/>
                <w:lang w:val="en-US" w:eastAsia="zh-CN"/>
              </w:rPr>
              <w:t>射线</w:t>
            </w:r>
            <w:r>
              <w:rPr>
                <w:rFonts w:hint="default" w:ascii="Times New Roman" w:hAnsi="Times New Roman" w:cs="Times New Roman"/>
                <w:color w:val="auto"/>
                <w:sz w:val="24"/>
                <w:szCs w:val="24"/>
                <w:highlight w:val="none"/>
              </w:rPr>
              <w:t>电离而产生的臭氧，其产率和浓度可用下面两个公式分别计算。</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kern w:val="2"/>
                <w:sz w:val="24"/>
                <w:szCs w:val="24"/>
                <w:highlight w:val="none"/>
                <w:lang w:val="en-US" w:eastAsia="zh-CN"/>
              </w:rPr>
              <w:t xml:space="preserve">      </w:t>
            </w:r>
            <w:r>
              <w:rPr>
                <w:rFonts w:hint="default" w:ascii="Times New Roman" w:hAnsi="Times New Roman" w:cs="Times New Roman"/>
                <w:color w:val="auto"/>
                <w:kern w:val="2"/>
                <w:position w:val="-12"/>
                <w:sz w:val="24"/>
                <w:szCs w:val="24"/>
                <w:highlight w:val="none"/>
                <w:lang w:val="en-US" w:eastAsia="zh-CN"/>
              </w:rPr>
              <w:object>
                <v:shape id="_x0000_i1119" o:spt="75" type="#_x0000_t75" style="height:19pt;width:141pt;" o:ole="t" filled="f" o:preferrelative="t" stroked="f" coordsize="21600,21600">
                  <v:path/>
                  <v:fill on="f" focussize="0,0"/>
                  <v:stroke on="f"/>
                  <v:imagedata r:id="rId210" o:title=""/>
                  <o:lock v:ext="edit" aspectratio="t"/>
                  <w10:wrap type="none"/>
                  <w10:anchorlock/>
                </v:shape>
                <o:OLEObject Type="Embed" ProgID="Equation.KSEE3" ShapeID="_x0000_i1119" DrawAspect="Content" ObjectID="_1468075819" r:id="rId209">
                  <o:LockedField>false</o:LockedField>
                </o:OLEObject>
              </w:objec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lang w:val="en-US" w:eastAsia="zh-CN"/>
              </w:rPr>
              <w:t>式11-30</w:t>
            </w:r>
            <w:r>
              <w:rPr>
                <w:rFonts w:hint="default" w:ascii="Times New Roman" w:hAnsi="Times New Roman" w:cs="Times New Roman"/>
                <w:color w:val="auto"/>
                <w:kern w:val="2"/>
                <w:sz w:val="24"/>
                <w:szCs w:val="24"/>
                <w:highlight w:val="none"/>
                <w:lang w:eastAsia="zh-CN"/>
              </w:rPr>
              <w:t>）</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式中：Qo—臭氧产率mg/h； </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G—射束在距离源点1m处的剂量率Gy.m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/h，对于1</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MV直线加速器取</w:t>
            </w:r>
            <w:r>
              <w:rPr>
                <w:rFonts w:hint="default" w:ascii="Times New Roman" w:hAnsi="Times New Roman" w:cs="Times New Roman"/>
                <w:color w:val="auto"/>
                <w:sz w:val="21"/>
                <w:szCs w:val="21"/>
                <w:highlight w:val="none"/>
                <w:lang w:val="en-US" w:eastAsia="zh-CN"/>
              </w:rPr>
              <w:t>1440</w:t>
            </w:r>
            <w:r>
              <w:rPr>
                <w:rFonts w:hint="default" w:ascii="Times New Roman" w:hAnsi="Times New Roman" w:cs="Times New Roman"/>
                <w:color w:val="auto"/>
                <w:sz w:val="21"/>
                <w:szCs w:val="21"/>
                <w:highlight w:val="none"/>
              </w:rPr>
              <w:t>；</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So—射束在距离源点1m处的照射面积m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R—射束径迹长度m；</w:t>
            </w:r>
          </w:p>
          <w:p>
            <w:pPr>
              <w:keepNext w:val="0"/>
              <w:keepLines w:val="0"/>
              <w:suppressLineNumbers w:val="0"/>
              <w:spacing w:before="0" w:beforeAutospacing="0" w:after="0" w:afterAutospacing="0" w:line="560" w:lineRule="exact"/>
              <w:ind w:left="0" w:right="0" w:firstLine="57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g—空气每吸收100eV辐射能量产生O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的分子数，本项目取10。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经计算，臭氧产率为</w:t>
            </w:r>
            <w:r>
              <w:rPr>
                <w:rFonts w:hint="default" w:ascii="Times New Roman" w:hAnsi="Times New Roman" w:cs="Times New Roman"/>
                <w:color w:val="auto"/>
                <w:sz w:val="24"/>
                <w:szCs w:val="24"/>
                <w:highlight w:val="none"/>
                <w:lang w:val="en-US" w:eastAsia="zh-CN"/>
              </w:rPr>
              <w:t>14.97</w:t>
            </w:r>
            <w:r>
              <w:rPr>
                <w:rFonts w:hint="default" w:ascii="Times New Roman" w:hAnsi="Times New Roman" w:cs="Times New Roman"/>
                <w:color w:val="auto"/>
                <w:sz w:val="24"/>
                <w:szCs w:val="24"/>
                <w:highlight w:val="none"/>
              </w:rPr>
              <w:t>mg/h。</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室内臭氧饱和浓度由下式计算：</w:t>
            </w:r>
          </w:p>
          <w:p>
            <w:pPr>
              <w:keepNext w:val="0"/>
              <w:keepLines w:val="0"/>
              <w:suppressLineNumbers w:val="0"/>
              <w:spacing w:before="0" w:beforeAutospacing="0" w:after="0" w:afterAutospacing="0" w:line="360" w:lineRule="auto"/>
              <w:ind w:left="0" w:right="0" w:firstLine="57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position w:val="-12"/>
                <w:sz w:val="24"/>
                <w:szCs w:val="24"/>
                <w:highlight w:val="none"/>
              </w:rPr>
              <w:object>
                <v:shape id="_x0000_i1120" o:spt="75" type="#_x0000_t75" style="height:17.65pt;width:73.35pt;" o:ole="t" filled="f" o:preferrelative="t" stroked="f" coordsize="21600,21600">
                  <v:path/>
                  <v:fill on="f" focussize="0,0"/>
                  <v:stroke on="f"/>
                  <v:imagedata r:id="rId212" o:title=""/>
                  <o:lock v:ext="edit" aspectratio="t"/>
                  <w10:wrap type="none"/>
                  <w10:anchorlock/>
                </v:shape>
                <o:OLEObject Type="Embed" ProgID="Equation.3" ShapeID="_x0000_i1120" DrawAspect="Content" ObjectID="_1468075820" r:id="rId211">
                  <o:LockedField>false</o:LockedField>
                </o:OLEObject>
              </w:objec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式11-31</w:t>
            </w:r>
            <w:r>
              <w:rPr>
                <w:rFonts w:hint="default" w:ascii="Times New Roman" w:hAnsi="Times New Roman"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C—室内臭氧浓度，mg/m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Qo—臭氧产额mg/h；</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Tv—臭气有效清除时间，</w:t>
            </w:r>
            <w:r>
              <w:rPr>
                <w:rFonts w:hint="default" w:ascii="Times New Roman" w:hAnsi="Times New Roman" w:cs="Times New Roman"/>
                <w:color w:val="auto"/>
                <w:sz w:val="21"/>
                <w:szCs w:val="21"/>
                <w:highlight w:val="none"/>
                <w:lang w:val="en-US" w:eastAsia="zh-CN"/>
              </w:rPr>
              <w:t>0.072</w:t>
            </w:r>
            <w:r>
              <w:rPr>
                <w:rFonts w:hint="default" w:ascii="Times New Roman" w:hAnsi="Times New Roman" w:cs="Times New Roman"/>
                <w:color w:val="auto"/>
                <w:sz w:val="21"/>
                <w:szCs w:val="21"/>
                <w:highlight w:val="none"/>
              </w:rPr>
              <w:t>h；</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V—治疗室空间体积，</w:t>
            </w:r>
            <w:r>
              <w:rPr>
                <w:rFonts w:hint="default" w:ascii="Times New Roman" w:hAnsi="Times New Roman" w:cs="Times New Roman"/>
                <w:color w:val="auto"/>
                <w:sz w:val="21"/>
                <w:szCs w:val="21"/>
                <w:highlight w:val="none"/>
                <w:lang w:val="en-US" w:eastAsia="zh-CN"/>
              </w:rPr>
              <w:t>240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position w:val="-30"/>
                <w:sz w:val="24"/>
                <w:szCs w:val="24"/>
                <w:highlight w:val="none"/>
              </w:rPr>
              <w:object>
                <v:shape id="_x0000_i1121" o:spt="75" type="#_x0000_t75" style="height:33.75pt;width:55.5pt;" o:ole="t" filled="f" o:preferrelative="t" stroked="f" coordsize="21600,21600">
                  <v:path/>
                  <v:fill on="f" focussize="0,0"/>
                  <v:stroke on="f"/>
                  <v:imagedata r:id="rId214" o:title=""/>
                  <o:lock v:ext="edit" aspectratio="t"/>
                  <w10:wrap type="none"/>
                  <w10:anchorlock/>
                </v:shape>
                <o:OLEObject Type="Embed" ProgID="Equation.3" ShapeID="_x0000_i1121" DrawAspect="Content" ObjectID="_1468075821" r:id="rId213">
                  <o:LockedField>false</o:LockedField>
                </o:OLEObject>
              </w:objec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式11-32</w:t>
            </w:r>
            <w:r>
              <w:rPr>
                <w:rFonts w:hint="default" w:ascii="Times New Roman" w:hAnsi="Times New Roman" w:cs="Times New Roman"/>
                <w:color w:val="auto"/>
                <w:sz w:val="24"/>
                <w:szCs w:val="24"/>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4"/>
                <w:highlight w:val="none"/>
              </w:rPr>
              <w:t xml:space="preserve">   </w:t>
            </w:r>
            <w:r>
              <w:rPr>
                <w:rFonts w:hint="default" w:ascii="Times New Roman" w:hAnsi="Times New Roman" w:cs="Times New Roman"/>
                <w:color w:val="auto"/>
                <w:sz w:val="21"/>
                <w:szCs w:val="21"/>
                <w:highlight w:val="none"/>
              </w:rPr>
              <w:t xml:space="preserve"> t</w:t>
            </w:r>
            <w:r>
              <w:rPr>
                <w:rFonts w:hint="default" w:ascii="Times New Roman" w:hAnsi="Times New Roman" w:cs="Times New Roman"/>
                <w:color w:val="auto"/>
                <w:sz w:val="21"/>
                <w:szCs w:val="21"/>
                <w:highlight w:val="none"/>
                <w:vertAlign w:val="subscript"/>
              </w:rPr>
              <w:t>v</w:t>
            </w:r>
            <w:r>
              <w:rPr>
                <w:rFonts w:hint="default" w:ascii="Times New Roman" w:hAnsi="Times New Roman" w:cs="Times New Roman"/>
                <w:color w:val="auto"/>
                <w:sz w:val="21"/>
                <w:szCs w:val="21"/>
                <w:highlight w:val="none"/>
              </w:rPr>
              <w:t>—每次换气时间，0.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h；</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t</w:t>
            </w:r>
            <w:r>
              <w:rPr>
                <w:rFonts w:hint="default" w:ascii="Times New Roman" w:hAnsi="Times New Roman" w:cs="Times New Roman"/>
                <w:color w:val="auto"/>
                <w:sz w:val="21"/>
                <w:szCs w:val="21"/>
                <w:highlight w:val="none"/>
                <w:vertAlign w:val="subscript"/>
              </w:rPr>
              <w:t>α</w:t>
            </w:r>
            <w:r>
              <w:rPr>
                <w:rFonts w:hint="default" w:ascii="Times New Roman" w:hAnsi="Times New Roman" w:cs="Times New Roman"/>
                <w:color w:val="auto"/>
                <w:sz w:val="21"/>
                <w:szCs w:val="21"/>
                <w:highlight w:val="none"/>
              </w:rPr>
              <w:t>—臭氧分解时间，取值为0.83h。</w:t>
            </w:r>
          </w:p>
          <w:p>
            <w:pPr>
              <w:keepNext w:val="0"/>
              <w:keepLines w:val="0"/>
              <w:suppressLineNumbers w:val="0"/>
              <w:spacing w:before="0" w:beforeAutospacing="0" w:after="0" w:afterAutospacing="0" w:line="360" w:lineRule="auto"/>
              <w:ind w:left="0" w:right="0" w:firstLine="460" w:firstLineChars="192"/>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若照射时间足够长，浓度均匀，结合本项目加速器的基本参数和工作室的几何尺寸，估算结果为：在1</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MV加速器治疗室内臭氧产率为</w:t>
            </w:r>
            <w:r>
              <w:rPr>
                <w:rFonts w:hint="default" w:ascii="Times New Roman" w:hAnsi="Times New Roman" w:cs="Times New Roman"/>
                <w:color w:val="auto"/>
                <w:sz w:val="24"/>
                <w:szCs w:val="24"/>
                <w:highlight w:val="none"/>
                <w:lang w:val="en-US" w:eastAsia="zh-CN"/>
              </w:rPr>
              <w:t>14.97</w:t>
            </w:r>
            <w:r>
              <w:rPr>
                <w:rFonts w:hint="default" w:ascii="Times New Roman" w:hAnsi="Times New Roman" w:cs="Times New Roman"/>
                <w:color w:val="auto"/>
                <w:sz w:val="24"/>
                <w:szCs w:val="24"/>
                <w:highlight w:val="none"/>
              </w:rPr>
              <w:t>mg/h。加速器治疗室每小时换气</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次，若每次换气时间均为</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min，则加速器治疗室内的臭氧平衡浓度为</w:t>
            </w:r>
            <w:r>
              <w:rPr>
                <w:rFonts w:hint="default" w:ascii="Times New Roman" w:hAnsi="Times New Roman" w:cs="Times New Roman"/>
                <w:color w:val="auto"/>
                <w:sz w:val="24"/>
                <w:szCs w:val="24"/>
                <w:highlight w:val="none"/>
                <w:lang w:val="en-US" w:eastAsia="zh-CN"/>
              </w:rPr>
              <w:t>8.90×10</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。本项目产生的臭氧采用换气系统排入环境大气后，经自然分解和稀释，符合</w:t>
            </w:r>
            <w:r>
              <w:rPr>
                <w:rFonts w:hint="eastAsia" w:ascii="Times New Roman" w:hAnsi="Times New Roman" w:cs="Times New Roman"/>
                <w:color w:val="auto"/>
                <w:sz w:val="24"/>
                <w:szCs w:val="24"/>
                <w:highlight w:val="none"/>
                <w:lang w:eastAsia="zh-CN"/>
              </w:rPr>
              <w:t>《工作场所有害因素职业接触限值 第1部分：化学有害因素》（GBZ2.1-2019）中臭氧最高允许浓度</w:t>
            </w:r>
            <w:r>
              <w:rPr>
                <w:rFonts w:hint="eastAsia" w:ascii="Times New Roman" w:hAnsi="Times New Roman" w:cs="Times New Roman"/>
                <w:color w:val="auto"/>
                <w:sz w:val="24"/>
                <w:highlight w:val="none"/>
                <w:lang w:eastAsia="zh-CN"/>
              </w:rPr>
              <w:t>0.3mg/m</w:t>
            </w:r>
            <w:r>
              <w:rPr>
                <w:rFonts w:hint="eastAsia"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szCs w:val="24"/>
                <w:highlight w:val="none"/>
              </w:rPr>
              <w:t>的要求。</w:t>
            </w:r>
          </w:p>
          <w:p>
            <w:pPr>
              <w:pStyle w:val="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kern w:val="2"/>
                <w:sz w:val="24"/>
                <w:highlight w:val="none"/>
                <w:lang w:val="en-US" w:eastAsia="zh-CN"/>
              </w:rPr>
            </w:pPr>
            <w:r>
              <w:rPr>
                <w:rFonts w:hint="default" w:ascii="Times New Roman" w:hAnsi="Times New Roman" w:cs="Times New Roman"/>
                <w:color w:val="auto"/>
                <w:kern w:val="2"/>
                <w:sz w:val="24"/>
                <w:highlight w:val="none"/>
                <w:lang w:val="en-US" w:eastAsia="zh-CN"/>
              </w:rPr>
              <w:t>2#通排风</w:t>
            </w:r>
            <w:r>
              <w:rPr>
                <w:rFonts w:hint="default" w:ascii="Times New Roman" w:hAnsi="Times New Roman" w:cs="Times New Roman"/>
                <w:color w:val="auto"/>
                <w:kern w:val="2"/>
                <w:sz w:val="24"/>
                <w:highlight w:val="none"/>
              </w:rPr>
              <w:t>管道</w:t>
            </w:r>
            <w:r>
              <w:rPr>
                <w:rFonts w:hint="default"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lang w:val="en-US" w:eastAsia="zh-CN"/>
              </w:rPr>
              <w:t>400×550mm</w:t>
            </w:r>
            <w:r>
              <w:rPr>
                <w:rFonts w:hint="default"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lang w:val="en-US" w:eastAsia="zh-CN"/>
              </w:rPr>
              <w:t>均设置在迷路</w:t>
            </w:r>
            <w:r>
              <w:rPr>
                <w:rFonts w:hint="default" w:ascii="Times New Roman" w:hAnsi="Times New Roman" w:cs="Times New Roman"/>
                <w:color w:val="auto"/>
                <w:kern w:val="2"/>
                <w:sz w:val="24"/>
                <w:highlight w:val="none"/>
              </w:rPr>
              <w:t>门上方</w:t>
            </w:r>
            <w:r>
              <w:rPr>
                <w:rFonts w:hint="default" w:ascii="Times New Roman" w:hAnsi="Times New Roman" w:cs="Times New Roman"/>
                <w:color w:val="auto"/>
                <w:kern w:val="2"/>
                <w:sz w:val="24"/>
                <w:highlight w:val="none"/>
                <w:lang w:val="en-US" w:eastAsia="zh-CN"/>
              </w:rPr>
              <w:t>并采用</w:t>
            </w:r>
            <w:r>
              <w:rPr>
                <w:rFonts w:hint="default"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lang w:val="en-US" w:eastAsia="zh-CN"/>
              </w:rPr>
              <w:t>S</w:t>
            </w:r>
            <w:r>
              <w:rPr>
                <w:rFonts w:hint="default"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lang w:val="en-US" w:eastAsia="zh-CN"/>
              </w:rPr>
              <w:t>型方式</w:t>
            </w:r>
            <w:r>
              <w:rPr>
                <w:rFonts w:hint="default" w:ascii="Times New Roman" w:hAnsi="Times New Roman" w:cs="Times New Roman"/>
                <w:color w:val="auto"/>
                <w:kern w:val="2"/>
                <w:sz w:val="24"/>
                <w:highlight w:val="none"/>
              </w:rPr>
              <w:t>穿墙</w:t>
            </w:r>
            <w:r>
              <w:rPr>
                <w:rFonts w:hint="default" w:ascii="Times New Roman" w:hAnsi="Times New Roman" w:cs="Times New Roman"/>
                <w:color w:val="auto"/>
                <w:kern w:val="2"/>
                <w:sz w:val="24"/>
                <w:highlight w:val="none"/>
                <w:lang w:val="en-US" w:eastAsia="zh-CN"/>
              </w:rPr>
              <w:t>连接</w:t>
            </w:r>
            <w:r>
              <w:rPr>
                <w:rFonts w:hint="eastAsia" w:ascii="Times New Roman" w:hAnsi="Times New Roman" w:cs="Times New Roman"/>
                <w:color w:val="auto"/>
                <w:kern w:val="2"/>
                <w:sz w:val="24"/>
                <w:highlight w:val="none"/>
                <w:lang w:val="en-US" w:eastAsia="zh-CN"/>
              </w:rPr>
              <w:t>至西北部的空调机房</w:t>
            </w:r>
            <w:r>
              <w:rPr>
                <w:rFonts w:hint="default" w:ascii="Times New Roman" w:hAnsi="Times New Roman" w:cs="Times New Roman"/>
                <w:color w:val="auto"/>
                <w:kern w:val="2"/>
                <w:sz w:val="24"/>
                <w:highlight w:val="none"/>
              </w:rPr>
              <w:t>，</w:t>
            </w:r>
            <w:r>
              <w:rPr>
                <w:rFonts w:hint="eastAsia" w:ascii="Times New Roman" w:hAnsi="Times New Roman" w:cs="Times New Roman"/>
                <w:color w:val="auto"/>
                <w:kern w:val="2"/>
                <w:sz w:val="24"/>
                <w:highlight w:val="none"/>
                <w:lang w:val="en-US" w:eastAsia="zh-CN"/>
              </w:rPr>
              <w:t>后输送</w:t>
            </w:r>
            <w:r>
              <w:rPr>
                <w:rFonts w:hint="default" w:ascii="Times New Roman" w:hAnsi="Times New Roman" w:cs="Times New Roman"/>
                <w:color w:val="auto"/>
                <w:kern w:val="2"/>
                <w:sz w:val="24"/>
                <w:highlight w:val="none"/>
                <w:lang w:val="en-US" w:eastAsia="zh-CN"/>
              </w:rPr>
              <w:t>至楼顶朝西南方向排放</w:t>
            </w:r>
            <w:r>
              <w:rPr>
                <w:rFonts w:hint="default" w:ascii="Times New Roman" w:hAnsi="Times New Roman" w:cs="Times New Roman"/>
                <w:color w:val="auto"/>
                <w:kern w:val="2"/>
                <w:sz w:val="24"/>
                <w:highlight w:val="none"/>
              </w:rPr>
              <w:t>。</w:t>
            </w:r>
            <w:r>
              <w:rPr>
                <w:rFonts w:hint="default" w:ascii="Times New Roman" w:hAnsi="Times New Roman" w:cs="Times New Roman"/>
                <w:color w:val="auto"/>
                <w:kern w:val="2"/>
                <w:sz w:val="24"/>
                <w:highlight w:val="none"/>
                <w:lang w:eastAsia="zh-CN"/>
              </w:rPr>
              <w:t>气流组织为上送风、下排风。</w:t>
            </w:r>
            <w:r>
              <w:rPr>
                <w:rFonts w:hint="default" w:ascii="Times New Roman" w:hAnsi="Times New Roman" w:cs="Times New Roman"/>
                <w:color w:val="auto"/>
                <w:kern w:val="2"/>
                <w:sz w:val="24"/>
                <w:highlight w:val="none"/>
                <w:lang w:val="en-US" w:eastAsia="zh-CN"/>
              </w:rPr>
              <w:t>进排风管道均采用镀锌钢管道。</w:t>
            </w:r>
            <w:r>
              <w:rPr>
                <w:rFonts w:hint="eastAsia" w:ascii="Times New Roman" w:hAnsi="Times New Roman" w:cs="Times New Roman"/>
                <w:color w:val="auto"/>
                <w:kern w:val="2"/>
                <w:sz w:val="24"/>
                <w:highlight w:val="none"/>
                <w:lang w:eastAsia="zh-CN"/>
              </w:rPr>
              <w:t>1#、2#、3#加速器治疗室</w:t>
            </w:r>
            <w:r>
              <w:rPr>
                <w:rFonts w:hint="default" w:ascii="Times New Roman" w:hAnsi="Times New Roman" w:cs="Times New Roman"/>
                <w:color w:val="auto"/>
                <w:kern w:val="2"/>
                <w:sz w:val="24"/>
                <w:highlight w:val="none"/>
              </w:rPr>
              <w:t>每小时换气</w:t>
            </w:r>
            <w:r>
              <w:rPr>
                <w:rFonts w:hint="default" w:ascii="Times New Roman" w:hAnsi="Times New Roman" w:cs="Times New Roman"/>
                <w:color w:val="auto"/>
                <w:kern w:val="2"/>
                <w:sz w:val="24"/>
                <w:highlight w:val="none"/>
                <w:lang w:val="en-US" w:eastAsia="zh-CN"/>
              </w:rPr>
              <w:t>约10</w:t>
            </w:r>
            <w:r>
              <w:rPr>
                <w:rFonts w:hint="default" w:ascii="Times New Roman" w:hAnsi="Times New Roman" w:cs="Times New Roman"/>
                <w:color w:val="auto"/>
                <w:kern w:val="2"/>
                <w:sz w:val="24"/>
                <w:highlight w:val="none"/>
              </w:rPr>
              <w:t>次，</w:t>
            </w:r>
            <w:r>
              <w:rPr>
                <w:rFonts w:hint="eastAsia" w:ascii="Times New Roman" w:hAnsi="Times New Roman" w:cs="Times New Roman"/>
                <w:color w:val="auto"/>
                <w:kern w:val="2"/>
                <w:sz w:val="24"/>
                <w:highlight w:val="none"/>
                <w:lang w:eastAsia="zh-CN"/>
              </w:rPr>
              <w:t>排风量约</w:t>
            </w:r>
            <w:r>
              <w:rPr>
                <w:rFonts w:hint="eastAsia" w:ascii="Times New Roman" w:hAnsi="Times New Roman" w:cs="Times New Roman"/>
                <w:color w:val="auto"/>
                <w:kern w:val="2"/>
                <w:sz w:val="24"/>
                <w:highlight w:val="none"/>
                <w:lang w:val="en-US" w:eastAsia="zh-CN"/>
              </w:rPr>
              <w:t>4286.4</w:t>
            </w:r>
            <w:r>
              <w:rPr>
                <w:rFonts w:hint="default" w:ascii="Times New Roman" w:hAnsi="Times New Roman" w:cs="Times New Roman"/>
                <w:color w:val="auto"/>
                <w:kern w:val="2"/>
                <w:sz w:val="24"/>
                <w:highlight w:val="none"/>
              </w:rPr>
              <w:t>m</w:t>
            </w:r>
            <w:r>
              <w:rPr>
                <w:rFonts w:hint="default" w:ascii="Times New Roman" w:hAnsi="Times New Roman" w:cs="Times New Roman"/>
                <w:color w:val="auto"/>
                <w:kern w:val="2"/>
                <w:sz w:val="24"/>
                <w:highlight w:val="none"/>
                <w:vertAlign w:val="superscript"/>
              </w:rPr>
              <w:t>3</w:t>
            </w:r>
            <w:r>
              <w:rPr>
                <w:rFonts w:hint="default" w:ascii="Times New Roman" w:hAnsi="Times New Roman" w:cs="Times New Roman"/>
                <w:color w:val="auto"/>
                <w:kern w:val="2"/>
                <w:sz w:val="24"/>
                <w:highlight w:val="none"/>
              </w:rPr>
              <w:t>/h</w:t>
            </w:r>
            <w:r>
              <w:rPr>
                <w:rFonts w:hint="eastAsia" w:ascii="Times New Roman" w:hAnsi="Times New Roman" w:cs="Times New Roman"/>
                <w:color w:val="auto"/>
                <w:kern w:val="2"/>
                <w:sz w:val="24"/>
                <w:highlight w:val="none"/>
                <w:lang w:eastAsia="zh-CN"/>
              </w:rPr>
              <w:t>（</w:t>
            </w:r>
            <w:r>
              <w:rPr>
                <w:rFonts w:hint="eastAsia" w:ascii="Times New Roman" w:hAnsi="Times New Roman" w:cs="Times New Roman"/>
                <w:color w:val="auto"/>
                <w:kern w:val="2"/>
                <w:sz w:val="24"/>
                <w:highlight w:val="none"/>
                <w:lang w:val="en-US" w:eastAsia="zh-CN"/>
              </w:rPr>
              <w:t>见附图15</w:t>
            </w:r>
            <w:r>
              <w:rPr>
                <w:rFonts w:hint="eastAsia"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二</w:t>
            </w:r>
            <w:r>
              <w:rPr>
                <w:rFonts w:hint="default" w:ascii="Times New Roman" w:hAnsi="Times New Roman" w:cs="Times New Roman"/>
                <w:b/>
                <w:bCs/>
                <w:color w:val="auto"/>
                <w:sz w:val="28"/>
                <w:szCs w:val="28"/>
                <w:highlight w:val="none"/>
              </w:rPr>
              <w:t>、后装机的环境影响分析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（一）γ射线的环境影响分析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8"/>
                <w:szCs w:val="28"/>
                <w:highlight w:val="none"/>
              </w:rPr>
            </w:pPr>
            <w:r>
              <w:rPr>
                <w:rFonts w:hint="default" w:ascii="Times New Roman" w:hAnsi="Times New Roman" w:cs="Times New Roman"/>
                <w:color w:val="auto"/>
                <w:sz w:val="24"/>
                <w:highlight w:val="none"/>
                <w:vertAlign w:val="superscript"/>
              </w:rPr>
              <w:t xml:space="preserve">    192</w:t>
            </w:r>
            <w:r>
              <w:rPr>
                <w:rFonts w:hint="default" w:ascii="Times New Roman" w:hAnsi="Times New Roman" w:cs="Times New Roman"/>
                <w:color w:val="auto"/>
                <w:sz w:val="24"/>
                <w:highlight w:val="none"/>
              </w:rPr>
              <w:t>Ir放射源虽有β、γ两种辐射，但β射线在空气中的射程较短，经放射源的内包鞘和治疗机的相关设施屏蔽后，在环境辐射方面已无影响，故本次环评中重点分析</w:t>
            </w:r>
            <w:r>
              <w:rPr>
                <w:rFonts w:hint="default" w:ascii="Times New Roman" w:hAnsi="Times New Roman" w:cs="Times New Roman"/>
                <w:color w:val="auto"/>
                <w:sz w:val="24"/>
                <w:highlight w:val="none"/>
                <w:vertAlign w:val="superscript"/>
              </w:rPr>
              <w:t>192</w:t>
            </w:r>
            <w:r>
              <w:rPr>
                <w:rFonts w:hint="default" w:ascii="Times New Roman" w:hAnsi="Times New Roman" w:cs="Times New Roman"/>
                <w:color w:val="auto"/>
                <w:sz w:val="24"/>
                <w:highlight w:val="none"/>
              </w:rPr>
              <w:t>Ir产生的γ射线的环境影响问题。</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后装机为一铸钢容器，内填充金属钨和贫化铀以及铅作防护材料，使源在容器内时其泄漏辐射符合国家标准要求。根据后装γ源近距离治疗卫生防护标准（GBZ121-2017），后装治疗机贮源器内装载允许最大活度时，距离贮源器表面5cm 处的任何位置，泄漏辐射的空气比释动能率不得大于50μGy/h</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距离贮源器100cm 处的球面上，任何一点的泄漏辐射的空气比释动能率不得大于5μGy/h。由此可见，当放射源处于贮存状态时，机体的漏射线经过屏蔽墙的屏蔽作用后，对机房外的人员几乎没有影响，因此本次评价不考虑后装机非工作状态下对机房外其他人员的影响，对于后装机治疗项目的评价分析如下：</w:t>
            </w: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63" w:beforeLines="20" w:beforeAutospacing="0" w:after="0" w:afterAutospacing="0"/>
              <w:ind w:left="0" w:right="0"/>
              <w:textAlignment w:val="auto"/>
              <w:rPr>
                <w:rFonts w:hint="default" w:ascii="Times New Roman" w:hAnsi="Times New Roman" w:eastAsia="黑体" w:cs="Times New Roman"/>
                <w:color w:val="auto"/>
                <w:kern w:val="2"/>
                <w:highlight w:val="none"/>
                <w:lang w:val="en-US" w:eastAsia="zh-CN"/>
              </w:rPr>
            </w:pPr>
            <w:r>
              <w:rPr>
                <w:rFonts w:hint="default" w:ascii="Times New Roman" w:hAnsi="Times New Roman" w:eastAsia="黑体" w:cs="Times New Roman"/>
                <w:color w:val="auto"/>
                <w:kern w:val="2"/>
                <w:highlight w:val="none"/>
                <w:lang w:val="en-US" w:eastAsia="zh-CN"/>
              </w:rPr>
              <w:t>1、后装治疗室屏蔽防护设计及周围剂量计算</w:t>
            </w:r>
          </w:p>
          <w:p>
            <w:pPr>
              <w:pStyle w:val="2"/>
              <w:keepNext w:val="0"/>
              <w:keepLines w:val="0"/>
              <w:pageBreakBefore w:val="0"/>
              <w:widowControl w:val="0"/>
              <w:suppressLineNumbers w:val="0"/>
              <w:kinsoku/>
              <w:wordWrap/>
              <w:overflowPunct/>
              <w:topLinePunct w:val="0"/>
              <w:autoSpaceDE w:val="0"/>
              <w:autoSpaceDN w:val="0"/>
              <w:bidi w:val="0"/>
              <w:adjustRightInd w:val="0"/>
              <w:snapToGrid/>
              <w:spacing w:before="63" w:beforeLines="2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rPr>
              <w:t>后装治疗</w:t>
            </w:r>
            <w:r>
              <w:rPr>
                <w:rFonts w:hint="default" w:ascii="Times New Roman" w:hAnsi="Times New Roman" w:cs="Times New Roman"/>
                <w:b w:val="0"/>
                <w:bCs w:val="0"/>
                <w:color w:val="auto"/>
                <w:kern w:val="2"/>
                <w:sz w:val="24"/>
                <w:szCs w:val="24"/>
                <w:highlight w:val="none"/>
                <w:lang w:val="en-US" w:eastAsia="zh-CN"/>
              </w:rPr>
              <w:t>室</w:t>
            </w:r>
            <w:r>
              <w:rPr>
                <w:rFonts w:hint="default" w:ascii="Times New Roman" w:hAnsi="Times New Roman" w:eastAsia="宋体" w:cs="Times New Roman"/>
                <w:b w:val="0"/>
                <w:bCs w:val="0"/>
                <w:color w:val="auto"/>
                <w:kern w:val="2"/>
                <w:sz w:val="24"/>
                <w:szCs w:val="24"/>
                <w:highlight w:val="none"/>
                <w:lang w:val="en-US" w:eastAsia="zh-CN"/>
              </w:rPr>
              <w:t>由主体、迷路、防护门组成，后装治疗室主体内径为</w:t>
            </w:r>
            <w:r>
              <w:rPr>
                <w:rFonts w:hint="default" w:ascii="Times New Roman" w:hAnsi="Times New Roman" w:cs="Times New Roman"/>
                <w:b w:val="0"/>
                <w:bCs w:val="0"/>
                <w:color w:val="auto"/>
                <w:kern w:val="2"/>
                <w:sz w:val="24"/>
                <w:szCs w:val="24"/>
                <w:highlight w:val="none"/>
                <w:lang w:val="en-US" w:eastAsia="zh-CN"/>
              </w:rPr>
              <w:t>6.1</w:t>
            </w:r>
            <w:r>
              <w:rPr>
                <w:rFonts w:hint="default" w:ascii="Times New Roman" w:hAnsi="Times New Roman" w:eastAsia="宋体" w:cs="Times New Roman"/>
                <w:b w:val="0"/>
                <w:bCs w:val="0"/>
                <w:color w:val="auto"/>
                <w:kern w:val="2"/>
                <w:sz w:val="24"/>
                <w:szCs w:val="24"/>
                <w:highlight w:val="none"/>
                <w:lang w:val="en-US" w:eastAsia="zh-CN"/>
              </w:rPr>
              <w:t>m×</w:t>
            </w:r>
            <w:r>
              <w:rPr>
                <w:rFonts w:hint="default" w:ascii="Times New Roman" w:hAnsi="Times New Roman" w:cs="Times New Roman"/>
                <w:b w:val="0"/>
                <w:bCs w:val="0"/>
                <w:color w:val="auto"/>
                <w:kern w:val="2"/>
                <w:sz w:val="24"/>
                <w:szCs w:val="24"/>
                <w:highlight w:val="none"/>
                <w:lang w:val="en-US" w:eastAsia="zh-CN"/>
              </w:rPr>
              <w:t>4.7</w:t>
            </w:r>
            <w:r>
              <w:rPr>
                <w:rFonts w:hint="default" w:ascii="Times New Roman" w:hAnsi="Times New Roman" w:eastAsia="宋体" w:cs="Times New Roman"/>
                <w:b w:val="0"/>
                <w:bCs w:val="0"/>
                <w:color w:val="auto"/>
                <w:kern w:val="2"/>
                <w:sz w:val="24"/>
                <w:szCs w:val="24"/>
                <w:highlight w:val="none"/>
                <w:lang w:val="en-US" w:eastAsia="zh-CN"/>
              </w:rPr>
              <w:t>m×</w:t>
            </w:r>
            <w:r>
              <w:rPr>
                <w:rFonts w:hint="default" w:ascii="Times New Roman" w:hAnsi="Times New Roman" w:cs="Times New Roman"/>
                <w:b w:val="0"/>
                <w:bCs w:val="0"/>
                <w:color w:val="auto"/>
                <w:kern w:val="2"/>
                <w:sz w:val="24"/>
                <w:szCs w:val="24"/>
                <w:highlight w:val="none"/>
                <w:lang w:val="en-US" w:eastAsia="zh-CN"/>
              </w:rPr>
              <w:t>3.4</w:t>
            </w:r>
            <w:r>
              <w:rPr>
                <w:rFonts w:hint="default" w:ascii="Times New Roman" w:hAnsi="Times New Roman" w:eastAsia="宋体" w:cs="Times New Roman"/>
                <w:b w:val="0"/>
                <w:bCs w:val="0"/>
                <w:color w:val="auto"/>
                <w:kern w:val="2"/>
                <w:sz w:val="24"/>
                <w:szCs w:val="24"/>
                <w:highlight w:val="none"/>
                <w:lang w:val="en-US" w:eastAsia="zh-CN"/>
              </w:rPr>
              <w:t>m，治疗室迷路内径宽</w:t>
            </w:r>
            <w:r>
              <w:rPr>
                <w:rFonts w:hint="default" w:ascii="Times New Roman" w:hAnsi="Times New Roman" w:cs="Times New Roman"/>
                <w:b w:val="0"/>
                <w:bCs w:val="0"/>
                <w:color w:val="auto"/>
                <w:kern w:val="2"/>
                <w:sz w:val="24"/>
                <w:szCs w:val="24"/>
                <w:highlight w:val="none"/>
                <w:lang w:val="en-US" w:eastAsia="zh-CN"/>
              </w:rPr>
              <w:t>、</w:t>
            </w:r>
            <w:r>
              <w:rPr>
                <w:rFonts w:hint="default" w:ascii="Times New Roman" w:hAnsi="Times New Roman" w:eastAsia="宋体" w:cs="Times New Roman"/>
                <w:b w:val="0"/>
                <w:bCs w:val="0"/>
                <w:color w:val="auto"/>
                <w:kern w:val="2"/>
                <w:sz w:val="24"/>
                <w:szCs w:val="24"/>
                <w:highlight w:val="none"/>
                <w:lang w:val="en-US" w:eastAsia="zh-CN"/>
              </w:rPr>
              <w:t>入口宽</w:t>
            </w:r>
            <w:r>
              <w:rPr>
                <w:rFonts w:hint="default" w:ascii="Times New Roman" w:hAnsi="Times New Roman" w:cs="Times New Roman"/>
                <w:b w:val="0"/>
                <w:bCs w:val="0"/>
                <w:color w:val="auto"/>
                <w:kern w:val="2"/>
                <w:sz w:val="24"/>
                <w:szCs w:val="24"/>
                <w:highlight w:val="none"/>
                <w:lang w:val="en-US" w:eastAsia="zh-CN"/>
              </w:rPr>
              <w:t>均为</w:t>
            </w:r>
            <w:r>
              <w:rPr>
                <w:rFonts w:hint="default" w:ascii="Times New Roman" w:hAnsi="Times New Roman" w:eastAsia="宋体" w:cs="Times New Roman"/>
                <w:b w:val="0"/>
                <w:bCs w:val="0"/>
                <w:color w:val="auto"/>
                <w:kern w:val="2"/>
                <w:sz w:val="24"/>
                <w:szCs w:val="24"/>
                <w:highlight w:val="none"/>
                <w:lang w:val="en-US" w:eastAsia="zh-CN"/>
              </w:rPr>
              <w:t>1</w:t>
            </w:r>
            <w:r>
              <w:rPr>
                <w:rFonts w:hint="default" w:ascii="Times New Roman" w:hAnsi="Times New Roman" w:cs="Times New Roman"/>
                <w:b w:val="0"/>
                <w:bCs w:val="0"/>
                <w:color w:val="auto"/>
                <w:kern w:val="2"/>
                <w:sz w:val="24"/>
                <w:szCs w:val="24"/>
                <w:highlight w:val="none"/>
                <w:lang w:val="en-US" w:eastAsia="zh-CN"/>
              </w:rPr>
              <w:t>.5</w:t>
            </w:r>
            <w:r>
              <w:rPr>
                <w:rFonts w:hint="default" w:ascii="Times New Roman" w:hAnsi="Times New Roman" w:eastAsia="宋体" w:cs="Times New Roman"/>
                <w:b w:val="0"/>
                <w:bCs w:val="0"/>
                <w:color w:val="auto"/>
                <w:kern w:val="2"/>
                <w:sz w:val="24"/>
                <w:szCs w:val="24"/>
                <w:highlight w:val="none"/>
                <w:lang w:val="en-US" w:eastAsia="zh-CN"/>
              </w:rPr>
              <w:t>m，外入口宽为</w:t>
            </w:r>
            <w:r>
              <w:rPr>
                <w:rFonts w:hint="default" w:ascii="Times New Roman" w:hAnsi="Times New Roman" w:cs="Times New Roman"/>
                <w:b w:val="0"/>
                <w:bCs w:val="0"/>
                <w:color w:val="auto"/>
                <w:kern w:val="2"/>
                <w:sz w:val="24"/>
                <w:szCs w:val="24"/>
                <w:highlight w:val="none"/>
                <w:lang w:val="en-US" w:eastAsia="zh-CN"/>
              </w:rPr>
              <w:t>2.4</w:t>
            </w:r>
            <w:r>
              <w:rPr>
                <w:rFonts w:hint="default" w:ascii="Times New Roman" w:hAnsi="Times New Roman" w:eastAsia="宋体" w:cs="Times New Roman"/>
                <w:b w:val="0"/>
                <w:bCs w:val="0"/>
                <w:color w:val="auto"/>
                <w:kern w:val="2"/>
                <w:sz w:val="24"/>
                <w:szCs w:val="24"/>
                <w:highlight w:val="none"/>
                <w:lang w:val="en-US" w:eastAsia="zh-CN"/>
              </w:rPr>
              <w:t>m。</w:t>
            </w:r>
            <w:r>
              <w:rPr>
                <w:rFonts w:hint="default" w:ascii="Times New Roman" w:hAnsi="Times New Roman" w:eastAsia="宋体" w:cs="Times New Roman"/>
                <w:color w:val="auto"/>
                <w:kern w:val="2"/>
                <w:sz w:val="24"/>
                <w:szCs w:val="24"/>
                <w:highlight w:val="none"/>
                <w:lang w:val="en-US" w:eastAsia="zh-CN" w:bidi="ar-SA"/>
              </w:rPr>
              <w:t>后装治疗室四面墙体、</w:t>
            </w:r>
            <w:r>
              <w:rPr>
                <w:rFonts w:hint="default" w:ascii="Times New Roman" w:hAnsi="Times New Roman" w:cs="Times New Roman"/>
                <w:color w:val="auto"/>
                <w:kern w:val="2"/>
                <w:sz w:val="24"/>
                <w:szCs w:val="24"/>
                <w:highlight w:val="none"/>
                <w:lang w:val="en-US" w:eastAsia="zh-CN" w:bidi="ar-SA"/>
              </w:rPr>
              <w:t>迷路</w:t>
            </w:r>
            <w:r>
              <w:rPr>
                <w:rFonts w:hint="default" w:ascii="Times New Roman" w:hAnsi="Times New Roman" w:eastAsia="宋体" w:cs="Times New Roman"/>
                <w:color w:val="auto"/>
                <w:kern w:val="2"/>
                <w:sz w:val="24"/>
                <w:szCs w:val="24"/>
                <w:highlight w:val="none"/>
                <w:lang w:val="en-US" w:eastAsia="zh-CN" w:bidi="ar-SA"/>
              </w:rPr>
              <w:t>和顶部均为钢筋混凝土，其西侧“L”型</w:t>
            </w:r>
            <w:r>
              <w:rPr>
                <w:rFonts w:hint="default" w:ascii="Times New Roman" w:hAnsi="Times New Roman" w:cs="Times New Roman"/>
                <w:color w:val="auto"/>
                <w:kern w:val="2"/>
                <w:sz w:val="24"/>
                <w:szCs w:val="24"/>
                <w:highlight w:val="none"/>
                <w:lang w:val="en-US" w:eastAsia="zh-CN" w:bidi="ar-SA"/>
              </w:rPr>
              <w:t>迷路</w:t>
            </w:r>
            <w:r>
              <w:rPr>
                <w:rFonts w:hint="default" w:ascii="Times New Roman" w:hAnsi="Times New Roman" w:eastAsia="宋体" w:cs="Times New Roman"/>
                <w:color w:val="auto"/>
                <w:kern w:val="2"/>
                <w:sz w:val="24"/>
                <w:szCs w:val="24"/>
                <w:highlight w:val="none"/>
                <w:lang w:val="en-US" w:eastAsia="zh-CN" w:bidi="ar-SA"/>
              </w:rPr>
              <w:t>内墙和外墙厚</w:t>
            </w:r>
            <w:r>
              <w:rPr>
                <w:rFonts w:hint="default" w:ascii="Times New Roman" w:hAnsi="Times New Roman" w:cs="Times New Roman"/>
                <w:color w:val="auto"/>
                <w:kern w:val="2"/>
                <w:sz w:val="24"/>
                <w:szCs w:val="24"/>
                <w:highlight w:val="none"/>
                <w:lang w:val="en-US" w:eastAsia="zh-CN" w:bidi="ar-SA"/>
              </w:rPr>
              <w:t>均</w:t>
            </w:r>
            <w:r>
              <w:rPr>
                <w:rFonts w:hint="default" w:ascii="Times New Roman" w:hAnsi="Times New Roman" w:eastAsia="宋体" w:cs="Times New Roman"/>
                <w:color w:val="auto"/>
                <w:kern w:val="2"/>
                <w:sz w:val="24"/>
                <w:szCs w:val="24"/>
                <w:highlight w:val="none"/>
                <w:lang w:val="en-US" w:eastAsia="zh-CN" w:bidi="ar-SA"/>
              </w:rPr>
              <w:t>为</w:t>
            </w:r>
            <w:r>
              <w:rPr>
                <w:rFonts w:hint="default" w:ascii="Times New Roman" w:hAnsi="Times New Roman"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00mm，东</w:t>
            </w:r>
            <w:r>
              <w:rPr>
                <w:rFonts w:hint="default" w:ascii="Times New Roman" w:hAnsi="Times New Roman" w:cs="Times New Roman"/>
                <w:color w:val="auto"/>
                <w:kern w:val="2"/>
                <w:sz w:val="24"/>
                <w:szCs w:val="24"/>
                <w:highlight w:val="none"/>
                <w:lang w:val="en-US" w:eastAsia="zh-CN" w:bidi="ar-SA"/>
              </w:rPr>
              <w:t>北部</w:t>
            </w:r>
            <w:r>
              <w:rPr>
                <w:rFonts w:hint="default" w:ascii="Times New Roman" w:hAnsi="Times New Roman" w:eastAsia="宋体" w:cs="Times New Roman"/>
                <w:color w:val="auto"/>
                <w:kern w:val="2"/>
                <w:sz w:val="24"/>
                <w:szCs w:val="24"/>
                <w:highlight w:val="none"/>
                <w:lang w:val="en-US" w:eastAsia="zh-CN" w:bidi="ar-SA"/>
              </w:rPr>
              <w:t>墙体、</w:t>
            </w:r>
            <w:r>
              <w:rPr>
                <w:rFonts w:hint="default" w:ascii="Times New Roman" w:hAnsi="Times New Roman" w:cs="Times New Roman"/>
                <w:color w:val="auto"/>
                <w:kern w:val="2"/>
                <w:sz w:val="24"/>
                <w:szCs w:val="24"/>
                <w:highlight w:val="none"/>
                <w:lang w:val="en-US" w:eastAsia="zh-CN" w:bidi="ar-SA"/>
              </w:rPr>
              <w:t>西北部</w:t>
            </w:r>
            <w:r>
              <w:rPr>
                <w:rFonts w:hint="default" w:ascii="Times New Roman" w:hAnsi="Times New Roman" w:eastAsia="宋体" w:cs="Times New Roman"/>
                <w:color w:val="auto"/>
                <w:kern w:val="2"/>
                <w:sz w:val="24"/>
                <w:szCs w:val="24"/>
                <w:highlight w:val="none"/>
                <w:lang w:val="en-US" w:eastAsia="zh-CN" w:bidi="ar-SA"/>
              </w:rPr>
              <w:t>墙体、</w:t>
            </w:r>
            <w:r>
              <w:rPr>
                <w:rFonts w:hint="default" w:ascii="Times New Roman" w:hAnsi="Times New Roman" w:cs="Times New Roman"/>
                <w:color w:val="auto"/>
                <w:kern w:val="2"/>
                <w:sz w:val="24"/>
                <w:szCs w:val="24"/>
                <w:highlight w:val="none"/>
                <w:lang w:val="en-US" w:eastAsia="zh-CN" w:bidi="ar-SA"/>
              </w:rPr>
              <w:t>西南部</w:t>
            </w:r>
            <w:r>
              <w:rPr>
                <w:rFonts w:hint="default" w:ascii="Times New Roman" w:hAnsi="Times New Roman" w:eastAsia="宋体" w:cs="Times New Roman"/>
                <w:color w:val="auto"/>
                <w:kern w:val="2"/>
                <w:sz w:val="24"/>
                <w:szCs w:val="24"/>
                <w:highlight w:val="none"/>
                <w:lang w:val="en-US" w:eastAsia="zh-CN" w:bidi="ar-SA"/>
              </w:rPr>
              <w:t>墙体和顶部厚均为800mm，防护门为</w:t>
            </w:r>
            <w:r>
              <w:rPr>
                <w:rFonts w:hint="default" w:ascii="Times New Roman" w:hAnsi="Times New Roman"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mm铅当量单扇电动推拉门。</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后装治疗室使用的放射源为</w:t>
            </w:r>
            <w:r>
              <w:rPr>
                <w:rFonts w:hint="default" w:ascii="Times New Roman" w:hAnsi="Times New Roman" w:eastAsia="宋体" w:cs="Times New Roman"/>
                <w:b w:val="0"/>
                <w:bCs w:val="0"/>
                <w:color w:val="auto"/>
                <w:kern w:val="2"/>
                <w:sz w:val="24"/>
                <w:szCs w:val="24"/>
                <w:highlight w:val="none"/>
                <w:vertAlign w:val="superscript"/>
              </w:rPr>
              <w:t>192</w:t>
            </w:r>
            <w:r>
              <w:rPr>
                <w:rFonts w:hint="default" w:ascii="Times New Roman" w:hAnsi="Times New Roman" w:eastAsia="宋体" w:cs="Times New Roman"/>
                <w:b w:val="0"/>
                <w:bCs w:val="0"/>
                <w:color w:val="auto"/>
                <w:kern w:val="2"/>
                <w:sz w:val="24"/>
                <w:szCs w:val="24"/>
                <w:highlight w:val="none"/>
              </w:rPr>
              <w:t>Ir</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rPr>
              <w:t>放射源活度为3.7×10</w:t>
            </w:r>
            <w:r>
              <w:rPr>
                <w:rFonts w:hint="default" w:ascii="Times New Roman" w:hAnsi="Times New Roman" w:eastAsia="宋体" w:cs="Times New Roman"/>
                <w:b w:val="0"/>
                <w:bCs w:val="0"/>
                <w:color w:val="auto"/>
                <w:kern w:val="2"/>
                <w:sz w:val="24"/>
                <w:szCs w:val="24"/>
                <w:highlight w:val="none"/>
                <w:vertAlign w:val="superscript"/>
                <w:lang w:val="en-US" w:eastAsia="zh-CN"/>
              </w:rPr>
              <w:t>11</w:t>
            </w:r>
            <w:r>
              <w:rPr>
                <w:rFonts w:hint="default" w:ascii="Times New Roman" w:hAnsi="Times New Roman" w:eastAsia="宋体" w:cs="Times New Roman"/>
                <w:b w:val="0"/>
                <w:bCs w:val="0"/>
                <w:color w:val="auto"/>
                <w:kern w:val="2"/>
                <w:sz w:val="24"/>
                <w:szCs w:val="24"/>
                <w:highlight w:val="none"/>
                <w:lang w:val="en-US" w:eastAsia="zh-CN"/>
              </w:rPr>
              <w:t>Bq，设备摆放在治疗室北侧。</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default" w:ascii="Times New Roman" w:hAnsi="Times New Roman" w:cs="Times New Roman"/>
                <w:b/>
                <w:bCs/>
                <w:color w:val="auto"/>
                <w:kern w:val="2"/>
                <w:highlight w:val="none"/>
              </w:rPr>
            </w:pPr>
            <w:r>
              <w:rPr>
                <w:rFonts w:hint="default" w:ascii="Times New Roman" w:hAnsi="Times New Roman" w:eastAsia="宋体" w:cs="Times New Roman"/>
                <w:b/>
                <w:bCs/>
                <w:color w:val="auto"/>
                <w:sz w:val="24"/>
                <w:szCs w:val="24"/>
                <w:highlight w:val="none"/>
                <w:lang w:val="en-US" w:eastAsia="zh-CN"/>
              </w:rPr>
              <w:t>后装机</w:t>
            </w:r>
            <w:r>
              <w:rPr>
                <w:rFonts w:hint="default" w:ascii="Times New Roman" w:hAnsi="Times New Roman" w:eastAsia="宋体" w:cs="Times New Roman"/>
                <w:b/>
                <w:bCs/>
                <w:color w:val="auto"/>
                <w:kern w:val="0"/>
                <w:sz w:val="24"/>
                <w:szCs w:val="24"/>
                <w:highlight w:val="none"/>
              </w:rPr>
              <w:t>关注点设立及剂量率参考水平</w:t>
            </w:r>
          </w:p>
          <w:p>
            <w:pPr>
              <w:keepNext w:val="0"/>
              <w:keepLines w:val="0"/>
              <w:suppressLineNumbers w:val="0"/>
              <w:spacing w:before="9" w:beforeAutospacing="0" w:after="0" w:afterAutospacing="0"/>
              <w:ind w:left="0" w:right="61"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Times New Roman" w:cs="Times New Roman"/>
                <w:b/>
                <w:bCs/>
                <w:color w:val="auto"/>
                <w:sz w:val="21"/>
                <w:szCs w:val="21"/>
                <w:highlight w:val="none"/>
              </w:rPr>
              <w:t>11-</w:t>
            </w:r>
            <w:r>
              <w:rPr>
                <w:rFonts w:hint="default" w:ascii="Times New Roman" w:hAnsi="Times New Roman" w:cs="Times New Roman"/>
                <w:b/>
                <w:bCs/>
                <w:color w:val="auto"/>
                <w:sz w:val="21"/>
                <w:szCs w:val="21"/>
                <w:highlight w:val="none"/>
                <w:lang w:val="en-US" w:eastAsia="zh-CN"/>
              </w:rPr>
              <w:t xml:space="preserve">20 </w:t>
            </w:r>
            <w:r>
              <w:rPr>
                <w:rFonts w:hint="default" w:ascii="Times New Roman" w:hAnsi="Times New Roman" w:cs="Times New Roman"/>
                <w:b/>
                <w:bCs/>
                <w:color w:val="auto"/>
                <w:sz w:val="21"/>
                <w:szCs w:val="21"/>
                <w:highlight w:val="none"/>
                <w:lang w:eastAsia="zh-CN"/>
              </w:rPr>
              <w:t>后装治疗室</w:t>
            </w:r>
            <w:r>
              <w:rPr>
                <w:rFonts w:hint="default" w:ascii="Times New Roman" w:hAnsi="Times New Roman" w:eastAsia="宋体" w:cs="Times New Roman"/>
                <w:b/>
                <w:bCs/>
                <w:color w:val="auto"/>
                <w:sz w:val="21"/>
                <w:szCs w:val="21"/>
                <w:highlight w:val="none"/>
              </w:rPr>
              <w:t>外主要关注点布置</w:t>
            </w:r>
          </w:p>
          <w:tbl>
            <w:tblPr>
              <w:tblStyle w:val="17"/>
              <w:tblW w:w="88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3865"/>
              <w:gridCol w:w="1824"/>
              <w:gridCol w:w="1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Cs w:val="21"/>
                      <w:highlight w:val="none"/>
                      <w:lang w:val="en-US" w:eastAsia="zh-CN"/>
                    </w:rPr>
                  </w:pPr>
                  <w:r>
                    <w:rPr>
                      <w:rFonts w:hint="default" w:ascii="Times New Roman" w:hAnsi="Times New Roman" w:eastAsia="宋体" w:cs="Times New Roman"/>
                      <w:b/>
                      <w:bCs w:val="0"/>
                      <w:i w:val="0"/>
                      <w:iCs w:val="0"/>
                      <w:color w:val="auto"/>
                      <w:szCs w:val="21"/>
                      <w:highlight w:val="none"/>
                      <w:lang w:val="en-US" w:eastAsia="zh-CN"/>
                    </w:rPr>
                    <w:t>位置编号</w:t>
                  </w:r>
                </w:p>
              </w:tc>
              <w:tc>
                <w:tcPr>
                  <w:tcW w:w="3865" w:type="dxa"/>
                  <w:noWrap w:val="0"/>
                  <w:vAlign w:val="center"/>
                </w:tcPr>
                <w:p>
                  <w:pPr>
                    <w:pStyle w:val="25"/>
                    <w:keepNext w:val="0"/>
                    <w:keepLines w:val="0"/>
                    <w:suppressLineNumbers w:val="0"/>
                    <w:spacing w:before="0" w:beforeAutospacing="0" w:after="0" w:afterAutospacing="0" w:line="237" w:lineRule="exact"/>
                    <w:ind w:left="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位置</w:t>
                  </w:r>
                </w:p>
              </w:tc>
              <w:tc>
                <w:tcPr>
                  <w:tcW w:w="1824" w:type="dxa"/>
                  <w:noWrap w:val="0"/>
                  <w:vAlign w:val="center"/>
                </w:tcPr>
                <w:p>
                  <w:pPr>
                    <w:pStyle w:val="25"/>
                    <w:keepNext w:val="0"/>
                    <w:keepLines w:val="0"/>
                    <w:suppressLineNumbers w:val="0"/>
                    <w:spacing w:before="0" w:beforeAutospacing="0" w:after="0" w:afterAutospacing="0" w:line="237" w:lineRule="exact"/>
                    <w:ind w:left="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照射途径</w:t>
                  </w:r>
                </w:p>
              </w:tc>
              <w:tc>
                <w:tcPr>
                  <w:tcW w:w="1453" w:type="dxa"/>
                  <w:noWrap w:val="0"/>
                  <w:vAlign w:val="center"/>
                </w:tcPr>
                <w:p>
                  <w:pPr>
                    <w:pStyle w:val="25"/>
                    <w:keepNext w:val="0"/>
                    <w:keepLines w:val="0"/>
                    <w:suppressLineNumbers w:val="0"/>
                    <w:spacing w:before="0" w:beforeAutospacing="0" w:after="0" w:afterAutospacing="0" w:line="237" w:lineRule="exact"/>
                    <w:ind w:left="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717"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A</w:t>
                  </w:r>
                </w:p>
              </w:tc>
              <w:tc>
                <w:tcPr>
                  <w:tcW w:w="3865"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西北</w:t>
                  </w:r>
                  <w:r>
                    <w:rPr>
                      <w:rFonts w:hint="default" w:ascii="Times New Roman" w:hAnsi="Times New Roman" w:eastAsia="宋体" w:cs="Times New Roman"/>
                      <w:bCs/>
                      <w:color w:val="auto"/>
                      <w:sz w:val="21"/>
                      <w:szCs w:val="21"/>
                      <w:highlight w:val="none"/>
                      <w:lang w:val="en-US" w:eastAsia="zh-CN"/>
                    </w:rPr>
                    <w:t>面屏蔽墙外0.3m（走道）</w:t>
                  </w:r>
                </w:p>
              </w:tc>
              <w:tc>
                <w:tcPr>
                  <w:tcW w:w="1824"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初级辐射</w:t>
                  </w:r>
                </w:p>
              </w:tc>
              <w:tc>
                <w:tcPr>
                  <w:tcW w:w="1453"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公众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B</w:t>
                  </w:r>
                </w:p>
              </w:tc>
              <w:tc>
                <w:tcPr>
                  <w:tcW w:w="38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西南</w:t>
                  </w:r>
                  <w:r>
                    <w:rPr>
                      <w:rFonts w:hint="default" w:ascii="Times New Roman" w:hAnsi="Times New Roman" w:eastAsia="宋体" w:cs="Times New Roman"/>
                      <w:bCs/>
                      <w:color w:val="auto"/>
                      <w:kern w:val="2"/>
                      <w:sz w:val="21"/>
                      <w:szCs w:val="21"/>
                      <w:highlight w:val="none"/>
                      <w:lang w:val="en-US" w:eastAsia="zh-CN" w:bidi="ar-SA"/>
                    </w:rPr>
                    <w:t>面</w:t>
                  </w:r>
                  <w:r>
                    <w:rPr>
                      <w:rFonts w:hint="default" w:ascii="Times New Roman" w:hAnsi="Times New Roman" w:eastAsia="宋体" w:cs="Times New Roman"/>
                      <w:bCs/>
                      <w:color w:val="auto"/>
                      <w:sz w:val="21"/>
                      <w:szCs w:val="21"/>
                      <w:highlight w:val="none"/>
                      <w:lang w:val="en-US" w:eastAsia="zh-CN"/>
                    </w:rPr>
                    <w:t>屏蔽墙外0.3m（</w:t>
                  </w:r>
                  <w:r>
                    <w:rPr>
                      <w:rFonts w:hint="default" w:ascii="Times New Roman" w:hAnsi="Times New Roman" w:cs="Times New Roman"/>
                      <w:bCs/>
                      <w:color w:val="auto"/>
                      <w:sz w:val="21"/>
                      <w:szCs w:val="21"/>
                      <w:highlight w:val="none"/>
                      <w:lang w:val="en-US" w:eastAsia="zh-CN"/>
                    </w:rPr>
                    <w:t>医生办公室</w:t>
                  </w:r>
                  <w:r>
                    <w:rPr>
                      <w:rFonts w:hint="default" w:ascii="Times New Roman" w:hAnsi="Times New Roman" w:eastAsia="宋体" w:cs="Times New Roman"/>
                      <w:bCs/>
                      <w:color w:val="auto"/>
                      <w:sz w:val="21"/>
                      <w:szCs w:val="21"/>
                      <w:highlight w:val="none"/>
                      <w:lang w:val="en-US" w:eastAsia="zh-CN"/>
                    </w:rPr>
                    <w:t>）</w:t>
                  </w:r>
                </w:p>
              </w:tc>
              <w:tc>
                <w:tcPr>
                  <w:tcW w:w="182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初级辐射</w:t>
                  </w:r>
                </w:p>
              </w:tc>
              <w:tc>
                <w:tcPr>
                  <w:tcW w:w="145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公众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C</w:t>
                  </w:r>
                </w:p>
              </w:tc>
              <w:tc>
                <w:tcPr>
                  <w:tcW w:w="38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东北</w:t>
                  </w:r>
                  <w:r>
                    <w:rPr>
                      <w:rFonts w:hint="default" w:ascii="Times New Roman" w:hAnsi="Times New Roman" w:eastAsia="宋体" w:cs="Times New Roman"/>
                      <w:bCs/>
                      <w:color w:val="auto"/>
                      <w:sz w:val="21"/>
                      <w:szCs w:val="21"/>
                      <w:highlight w:val="none"/>
                      <w:lang w:val="en-US" w:eastAsia="zh-CN"/>
                    </w:rPr>
                    <w:t>面屏蔽墙外0.3m（控制室）</w:t>
                  </w:r>
                </w:p>
              </w:tc>
              <w:tc>
                <w:tcPr>
                  <w:tcW w:w="182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初级辐射</w:t>
                  </w:r>
                </w:p>
              </w:tc>
              <w:tc>
                <w:tcPr>
                  <w:tcW w:w="145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Cs w:val="21"/>
                      <w:highlight w:val="none"/>
                      <w:lang w:val="en-US" w:eastAsia="zh-CN"/>
                    </w:rPr>
                    <w:t>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D</w:t>
                  </w:r>
                </w:p>
              </w:tc>
              <w:tc>
                <w:tcPr>
                  <w:tcW w:w="38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东南面</w:t>
                  </w:r>
                  <w:r>
                    <w:rPr>
                      <w:rFonts w:hint="default" w:ascii="Times New Roman" w:hAnsi="Times New Roman" w:eastAsia="宋体" w:cs="Times New Roman"/>
                      <w:bCs/>
                      <w:color w:val="auto"/>
                      <w:sz w:val="21"/>
                      <w:szCs w:val="21"/>
                      <w:highlight w:val="none"/>
                      <w:lang w:val="en-US" w:eastAsia="zh-CN"/>
                    </w:rPr>
                    <w:t>屏蔽墙</w:t>
                  </w:r>
                  <w:r>
                    <w:rPr>
                      <w:rFonts w:hint="default" w:ascii="Times New Roman" w:hAnsi="Times New Roman" w:cs="Times New Roman"/>
                      <w:bCs/>
                      <w:color w:val="auto"/>
                      <w:sz w:val="21"/>
                      <w:szCs w:val="21"/>
                      <w:highlight w:val="none"/>
                      <w:lang w:val="en-US" w:eastAsia="zh-CN"/>
                    </w:rPr>
                    <w:t>外</w:t>
                  </w:r>
                  <w:r>
                    <w:rPr>
                      <w:rFonts w:hint="default" w:ascii="Times New Roman" w:hAnsi="Times New Roman" w:eastAsia="宋体" w:cs="Times New Roman"/>
                      <w:bCs/>
                      <w:color w:val="auto"/>
                      <w:sz w:val="21"/>
                      <w:szCs w:val="21"/>
                      <w:highlight w:val="none"/>
                      <w:lang w:val="en-US" w:eastAsia="zh-CN"/>
                    </w:rPr>
                    <w:t>0.3m（</w:t>
                  </w:r>
                  <w:r>
                    <w:rPr>
                      <w:rFonts w:hint="default" w:ascii="Times New Roman" w:hAnsi="Times New Roman" w:cs="Times New Roman"/>
                      <w:bCs/>
                      <w:color w:val="auto"/>
                      <w:sz w:val="21"/>
                      <w:szCs w:val="21"/>
                      <w:highlight w:val="none"/>
                      <w:lang w:val="en-US" w:eastAsia="zh-CN"/>
                    </w:rPr>
                    <w:t>迷道内</w:t>
                  </w:r>
                  <w:r>
                    <w:rPr>
                      <w:rFonts w:hint="default" w:ascii="Times New Roman" w:hAnsi="Times New Roman" w:eastAsia="宋体" w:cs="Times New Roman"/>
                      <w:bCs/>
                      <w:color w:val="auto"/>
                      <w:sz w:val="21"/>
                      <w:szCs w:val="21"/>
                      <w:highlight w:val="none"/>
                      <w:lang w:val="en-US" w:eastAsia="zh-CN"/>
                    </w:rPr>
                    <w:t>）</w:t>
                  </w:r>
                </w:p>
              </w:tc>
              <w:tc>
                <w:tcPr>
                  <w:tcW w:w="1824"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初级辐射</w:t>
                  </w:r>
                </w:p>
              </w:tc>
              <w:tc>
                <w:tcPr>
                  <w:tcW w:w="1453"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公众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G</w:t>
                  </w:r>
                </w:p>
              </w:tc>
              <w:tc>
                <w:tcPr>
                  <w:tcW w:w="38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防护门外0.3m（走道）</w:t>
                  </w:r>
                </w:p>
              </w:tc>
              <w:tc>
                <w:tcPr>
                  <w:tcW w:w="182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散射辐射</w:t>
                  </w:r>
                </w:p>
              </w:tc>
              <w:tc>
                <w:tcPr>
                  <w:tcW w:w="145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公众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M</w:t>
                  </w:r>
                </w:p>
              </w:tc>
              <w:tc>
                <w:tcPr>
                  <w:tcW w:w="3865"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屋顶上0.3m（</w:t>
                  </w:r>
                  <w:r>
                    <w:rPr>
                      <w:rFonts w:hint="default" w:ascii="Times New Roman" w:hAnsi="Times New Roman" w:cs="Times New Roman"/>
                      <w:bCs/>
                      <w:color w:val="auto"/>
                      <w:sz w:val="21"/>
                      <w:szCs w:val="21"/>
                      <w:highlight w:val="none"/>
                      <w:lang w:val="en-US" w:eastAsia="zh-CN"/>
                    </w:rPr>
                    <w:t>负二层停车场</w:t>
                  </w:r>
                  <w:r>
                    <w:rPr>
                      <w:rFonts w:hint="default" w:ascii="Times New Roman" w:hAnsi="Times New Roman" w:eastAsia="宋体" w:cs="Times New Roman"/>
                      <w:bCs/>
                      <w:color w:val="auto"/>
                      <w:sz w:val="21"/>
                      <w:szCs w:val="21"/>
                      <w:highlight w:val="none"/>
                      <w:lang w:val="en-US" w:eastAsia="zh-CN"/>
                    </w:rPr>
                    <w:t>）</w:t>
                  </w:r>
                </w:p>
              </w:tc>
              <w:tc>
                <w:tcPr>
                  <w:tcW w:w="182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初级辐射</w:t>
                  </w:r>
                </w:p>
              </w:tc>
              <w:tc>
                <w:tcPr>
                  <w:tcW w:w="145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公众</w:t>
                  </w:r>
                </w:p>
              </w:tc>
            </w:tr>
          </w:tbl>
          <w:p>
            <w:pPr>
              <w:pStyle w:val="1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p>
          <w:tbl>
            <w:tblPr>
              <w:tblStyle w:val="18"/>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53"/>
              <w:gridCol w:w="41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153" w:type="dxa"/>
                  <w:noWrap w:val="0"/>
                  <w:vAlign w:val="top"/>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kern w:val="0"/>
                      <w:sz w:val="28"/>
                      <w:szCs w:val="28"/>
                      <w:highlight w:val="none"/>
                      <w:vertAlign w:val="baseline"/>
                      <w:lang w:eastAsia="zh-CN"/>
                    </w:rPr>
                  </w:pPr>
                  <w:r>
                    <w:rPr>
                      <w:rFonts w:hint="default" w:ascii="Times New Roman" w:hAnsi="Times New Roman" w:cs="Times New Roman"/>
                      <w:color w:val="auto"/>
                      <w:highlight w:val="none"/>
                    </w:rPr>
                    <w:drawing>
                      <wp:inline distT="0" distB="0" distL="114300" distR="114300">
                        <wp:extent cx="2497455" cy="1988820"/>
                        <wp:effectExtent l="0" t="0" r="17145" b="11430"/>
                        <wp:docPr id="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6"/>
                                <pic:cNvPicPr>
                                  <a:picLocks noChangeAspect="1"/>
                                </pic:cNvPicPr>
                              </pic:nvPicPr>
                              <pic:blipFill>
                                <a:blip r:embed="rId215"/>
                                <a:stretch>
                                  <a:fillRect/>
                                </a:stretch>
                              </pic:blipFill>
                              <pic:spPr>
                                <a:xfrm>
                                  <a:off x="0" y="0"/>
                                  <a:ext cx="2497455" cy="1988820"/>
                                </a:xfrm>
                                <a:prstGeom prst="rect">
                                  <a:avLst/>
                                </a:prstGeom>
                                <a:noFill/>
                                <a:ln>
                                  <a:noFill/>
                                </a:ln>
                              </pic:spPr>
                            </pic:pic>
                          </a:graphicData>
                        </a:graphic>
                      </wp:inline>
                    </w:drawing>
                  </w:r>
                </w:p>
              </w:tc>
              <w:tc>
                <w:tcPr>
                  <w:tcW w:w="4153" w:type="dxa"/>
                  <w:noWrap w:val="0"/>
                  <w:vAlign w:val="top"/>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kern w:val="0"/>
                      <w:sz w:val="28"/>
                      <w:szCs w:val="28"/>
                      <w:highlight w:val="none"/>
                      <w:vertAlign w:val="baseline"/>
                      <w:lang w:eastAsia="zh-CN"/>
                    </w:rPr>
                  </w:pPr>
                  <w:r>
                    <w:rPr>
                      <w:rFonts w:hint="default" w:ascii="Times New Roman" w:hAnsi="Times New Roman" w:cs="Times New Roman"/>
                      <w:color w:val="auto"/>
                      <w:highlight w:val="none"/>
                    </w:rPr>
                    <w:drawing>
                      <wp:inline distT="0" distB="0" distL="114300" distR="114300">
                        <wp:extent cx="2496820" cy="2025015"/>
                        <wp:effectExtent l="0" t="0" r="17780" b="13335"/>
                        <wp:docPr id="7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2"/>
                                <pic:cNvPicPr>
                                  <a:picLocks noChangeAspect="1"/>
                                </pic:cNvPicPr>
                              </pic:nvPicPr>
                              <pic:blipFill>
                                <a:blip r:embed="rId216"/>
                                <a:stretch>
                                  <a:fillRect/>
                                </a:stretch>
                              </pic:blipFill>
                              <pic:spPr>
                                <a:xfrm>
                                  <a:off x="0" y="0"/>
                                  <a:ext cx="2496820" cy="2025015"/>
                                </a:xfrm>
                                <a:prstGeom prst="rect">
                                  <a:avLst/>
                                </a:prstGeom>
                                <a:noFill/>
                                <a:ln>
                                  <a:noFill/>
                                </a:ln>
                              </pic:spPr>
                            </pic:pic>
                          </a:graphicData>
                        </a:graphic>
                      </wp:inline>
                    </w:drawing>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bCs/>
                <w:color w:val="auto"/>
                <w:sz w:val="21"/>
                <w:szCs w:val="21"/>
                <w:highlight w:val="none"/>
              </w:rPr>
              <w:t>图11-</w:t>
            </w:r>
            <w:r>
              <w:rPr>
                <w:rFonts w:hint="default" w:ascii="Times New Roman" w:hAnsi="Times New Roman" w:eastAsia="宋体"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shd w:val="clear" w:color="FFFFFF"/>
                <w:lang w:val="en-US" w:eastAsia="zh-CN"/>
              </w:rPr>
              <w:t>后装治疗室剖面参考布点图</w:t>
            </w:r>
          </w:p>
          <w:p>
            <w:pPr>
              <w:pStyle w:val="2"/>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kern w:val="2"/>
                <w:sz w:val="24"/>
                <w:szCs w:val="24"/>
                <w:highlight w:val="none"/>
                <w:lang w:val="en-US" w:eastAsia="zh-CN"/>
              </w:rPr>
            </w:pPr>
            <w:r>
              <w:rPr>
                <w:rFonts w:hint="default" w:ascii="Times New Roman" w:hAnsi="Times New Roman" w:cs="Times New Roman"/>
                <w:b/>
                <w:bCs/>
                <w:color w:val="auto"/>
                <w:kern w:val="2"/>
                <w:sz w:val="24"/>
                <w:szCs w:val="24"/>
                <w:highlight w:val="none"/>
                <w:lang w:val="en-US" w:eastAsia="zh-CN"/>
              </w:rPr>
              <w:t>（2）后装机屏蔽墙体计算方法</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参考《放射治疗机房的辐射屏蔽规范第3部分：γ射线源放射治疗机房》GBZ/T201.3-2014），机房外各关注点的剂量率参考控制水平H</w:t>
            </w:r>
            <w:r>
              <w:rPr>
                <w:rFonts w:hint="default" w:ascii="Times New Roman" w:hAnsi="Times New Roman" w:eastAsia="宋体" w:cs="Times New Roman"/>
                <w:b w:val="0"/>
                <w:bCs w:val="0"/>
                <w:color w:val="auto"/>
                <w:kern w:val="2"/>
                <w:sz w:val="24"/>
                <w:szCs w:val="24"/>
                <w:highlight w:val="none"/>
                <w:vertAlign w:val="subscript"/>
                <w:lang w:val="en-US" w:eastAsia="zh-CN" w:bidi="ar-SA"/>
              </w:rPr>
              <w:t>c</w:t>
            </w:r>
            <w:r>
              <w:rPr>
                <w:rFonts w:hint="default" w:ascii="Times New Roman" w:hAnsi="Times New Roman" w:eastAsia="宋体" w:cs="Times New Roman"/>
                <w:b w:val="0"/>
                <w:bCs w:val="0"/>
                <w:color w:val="auto"/>
                <w:kern w:val="2"/>
                <w:sz w:val="24"/>
                <w:szCs w:val="24"/>
                <w:highlight w:val="none"/>
                <w:lang w:val="en-US" w:eastAsia="zh-CN" w:bidi="ar-SA"/>
              </w:rPr>
              <w:t>由以下方法确定：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val="0"/>
                <w:bCs w:val="0"/>
                <w:color w:val="auto"/>
                <w:kern w:val="2"/>
                <w:sz w:val="24"/>
                <w:szCs w:val="24"/>
                <w:highlight w:val="none"/>
                <w:lang w:val="en-US" w:eastAsia="zh-CN" w:bidi="ar-SA"/>
              </w:rPr>
              <w:t>①使用放射治疗周工作负荷、关注点位置的使用因子和居留因子，求得关注点的导出剂量率参考控制水平H</w:t>
            </w:r>
            <w:r>
              <w:rPr>
                <w:rFonts w:hint="default" w:ascii="Times New Roman" w:hAnsi="Times New Roman" w:eastAsia="宋体" w:cs="Times New Roman"/>
                <w:b w:val="0"/>
                <w:bCs w:val="0"/>
                <w:color w:val="auto"/>
                <w:kern w:val="2"/>
                <w:sz w:val="24"/>
                <w:szCs w:val="24"/>
                <w:highlight w:val="none"/>
                <w:vertAlign w:val="subscript"/>
                <w:lang w:val="en-US" w:eastAsia="zh-CN" w:bidi="ar-SA"/>
              </w:rPr>
              <w:t>c,d</w:t>
            </w:r>
            <w:r>
              <w:rPr>
                <w:rFonts w:hint="default" w:ascii="Times New Roman" w:hAnsi="Times New Roman" w:eastAsia="宋体" w:cs="Times New Roman"/>
                <w:b w:val="0"/>
                <w:bCs w:val="0"/>
                <w:color w:val="auto"/>
                <w:kern w:val="2"/>
                <w:sz w:val="24"/>
                <w:szCs w:val="24"/>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drawing>
                <wp:inline distT="0" distB="0" distL="114300" distR="114300">
                  <wp:extent cx="1276350" cy="228600"/>
                  <wp:effectExtent l="0" t="0" r="0" b="0"/>
                  <wp:docPr id="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6"/>
                          <pic:cNvPicPr>
                            <a:picLocks noChangeAspect="1"/>
                          </pic:cNvPicPr>
                        </pic:nvPicPr>
                        <pic:blipFill>
                          <a:blip r:embed="rId217"/>
                          <a:stretch>
                            <a:fillRect/>
                          </a:stretch>
                        </pic:blipFill>
                        <pic:spPr>
                          <a:xfrm>
                            <a:off x="0" y="0"/>
                            <a:ext cx="1276350" cy="228600"/>
                          </a:xfrm>
                          <a:prstGeom prst="rect">
                            <a:avLst/>
                          </a:prstGeom>
                          <a:noFill/>
                          <a:ln>
                            <a:noFill/>
                          </a:ln>
                        </pic:spPr>
                      </pic:pic>
                    </a:graphicData>
                  </a:graphic>
                </wp:inline>
              </w:drawing>
            </w:r>
            <w:r>
              <w:rPr>
                <w:rFonts w:hint="default" w:ascii="Times New Roman" w:hAnsi="Times New Roman" w:eastAsia="宋体" w:cs="Times New Roman"/>
                <w:bCs/>
                <w:color w:val="auto"/>
                <w:szCs w:val="21"/>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式11-33</w:t>
            </w:r>
            <w:r>
              <w:rPr>
                <w:rFonts w:hint="default" w:ascii="Times New Roman" w:hAnsi="Times New Roman"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式中：</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H</w:t>
            </w:r>
            <w:r>
              <w:rPr>
                <w:rFonts w:hint="default" w:ascii="Times New Roman" w:hAnsi="Times New Roman" w:eastAsia="宋体" w:cs="Times New Roman"/>
                <w:color w:val="auto"/>
                <w:sz w:val="21"/>
                <w:szCs w:val="24"/>
                <w:highlight w:val="none"/>
                <w:vertAlign w:val="subscript"/>
              </w:rPr>
              <w:t>c,d</w:t>
            </w:r>
            <w:r>
              <w:rPr>
                <w:rFonts w:hint="default" w:ascii="Times New Roman" w:hAnsi="Times New Roman" w:eastAsia="宋体" w:cs="Times New Roman"/>
                <w:color w:val="auto"/>
                <w:sz w:val="21"/>
                <w:szCs w:val="24"/>
                <w:highlight w:val="none"/>
              </w:rPr>
              <w:t>—导出剂量率参考控制水平，μSv/周；</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H</w:t>
            </w:r>
            <w:r>
              <w:rPr>
                <w:rFonts w:hint="default" w:ascii="Times New Roman" w:hAnsi="Times New Roman" w:eastAsia="宋体" w:cs="Times New Roman"/>
                <w:color w:val="auto"/>
                <w:sz w:val="21"/>
                <w:szCs w:val="24"/>
                <w:highlight w:val="none"/>
                <w:vertAlign w:val="subscript"/>
              </w:rPr>
              <w:t>c</w:t>
            </w:r>
            <w:r>
              <w:rPr>
                <w:rFonts w:hint="default" w:ascii="Times New Roman" w:hAnsi="Times New Roman" w:eastAsia="宋体" w:cs="Times New Roman"/>
                <w:color w:val="auto"/>
                <w:sz w:val="21"/>
                <w:szCs w:val="24"/>
                <w:highlight w:val="none"/>
              </w:rPr>
              <w:t>—周剂量参考控制水平；本报告提出剂量管理约束值为职业人员5mSv/a、公众0.1mSv/a，年工作50周，则职业人员H</w:t>
            </w:r>
            <w:r>
              <w:rPr>
                <w:rFonts w:hint="default" w:ascii="Times New Roman" w:hAnsi="Times New Roman" w:eastAsia="宋体" w:cs="Times New Roman"/>
                <w:color w:val="auto"/>
                <w:sz w:val="21"/>
                <w:szCs w:val="24"/>
                <w:highlight w:val="none"/>
                <w:vertAlign w:val="subscript"/>
              </w:rPr>
              <w:t>c</w:t>
            </w:r>
            <w:r>
              <w:rPr>
                <w:rFonts w:hint="default" w:ascii="Times New Roman" w:hAnsi="Times New Roman" w:eastAsia="宋体" w:cs="Times New Roman"/>
                <w:color w:val="auto"/>
                <w:sz w:val="21"/>
                <w:szCs w:val="24"/>
                <w:highlight w:val="none"/>
              </w:rPr>
              <w:t>=100μSv/周、公众H</w:t>
            </w:r>
            <w:r>
              <w:rPr>
                <w:rFonts w:hint="default" w:ascii="Times New Roman" w:hAnsi="Times New Roman" w:eastAsia="宋体" w:cs="Times New Roman"/>
                <w:color w:val="auto"/>
                <w:sz w:val="21"/>
                <w:szCs w:val="24"/>
                <w:highlight w:val="none"/>
                <w:vertAlign w:val="subscript"/>
              </w:rPr>
              <w:t>c</w:t>
            </w:r>
            <w:r>
              <w:rPr>
                <w:rFonts w:hint="default" w:ascii="Times New Roman" w:hAnsi="Times New Roman" w:eastAsia="宋体" w:cs="Times New Roman"/>
                <w:color w:val="auto"/>
                <w:sz w:val="21"/>
                <w:szCs w:val="24"/>
                <w:highlight w:val="none"/>
              </w:rPr>
              <w:t>=2μSv/周；</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1"/>
                <w:szCs w:val="24"/>
                <w:highlight w:val="none"/>
              </w:rPr>
              <w:t>U—关注位置方向照射的使用因子；本项目取1；T—人员在相应关注点驻留的居留因子；t—周治疗照射时间，h；根据医院提供的资料，后装机预估年有效出束时间最长约</w:t>
            </w:r>
            <w:r>
              <w:rPr>
                <w:rFonts w:hint="default" w:ascii="Times New Roman" w:hAnsi="Times New Roman" w:eastAsia="宋体" w:cs="Times New Roman"/>
                <w:color w:val="auto"/>
                <w:sz w:val="21"/>
                <w:szCs w:val="24"/>
                <w:highlight w:val="none"/>
                <w:lang w:val="en-US" w:eastAsia="zh-CN"/>
              </w:rPr>
              <w:t>1</w:t>
            </w:r>
            <w:r>
              <w:rPr>
                <w:rFonts w:hint="default" w:ascii="Times New Roman" w:hAnsi="Times New Roman" w:cs="Times New Roman"/>
                <w:color w:val="auto"/>
                <w:sz w:val="21"/>
                <w:szCs w:val="24"/>
                <w:highlight w:val="none"/>
                <w:lang w:val="en-US" w:eastAsia="zh-CN"/>
              </w:rPr>
              <w:t>3</w:t>
            </w:r>
            <w:r>
              <w:rPr>
                <w:rFonts w:hint="default" w:ascii="Times New Roman" w:hAnsi="Times New Roman" w:eastAsia="宋体" w:cs="Times New Roman"/>
                <w:color w:val="auto"/>
                <w:sz w:val="21"/>
                <w:szCs w:val="24"/>
                <w:highlight w:val="none"/>
              </w:rPr>
              <w:t>0.0h，年工作50周，则周治疗照射时间t=</w:t>
            </w:r>
            <w:r>
              <w:rPr>
                <w:rFonts w:hint="default" w:ascii="Times New Roman" w:hAnsi="Times New Roman" w:eastAsia="宋体" w:cs="Times New Roman"/>
                <w:color w:val="auto"/>
                <w:sz w:val="21"/>
                <w:szCs w:val="24"/>
                <w:highlight w:val="none"/>
                <w:lang w:val="en-US" w:eastAsia="zh-CN"/>
              </w:rPr>
              <w:t>2.</w:t>
            </w:r>
            <w:r>
              <w:rPr>
                <w:rFonts w:hint="default" w:ascii="Times New Roman" w:hAnsi="Times New Roman" w:cs="Times New Roman"/>
                <w:color w:val="auto"/>
                <w:sz w:val="21"/>
                <w:szCs w:val="24"/>
                <w:highlight w:val="none"/>
                <w:lang w:val="en-US" w:eastAsia="zh-CN"/>
              </w:rPr>
              <w:t>6</w:t>
            </w:r>
            <w:r>
              <w:rPr>
                <w:rFonts w:hint="default" w:ascii="Times New Roman" w:hAnsi="Times New Roman" w:eastAsia="宋体" w:cs="Times New Roman"/>
                <w:color w:val="auto"/>
                <w:sz w:val="21"/>
                <w:szCs w:val="24"/>
                <w:highlight w:val="none"/>
              </w:rPr>
              <w:t>h</w:t>
            </w:r>
            <w:r>
              <w:rPr>
                <w:rFonts w:hint="default" w:ascii="Times New Roman" w:hAnsi="Times New Roman" w:cs="Times New Roman"/>
                <w:color w:val="auto"/>
                <w:sz w:val="21"/>
                <w:szCs w:val="24"/>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②关注点的最高剂量率参考控制水平H</w:t>
            </w:r>
            <w:r>
              <w:rPr>
                <w:rFonts w:hint="default" w:ascii="Times New Roman" w:hAnsi="Times New Roman" w:eastAsia="宋体" w:cs="Times New Roman"/>
                <w:color w:val="auto"/>
                <w:sz w:val="24"/>
                <w:szCs w:val="32"/>
                <w:highlight w:val="none"/>
                <w:vertAlign w:val="subscript"/>
              </w:rPr>
              <w:t>c,max</w:t>
            </w:r>
            <w:r>
              <w:rPr>
                <w:rFonts w:hint="default" w:ascii="Times New Roman" w:hAnsi="Times New Roman" w:eastAsia="宋体" w:cs="Times New Roman"/>
                <w:color w:val="auto"/>
                <w:sz w:val="24"/>
                <w:szCs w:val="32"/>
                <w:highlight w:val="none"/>
              </w:rPr>
              <w:t>：人员居留因子T≥1/2的场所，H</w:t>
            </w:r>
            <w:r>
              <w:rPr>
                <w:rFonts w:hint="default" w:ascii="Times New Roman" w:hAnsi="Times New Roman" w:eastAsia="宋体" w:cs="Times New Roman"/>
                <w:color w:val="auto"/>
                <w:sz w:val="24"/>
                <w:szCs w:val="32"/>
                <w:highlight w:val="none"/>
                <w:vertAlign w:val="subscript"/>
              </w:rPr>
              <w:t>c,max</w:t>
            </w:r>
            <w:r>
              <w:rPr>
                <w:rFonts w:hint="default" w:ascii="Times New Roman" w:hAnsi="Times New Roman" w:eastAsia="宋体" w:cs="Times New Roman"/>
                <w:color w:val="auto"/>
                <w:sz w:val="24"/>
                <w:szCs w:val="32"/>
                <w:highlight w:val="none"/>
              </w:rPr>
              <w:t>≤2.5μSv/h；人员居留因子T＜1/2的场所，H</w:t>
            </w:r>
            <w:r>
              <w:rPr>
                <w:rFonts w:hint="default" w:ascii="Times New Roman" w:hAnsi="Times New Roman" w:eastAsia="宋体" w:cs="Times New Roman"/>
                <w:color w:val="auto"/>
                <w:sz w:val="24"/>
                <w:szCs w:val="32"/>
                <w:highlight w:val="none"/>
                <w:vertAlign w:val="subscript"/>
              </w:rPr>
              <w:t>c,max</w:t>
            </w:r>
            <w:r>
              <w:rPr>
                <w:rFonts w:hint="default" w:ascii="Times New Roman" w:hAnsi="Times New Roman" w:eastAsia="宋体" w:cs="Times New Roman"/>
                <w:color w:val="auto"/>
                <w:sz w:val="24"/>
                <w:szCs w:val="32"/>
                <w:highlight w:val="none"/>
              </w:rPr>
              <w:t>≤10μSv/h；</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为确保辐射安全，本次环评各关注点的最高剂量率参考控制水平H</w:t>
            </w:r>
            <w:r>
              <w:rPr>
                <w:rFonts w:hint="default" w:ascii="Times New Roman" w:hAnsi="Times New Roman" w:eastAsia="宋体" w:cs="Times New Roman"/>
                <w:color w:val="auto"/>
                <w:sz w:val="24"/>
                <w:szCs w:val="32"/>
                <w:highlight w:val="none"/>
                <w:vertAlign w:val="subscript"/>
              </w:rPr>
              <w:t>c,max</w:t>
            </w:r>
            <w:r>
              <w:rPr>
                <w:rFonts w:hint="default" w:ascii="Times New Roman" w:hAnsi="Times New Roman" w:eastAsia="宋体" w:cs="Times New Roman"/>
                <w:color w:val="auto"/>
                <w:sz w:val="24"/>
                <w:szCs w:val="32"/>
                <w:highlight w:val="none"/>
              </w:rPr>
              <w:t>均取2.5μSv/h。</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③取①、②中较小者作为关注的剂量率参考控制水平（H</w:t>
            </w:r>
            <w:r>
              <w:rPr>
                <w:rFonts w:hint="default" w:ascii="Times New Roman" w:hAnsi="Times New Roman" w:eastAsia="宋体" w:cs="Times New Roman"/>
                <w:color w:val="auto"/>
                <w:sz w:val="24"/>
                <w:szCs w:val="32"/>
                <w:highlight w:val="none"/>
                <w:vertAlign w:val="subscript"/>
              </w:rPr>
              <w:t>c</w:t>
            </w:r>
            <w:r>
              <w:rPr>
                <w:rFonts w:hint="default" w:ascii="Times New Roman" w:hAnsi="Times New Roman" w:eastAsia="宋体" w:cs="Times New Roman"/>
                <w:color w:val="auto"/>
                <w:sz w:val="24"/>
                <w:szCs w:val="32"/>
                <w:highlight w:val="none"/>
              </w:rPr>
              <w:t>）。由此确定的各关注点的剂量率参考控制水平和主要考虑的辐射束见下表。</w:t>
            </w:r>
          </w:p>
          <w:p>
            <w:pPr>
              <w:keepNext w:val="0"/>
              <w:keepLines w:val="0"/>
              <w:suppressLineNumbers w:val="0"/>
              <w:spacing w:before="9" w:beforeAutospacing="0" w:after="0" w:afterAutospacing="0"/>
              <w:ind w:left="0" w:right="61" w:firstLine="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11-21</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治疗室</w:t>
            </w:r>
            <w:r>
              <w:rPr>
                <w:rFonts w:hint="default" w:ascii="Times New Roman" w:hAnsi="Times New Roman" w:eastAsia="宋体" w:cs="Times New Roman"/>
                <w:b/>
                <w:bCs/>
                <w:color w:val="auto"/>
                <w:sz w:val="21"/>
                <w:szCs w:val="21"/>
                <w:highlight w:val="none"/>
              </w:rPr>
              <w:t>外</w:t>
            </w:r>
            <w:r>
              <w:rPr>
                <w:rFonts w:hint="default" w:ascii="Times New Roman" w:hAnsi="Times New Roman" w:eastAsia="宋体" w:cs="Times New Roman"/>
                <w:b/>
                <w:bCs/>
                <w:color w:val="auto"/>
                <w:sz w:val="21"/>
                <w:szCs w:val="21"/>
                <w:highlight w:val="none"/>
                <w:lang w:val="en-US" w:eastAsia="zh-CN"/>
              </w:rPr>
              <w:t>各</w:t>
            </w:r>
            <w:r>
              <w:rPr>
                <w:rFonts w:hint="default" w:ascii="Times New Roman" w:hAnsi="Times New Roman" w:eastAsia="宋体" w:cs="Times New Roman"/>
                <w:b/>
                <w:bCs/>
                <w:color w:val="auto"/>
                <w:sz w:val="21"/>
                <w:szCs w:val="21"/>
                <w:highlight w:val="none"/>
              </w:rPr>
              <w:t>关注点</w:t>
            </w:r>
            <w:r>
              <w:rPr>
                <w:rFonts w:hint="default" w:ascii="Times New Roman" w:hAnsi="Times New Roman" w:eastAsia="宋体" w:cs="Times New Roman"/>
                <w:b/>
                <w:bCs/>
                <w:color w:val="auto"/>
                <w:sz w:val="21"/>
                <w:szCs w:val="21"/>
                <w:highlight w:val="none"/>
                <w:lang w:val="en-US" w:eastAsia="zh-CN"/>
              </w:rPr>
              <w:t>剂量率参考控制水平和主要考虑的辐射束</w:t>
            </w:r>
          </w:p>
          <w:tbl>
            <w:tblPr>
              <w:tblStyle w:val="17"/>
              <w:tblW w:w="8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698"/>
              <w:gridCol w:w="1696"/>
              <w:gridCol w:w="1698"/>
              <w:gridCol w:w="17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44"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Cs w:val="21"/>
                      <w:highlight w:val="none"/>
                      <w:lang w:val="en-US" w:eastAsia="zh-CN"/>
                    </w:rPr>
                  </w:pPr>
                  <w:r>
                    <w:rPr>
                      <w:rFonts w:hint="default" w:ascii="Times New Roman" w:hAnsi="Times New Roman" w:eastAsia="宋体" w:cs="Times New Roman"/>
                      <w:b/>
                      <w:bCs w:val="0"/>
                      <w:i w:val="0"/>
                      <w:iCs w:val="0"/>
                      <w:color w:val="auto"/>
                      <w:szCs w:val="21"/>
                      <w:highlight w:val="none"/>
                      <w:lang w:val="en-US" w:eastAsia="zh-CN"/>
                    </w:rPr>
                    <w:t>关注点</w:t>
                  </w:r>
                </w:p>
              </w:tc>
              <w:tc>
                <w:tcPr>
                  <w:tcW w:w="1698"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Cs w:val="21"/>
                      <w:highlight w:val="none"/>
                      <w:lang w:val="en-US" w:eastAsia="zh-CN"/>
                    </w:rPr>
                  </w:pPr>
                  <w:r>
                    <w:rPr>
                      <w:rFonts w:hint="default" w:ascii="Times New Roman" w:hAnsi="Times New Roman" w:eastAsia="宋体" w:cs="Times New Roman"/>
                      <w:b/>
                      <w:bCs w:val="0"/>
                      <w:i w:val="0"/>
                      <w:iCs w:val="0"/>
                      <w:color w:val="auto"/>
                      <w:szCs w:val="21"/>
                      <w:highlight w:val="none"/>
                      <w:lang w:val="en-US" w:eastAsia="zh-CN"/>
                    </w:rPr>
                    <w:t>居留因子</w:t>
                  </w:r>
                </w:p>
              </w:tc>
              <w:tc>
                <w:tcPr>
                  <w:tcW w:w="5096" w:type="dxa"/>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Cs w:val="21"/>
                      <w:highlight w:val="none"/>
                      <w:lang w:val="en-US" w:eastAsia="zh-CN"/>
                    </w:rPr>
                  </w:pPr>
                  <w:r>
                    <w:rPr>
                      <w:rFonts w:hint="default" w:ascii="Times New Roman" w:hAnsi="Times New Roman" w:eastAsia="宋体" w:cs="Times New Roman"/>
                      <w:b/>
                      <w:bCs w:val="0"/>
                      <w:i w:val="0"/>
                      <w:iCs w:val="0"/>
                      <w:color w:val="auto"/>
                      <w:szCs w:val="21"/>
                      <w:highlight w:val="none"/>
                      <w:lang w:val="en-US" w:eastAsia="zh-CN"/>
                    </w:rPr>
                    <w:t>剂量率参考控制水平（</w:t>
                  </w:r>
                  <w:r>
                    <w:rPr>
                      <w:rFonts w:hint="default" w:ascii="Times New Roman" w:hAnsi="Times New Roman" w:eastAsia="宋体" w:cs="Times New Roman"/>
                      <w:color w:val="auto"/>
                      <w:sz w:val="24"/>
                      <w:szCs w:val="32"/>
                      <w:highlight w:val="none"/>
                    </w:rPr>
                    <w:t>H</w:t>
                  </w:r>
                  <w:r>
                    <w:rPr>
                      <w:rFonts w:hint="default" w:ascii="Times New Roman" w:hAnsi="Times New Roman" w:eastAsia="宋体" w:cs="Times New Roman"/>
                      <w:color w:val="auto"/>
                      <w:sz w:val="24"/>
                      <w:szCs w:val="32"/>
                      <w:highlight w:val="none"/>
                      <w:vertAlign w:val="subscript"/>
                    </w:rPr>
                    <w:t>c</w:t>
                  </w:r>
                  <w:r>
                    <w:rPr>
                      <w:rFonts w:hint="default" w:ascii="Times New Roman" w:hAnsi="Times New Roman" w:eastAsia="宋体" w:cs="Times New Roman"/>
                      <w:b/>
                      <w:bCs w:val="0"/>
                      <w:i w:val="0"/>
                      <w:iCs w:val="0"/>
                      <w:color w:val="auto"/>
                      <w:szCs w:val="21"/>
                      <w:highlight w:val="none"/>
                      <w:lang w:val="en-US" w:eastAsia="zh-CN"/>
                    </w:rPr>
                    <w:t>）μSv/h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144" w:type="dxa"/>
                  <w:vMerge w:val="continue"/>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val="0"/>
                      <w:i w:val="0"/>
                      <w:iCs w:val="0"/>
                      <w:color w:val="auto"/>
                      <w:szCs w:val="21"/>
                      <w:highlight w:val="none"/>
                    </w:rPr>
                  </w:pPr>
                </w:p>
              </w:tc>
              <w:tc>
                <w:tcPr>
                  <w:tcW w:w="1698" w:type="dxa"/>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i w:val="0"/>
                      <w:iCs w:val="0"/>
                      <w:color w:val="auto"/>
                      <w:szCs w:val="21"/>
                      <w:highlight w:val="none"/>
                    </w:rPr>
                  </w:pPr>
                </w:p>
              </w:tc>
              <w:tc>
                <w:tcPr>
                  <w:tcW w:w="1696"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Cs w:val="21"/>
                      <w:highlight w:val="none"/>
                      <w:lang w:val="en-US" w:eastAsia="zh-CN"/>
                    </w:rPr>
                  </w:pPr>
                  <w:r>
                    <w:rPr>
                      <w:rFonts w:hint="default" w:ascii="Times New Roman" w:hAnsi="Times New Roman" w:eastAsia="宋体" w:cs="Times New Roman"/>
                      <w:color w:val="auto"/>
                      <w:sz w:val="24"/>
                      <w:szCs w:val="32"/>
                      <w:highlight w:val="none"/>
                    </w:rPr>
                    <w:t>H</w:t>
                  </w:r>
                  <w:r>
                    <w:rPr>
                      <w:rFonts w:hint="default" w:ascii="Times New Roman" w:hAnsi="Times New Roman" w:eastAsia="宋体" w:cs="Times New Roman"/>
                      <w:color w:val="auto"/>
                      <w:sz w:val="24"/>
                      <w:szCs w:val="32"/>
                      <w:highlight w:val="none"/>
                      <w:vertAlign w:val="subscript"/>
                    </w:rPr>
                    <w:t>c</w:t>
                  </w:r>
                  <w:r>
                    <w:rPr>
                      <w:rFonts w:hint="default" w:ascii="Times New Roman" w:hAnsi="Times New Roman" w:eastAsia="宋体" w:cs="Times New Roman"/>
                      <w:color w:val="auto"/>
                      <w:sz w:val="24"/>
                      <w:szCs w:val="32"/>
                      <w:highlight w:val="none"/>
                      <w:vertAlign w:val="subscript"/>
                      <w:lang w:eastAsia="zh-CN"/>
                    </w:rPr>
                    <w:t>，</w:t>
                  </w:r>
                  <w:r>
                    <w:rPr>
                      <w:rFonts w:hint="default" w:ascii="Times New Roman" w:hAnsi="Times New Roman" w:eastAsia="宋体" w:cs="Times New Roman"/>
                      <w:color w:val="auto"/>
                      <w:sz w:val="24"/>
                      <w:szCs w:val="32"/>
                      <w:highlight w:val="none"/>
                      <w:vertAlign w:val="subscript"/>
                      <w:lang w:val="en-US" w:eastAsia="zh-CN"/>
                    </w:rPr>
                    <w:t>d</w:t>
                  </w:r>
                </w:p>
              </w:tc>
              <w:tc>
                <w:tcPr>
                  <w:tcW w:w="1698"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i w:val="0"/>
                      <w:iCs w:val="0"/>
                      <w:color w:val="auto"/>
                      <w:szCs w:val="21"/>
                      <w:highlight w:val="none"/>
                      <w:lang w:val="en-US" w:eastAsia="zh-CN"/>
                    </w:rPr>
                  </w:pPr>
                  <w:r>
                    <w:rPr>
                      <w:rFonts w:hint="default" w:ascii="Times New Roman" w:hAnsi="Times New Roman" w:eastAsia="宋体" w:cs="Times New Roman"/>
                      <w:color w:val="auto"/>
                      <w:sz w:val="24"/>
                      <w:szCs w:val="32"/>
                      <w:highlight w:val="none"/>
                    </w:rPr>
                    <w:t>H</w:t>
                  </w:r>
                  <w:r>
                    <w:rPr>
                      <w:rFonts w:hint="default" w:ascii="Times New Roman" w:hAnsi="Times New Roman" w:eastAsia="宋体" w:cs="Times New Roman"/>
                      <w:color w:val="auto"/>
                      <w:sz w:val="24"/>
                      <w:szCs w:val="32"/>
                      <w:highlight w:val="none"/>
                      <w:vertAlign w:val="subscript"/>
                    </w:rPr>
                    <w:t>c</w:t>
                  </w:r>
                  <w:r>
                    <w:rPr>
                      <w:rFonts w:hint="default" w:ascii="Times New Roman" w:hAnsi="Times New Roman" w:eastAsia="宋体" w:cs="Times New Roman"/>
                      <w:color w:val="auto"/>
                      <w:sz w:val="24"/>
                      <w:szCs w:val="32"/>
                      <w:highlight w:val="none"/>
                      <w:vertAlign w:val="subscript"/>
                      <w:lang w:eastAsia="zh-CN"/>
                    </w:rPr>
                    <w:t>，</w:t>
                  </w:r>
                  <w:r>
                    <w:rPr>
                      <w:rFonts w:hint="default" w:ascii="Times New Roman" w:hAnsi="Times New Roman" w:eastAsia="宋体" w:cs="Times New Roman"/>
                      <w:color w:val="auto"/>
                      <w:sz w:val="24"/>
                      <w:szCs w:val="32"/>
                      <w:highlight w:val="none"/>
                      <w:vertAlign w:val="subscript"/>
                      <w:lang w:val="en-US" w:eastAsia="zh-CN"/>
                    </w:rPr>
                    <w:t>max</w:t>
                  </w:r>
                </w:p>
              </w:tc>
              <w:tc>
                <w:tcPr>
                  <w:tcW w:w="1702" w:type="dxa"/>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i w:val="0"/>
                      <w:iCs w:val="0"/>
                      <w:color w:val="auto"/>
                      <w:szCs w:val="21"/>
                      <w:highlight w:val="none"/>
                    </w:rPr>
                  </w:pPr>
                  <w:r>
                    <w:rPr>
                      <w:rFonts w:hint="default" w:ascii="Times New Roman" w:hAnsi="Times New Roman" w:eastAsia="宋体" w:cs="Times New Roman"/>
                      <w:color w:val="auto"/>
                      <w:sz w:val="24"/>
                      <w:szCs w:val="32"/>
                      <w:highlight w:val="none"/>
                    </w:rPr>
                    <w:t>H</w:t>
                  </w:r>
                  <w:r>
                    <w:rPr>
                      <w:rFonts w:hint="default" w:ascii="Times New Roman" w:hAnsi="Times New Roman" w:eastAsia="宋体" w:cs="Times New Roman"/>
                      <w:color w:val="auto"/>
                      <w:sz w:val="24"/>
                      <w:szCs w:val="32"/>
                      <w:highlight w:val="none"/>
                      <w:vertAlign w:val="subscript"/>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44"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A</w:t>
                  </w:r>
                </w:p>
              </w:tc>
              <w:tc>
                <w:tcPr>
                  <w:tcW w:w="1698"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w:t>
                  </w:r>
                </w:p>
              </w:tc>
              <w:tc>
                <w:tcPr>
                  <w:tcW w:w="1696"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3.08 </w:t>
                  </w:r>
                </w:p>
              </w:tc>
              <w:tc>
                <w:tcPr>
                  <w:tcW w:w="1698"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1702" w:type="dxa"/>
                  <w:tcBorders>
                    <w:top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1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B</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1/4</w:t>
                  </w:r>
                </w:p>
              </w:tc>
              <w:tc>
                <w:tcPr>
                  <w:tcW w:w="169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3.08 </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170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1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C</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169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38.46 </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170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1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D</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1/16</w:t>
                  </w:r>
                </w:p>
              </w:tc>
              <w:tc>
                <w:tcPr>
                  <w:tcW w:w="169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12.31 </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170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1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G</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1/16</w:t>
                  </w:r>
                </w:p>
              </w:tc>
              <w:tc>
                <w:tcPr>
                  <w:tcW w:w="169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12.31 </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170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1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M</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eastAsia="宋体" w:cs="Times New Roman"/>
                      <w:bCs/>
                      <w:color w:val="auto"/>
                      <w:sz w:val="21"/>
                      <w:szCs w:val="21"/>
                      <w:highlight w:val="none"/>
                      <w:lang w:val="en-US" w:eastAsia="zh-CN"/>
                    </w:rPr>
                    <w:t>1/16</w:t>
                  </w:r>
                </w:p>
              </w:tc>
              <w:tc>
                <w:tcPr>
                  <w:tcW w:w="169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12.31 </w:t>
                  </w:r>
                </w:p>
              </w:tc>
              <w:tc>
                <w:tcPr>
                  <w:tcW w:w="169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sz w:val="21"/>
                      <w:szCs w:val="21"/>
                      <w:highlight w:val="none"/>
                      <w:lang w:val="en-US" w:eastAsia="zh-CN"/>
                    </w:rPr>
                    <w:t>2.5</w:t>
                  </w:r>
                </w:p>
              </w:tc>
              <w:tc>
                <w:tcPr>
                  <w:tcW w:w="170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屏蔽体厚度校核</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本次估算中放射源活度为初装活度，年累积工作时间为</w:t>
            </w:r>
            <w:r>
              <w:rPr>
                <w:rFonts w:hint="default" w:ascii="Times New Roman" w:hAnsi="Times New Roman" w:cs="Times New Roman"/>
                <w:color w:val="auto"/>
                <w:sz w:val="24"/>
                <w:szCs w:val="24"/>
                <w:highlight w:val="none"/>
                <w:lang w:eastAsia="zh-CN"/>
              </w:rPr>
              <w:t>130h</w:t>
            </w:r>
            <w:r>
              <w:rPr>
                <w:rFonts w:hint="default" w:ascii="Times New Roman" w:hAnsi="Times New Roman" w:cs="Times New Roman"/>
                <w:color w:val="auto"/>
                <w:sz w:val="24"/>
                <w:szCs w:val="24"/>
                <w:highlight w:val="none"/>
              </w:rPr>
              <w:t>。其量估算公式为：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后装机</w:t>
            </w:r>
            <w:r>
              <w:rPr>
                <w:rFonts w:hint="eastAsia" w:ascii="Times New Roman" w:hAnsi="Times New Roman" w:cs="Times New Roman"/>
                <w:b/>
                <w:bCs/>
                <w:color w:val="auto"/>
                <w:sz w:val="24"/>
                <w:szCs w:val="24"/>
                <w:highlight w:val="none"/>
                <w:lang w:val="en-US" w:eastAsia="zh-CN"/>
              </w:rPr>
              <w:t>治疗室</w:t>
            </w:r>
            <w:r>
              <w:rPr>
                <w:rFonts w:hint="default" w:ascii="Times New Roman" w:hAnsi="Times New Roman" w:cs="Times New Roman"/>
                <w:b/>
                <w:bCs/>
                <w:color w:val="auto"/>
                <w:sz w:val="24"/>
                <w:szCs w:val="24"/>
                <w:highlight w:val="none"/>
                <w:lang w:val="en-US" w:eastAsia="zh-CN"/>
              </w:rPr>
              <w:t>周围屏蔽体厚度校核</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根据《放射治疗机房的辐射屏蔽规范</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t>第3部分：γ射线源放射治疗机房》（GBZ/T201.3-2014），采用什值层计算屏蔽厚度，计算公式如下：</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drawing>
                <wp:inline distT="0" distB="0" distL="114300" distR="114300">
                  <wp:extent cx="809625" cy="171450"/>
                  <wp:effectExtent l="0" t="0" r="9525" b="0"/>
                  <wp:docPr id="2"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7"/>
                          <pic:cNvPicPr>
                            <a:picLocks noChangeAspect="1"/>
                          </pic:cNvPicPr>
                        </pic:nvPicPr>
                        <pic:blipFill>
                          <a:blip r:embed="rId218"/>
                          <a:stretch>
                            <a:fillRect/>
                          </a:stretch>
                        </pic:blipFill>
                        <pic:spPr>
                          <a:xfrm>
                            <a:off x="0" y="0"/>
                            <a:ext cx="809625" cy="171450"/>
                          </a:xfrm>
                          <a:prstGeom prst="rect">
                            <a:avLst/>
                          </a:prstGeom>
                          <a:noFill/>
                          <a:ln>
                            <a:noFill/>
                          </a:ln>
                        </pic:spPr>
                      </pic:pic>
                    </a:graphicData>
                  </a:graphic>
                </wp:inline>
              </w:drawing>
            </w:r>
            <w:r>
              <w:rPr>
                <w:rFonts w:hint="default" w:ascii="Times New Roman" w:hAnsi="Times New Roman" w:cs="Times New Roman"/>
                <w:color w:val="auto"/>
                <w:szCs w:val="21"/>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式11-34</w:t>
            </w:r>
            <w:r>
              <w:rPr>
                <w:rFonts w:hint="default" w:ascii="Times New Roman" w:hAnsi="Times New Roman"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position w:val="-10"/>
                <w:szCs w:val="21"/>
                <w:highlight w:val="none"/>
              </w:rPr>
              <w:object>
                <v:shape id="_x0000_i1122" o:spt="75" type="#_x0000_t75" style="height:17.9pt;width:167pt;" o:ole="t" filled="f" o:preferrelative="t" stroked="f" coordsize="21600,21600">
                  <v:path/>
                  <v:fill on="f" focussize="0,0"/>
                  <v:stroke on="f"/>
                  <v:imagedata r:id="rId31" o:title=""/>
                  <o:lock v:ext="edit" aspectratio="t"/>
                  <w10:wrap type="none"/>
                  <w10:anchorlock/>
                </v:shape>
                <o:OLEObject Type="Embed" ProgID="Equation.3" ShapeID="_x0000_i1122" DrawAspect="Content" ObjectID="_1468075822" r:id="rId219">
                  <o:LockedField>false</o:LockedField>
                </o:OLEObject>
              </w:object>
            </w:r>
            <w:r>
              <w:rPr>
                <w:rFonts w:hint="default" w:ascii="Times New Roman" w:hAnsi="Times New Roman" w:cs="Times New Roman"/>
                <w:color w:val="auto"/>
                <w:szCs w:val="21"/>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式11-35</w:t>
            </w:r>
            <w:r>
              <w:rPr>
                <w:rFonts w:hint="default" w:ascii="Times New Roman" w:hAnsi="Times New Roman"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position w:val="-30"/>
                <w:szCs w:val="21"/>
                <w:highlight w:val="none"/>
              </w:rPr>
              <w:object>
                <v:shape id="_x0000_i1123" o:spt="75" type="#_x0000_t75" style="height:31.2pt;width:56.4pt;" o:ole="t" filled="f" o:preferrelative="t" stroked="f" coordsize="21600,21600">
                  <v:path/>
                  <v:fill on="f" focussize="0,0"/>
                  <v:stroke on="f"/>
                  <v:imagedata r:id="rId221" o:title=""/>
                  <o:lock v:ext="edit" aspectratio="t"/>
                  <w10:wrap type="none"/>
                  <w10:anchorlock/>
                </v:shape>
                <o:OLEObject Type="Embed" ProgID="Equation.3" ShapeID="_x0000_i1123" DrawAspect="Content" ObjectID="_1468075823" r:id="rId220">
                  <o:LockedField>false</o:LockedField>
                </o:OLEObject>
              </w:object>
            </w:r>
            <w:r>
              <w:rPr>
                <w:rFonts w:hint="default" w:ascii="Times New Roman" w:hAnsi="Times New Roman" w:cs="Times New Roman"/>
                <w:color w:val="auto"/>
                <w:szCs w:val="21"/>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式11-36</w:t>
            </w:r>
            <w:r>
              <w:rPr>
                <w:rFonts w:hint="default" w:ascii="Times New Roman" w:hAnsi="Times New Roman"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position w:val="-14"/>
                <w:szCs w:val="21"/>
                <w:highlight w:val="none"/>
              </w:rPr>
              <w:object>
                <v:shape id="_x0000_i1124" o:spt="75" type="#_x0000_t75" style="height:16.5pt;width:52.9pt;" o:ole="t" filled="f" o:preferrelative="t" stroked="f" coordsize="21600,21600">
                  <v:path/>
                  <v:fill on="f" focussize="0,0"/>
                  <v:stroke on="f"/>
                  <v:imagedata r:id="rId223" o:title=""/>
                  <o:lock v:ext="edit" aspectratio="t"/>
                  <w10:wrap type="none"/>
                  <w10:anchorlock/>
                </v:shape>
                <o:OLEObject Type="Embed" ProgID="Equation.3" ShapeID="_x0000_i1124" DrawAspect="Content" ObjectID="_1468075824" r:id="rId222">
                  <o:LockedField>false</o:LockedField>
                </o:OLEObject>
              </w:object>
            </w:r>
            <w:r>
              <w:rPr>
                <w:rFonts w:hint="default" w:ascii="Times New Roman" w:hAnsi="Times New Roman" w:cs="Times New Roman"/>
                <w:color w:val="auto"/>
                <w:szCs w:val="21"/>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式11-37</w:t>
            </w:r>
            <w:r>
              <w:rPr>
                <w:rFonts w:hint="default" w:ascii="Times New Roman" w:hAnsi="Times New Roman"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式中：X—屏蔽物质的屏蔽厚度，mm；</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Xe—射线束在斜射路径上的有效屏蔽厚度，mm；</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θ—斜射角，即入射线与物质平面的法线夹角；</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TVL</w:t>
            </w:r>
            <w:r>
              <w:rPr>
                <w:rFonts w:hint="default" w:ascii="Times New Roman" w:hAnsi="Times New Roman" w:eastAsia="宋体" w:cs="Times New Roman"/>
                <w:color w:val="auto"/>
                <w:sz w:val="21"/>
                <w:szCs w:val="24"/>
                <w:highlight w:val="none"/>
                <w:vertAlign w:val="subscript"/>
              </w:rPr>
              <w:t>1</w:t>
            </w:r>
            <w:r>
              <w:rPr>
                <w:rFonts w:hint="default" w:ascii="Times New Roman" w:hAnsi="Times New Roman" w:eastAsia="宋体" w:cs="Times New Roman"/>
                <w:color w:val="auto"/>
                <w:sz w:val="21"/>
                <w:szCs w:val="24"/>
                <w:highlight w:val="none"/>
              </w:rPr>
              <w:t>—辐射在屏蔽物质中的第一个什值层厚度，mm；</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TVL—辐射在屏蔽物质中的平衡什值层厚度，mm；当未指明时TVL</w:t>
            </w:r>
            <w:r>
              <w:rPr>
                <w:rFonts w:hint="default" w:ascii="Times New Roman" w:hAnsi="Times New Roman" w:eastAsia="宋体" w:cs="Times New Roman"/>
                <w:color w:val="auto"/>
                <w:sz w:val="21"/>
                <w:szCs w:val="24"/>
                <w:highlight w:val="none"/>
                <w:vertAlign w:val="subscript"/>
              </w:rPr>
              <w:t>1</w:t>
            </w:r>
            <w:r>
              <w:rPr>
                <w:rFonts w:hint="default" w:ascii="Times New Roman" w:hAnsi="Times New Roman" w:eastAsia="宋体" w:cs="Times New Roman"/>
                <w:color w:val="auto"/>
                <w:sz w:val="21"/>
                <w:szCs w:val="24"/>
                <w:highlight w:val="none"/>
              </w:rPr>
              <w:t>时，TVL</w:t>
            </w:r>
            <w:r>
              <w:rPr>
                <w:rFonts w:hint="default" w:ascii="Times New Roman" w:hAnsi="Times New Roman" w:eastAsia="宋体" w:cs="Times New Roman"/>
                <w:color w:val="auto"/>
                <w:sz w:val="21"/>
                <w:szCs w:val="24"/>
                <w:highlight w:val="none"/>
                <w:vertAlign w:val="subscript"/>
              </w:rPr>
              <w:t>1</w:t>
            </w:r>
            <w:r>
              <w:rPr>
                <w:rFonts w:hint="default" w:ascii="Times New Roman" w:hAnsi="Times New Roman" w:eastAsia="宋体" w:cs="Times New Roman"/>
                <w:color w:val="auto"/>
                <w:sz w:val="21"/>
                <w:szCs w:val="24"/>
                <w:highlight w:val="none"/>
              </w:rPr>
              <w:t>=TVL；查GBZ/T201.3-2014的附录C表C.1，对于</w:t>
            </w:r>
            <w:r>
              <w:rPr>
                <w:rFonts w:hint="default" w:ascii="Times New Roman" w:hAnsi="Times New Roman" w:eastAsia="宋体" w:cs="Times New Roman"/>
                <w:color w:val="auto"/>
                <w:sz w:val="21"/>
                <w:szCs w:val="24"/>
                <w:highlight w:val="none"/>
                <w:vertAlign w:val="superscript"/>
                <w:lang w:val="en-US" w:eastAsia="zh-CN"/>
              </w:rPr>
              <w:t>192</w:t>
            </w:r>
            <w:r>
              <w:rPr>
                <w:rFonts w:hint="default" w:ascii="Times New Roman" w:hAnsi="Times New Roman" w:eastAsia="宋体" w:cs="Times New Roman"/>
                <w:color w:val="auto"/>
                <w:sz w:val="21"/>
                <w:szCs w:val="24"/>
                <w:highlight w:val="none"/>
                <w:lang w:val="en-US" w:eastAsia="zh-CN"/>
              </w:rPr>
              <w:t>Ir</w:t>
            </w:r>
            <w:r>
              <w:rPr>
                <w:rFonts w:hint="default" w:ascii="Times New Roman" w:hAnsi="Times New Roman" w:eastAsia="宋体" w:cs="Times New Roman"/>
                <w:color w:val="auto"/>
                <w:sz w:val="21"/>
                <w:szCs w:val="24"/>
                <w:highlight w:val="none"/>
              </w:rPr>
              <w:t>放射源，在混凝土中的TVL=</w:t>
            </w:r>
            <w:r>
              <w:rPr>
                <w:rFonts w:hint="default" w:ascii="Times New Roman" w:hAnsi="Times New Roman" w:eastAsia="宋体" w:cs="Times New Roman"/>
                <w:color w:val="auto"/>
                <w:sz w:val="21"/>
                <w:szCs w:val="24"/>
                <w:highlight w:val="none"/>
                <w:lang w:val="en-US" w:eastAsia="zh-CN"/>
              </w:rPr>
              <w:t>152</w:t>
            </w:r>
            <w:r>
              <w:rPr>
                <w:rFonts w:hint="default" w:ascii="Times New Roman" w:hAnsi="Times New Roman" w:eastAsia="宋体" w:cs="Times New Roman"/>
                <w:color w:val="auto"/>
                <w:sz w:val="21"/>
                <w:szCs w:val="24"/>
                <w:highlight w:val="none"/>
              </w:rPr>
              <w:t>mm；</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B—屏蔽物质的屏蔽透射因子；</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H</w:t>
            </w:r>
            <w:r>
              <w:rPr>
                <w:rFonts w:hint="default" w:ascii="Times New Roman" w:hAnsi="Times New Roman" w:eastAsia="宋体" w:cs="Times New Roman"/>
                <w:color w:val="auto"/>
                <w:sz w:val="21"/>
                <w:szCs w:val="24"/>
                <w:highlight w:val="none"/>
                <w:vertAlign w:val="subscript"/>
              </w:rPr>
              <w:t>c</w:t>
            </w:r>
            <w:r>
              <w:rPr>
                <w:rFonts w:hint="default" w:ascii="Times New Roman" w:hAnsi="Times New Roman" w:eastAsia="宋体" w:cs="Times New Roman"/>
                <w:color w:val="auto"/>
                <w:sz w:val="21"/>
                <w:szCs w:val="24"/>
                <w:highlight w:val="none"/>
              </w:rPr>
              <w:t>—剂量率参考控制水平，μSv/h；</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R—辐射源至关注点的距离，m；</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f—对有用线束为1；</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H</w:t>
            </w:r>
            <w:r>
              <w:rPr>
                <w:rFonts w:hint="default" w:ascii="Times New Roman" w:hAnsi="Times New Roman" w:eastAsia="宋体" w:cs="Times New Roman"/>
                <w:color w:val="auto"/>
                <w:sz w:val="21"/>
                <w:szCs w:val="24"/>
                <w:highlight w:val="none"/>
                <w:vertAlign w:val="subscript"/>
              </w:rPr>
              <w:t>0</w:t>
            </w:r>
            <w:r>
              <w:rPr>
                <w:rFonts w:hint="default" w:ascii="Times New Roman" w:hAnsi="Times New Roman" w:eastAsia="宋体" w:cs="Times New Roman"/>
                <w:color w:val="auto"/>
                <w:sz w:val="21"/>
                <w:szCs w:val="24"/>
                <w:highlight w:val="none"/>
              </w:rPr>
              <w:t>—放射源在距其1m处的剂量率，μSv/h；</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A—放射源的活度，MBq；本项目</w:t>
            </w:r>
            <w:r>
              <w:rPr>
                <w:rFonts w:hint="default" w:ascii="Times New Roman" w:hAnsi="Times New Roman" w:eastAsia="宋体" w:cs="Times New Roman"/>
                <w:color w:val="auto"/>
                <w:sz w:val="21"/>
                <w:szCs w:val="24"/>
                <w:highlight w:val="none"/>
                <w:vertAlign w:val="superscript"/>
                <w:lang w:val="en-US" w:eastAsia="zh-CN"/>
              </w:rPr>
              <w:t>192</w:t>
            </w:r>
            <w:r>
              <w:rPr>
                <w:rFonts w:hint="default" w:ascii="Times New Roman" w:hAnsi="Times New Roman" w:eastAsia="宋体" w:cs="Times New Roman"/>
                <w:color w:val="auto"/>
                <w:sz w:val="21"/>
                <w:szCs w:val="24"/>
                <w:highlight w:val="none"/>
                <w:lang w:val="en-US" w:eastAsia="zh-CN"/>
              </w:rPr>
              <w:t>Ir</w:t>
            </w:r>
            <w:r>
              <w:rPr>
                <w:rFonts w:hint="default" w:ascii="Times New Roman" w:hAnsi="Times New Roman" w:eastAsia="宋体" w:cs="Times New Roman"/>
                <w:color w:val="auto"/>
                <w:sz w:val="21"/>
                <w:szCs w:val="24"/>
                <w:highlight w:val="none"/>
              </w:rPr>
              <w:t>取初始活度</w:t>
            </w:r>
            <w:r>
              <w:rPr>
                <w:rFonts w:hint="default" w:ascii="Times New Roman" w:hAnsi="Times New Roman" w:eastAsia="宋体" w:cs="Times New Roman"/>
                <w:color w:val="auto"/>
                <w:sz w:val="21"/>
                <w:szCs w:val="24"/>
                <w:highlight w:val="none"/>
                <w:lang w:val="en-US" w:eastAsia="zh-CN"/>
              </w:rPr>
              <w:t>3.7</w:t>
            </w:r>
            <w:r>
              <w:rPr>
                <w:rFonts w:hint="default" w:ascii="Times New Roman" w:hAnsi="Times New Roman" w:eastAsia="宋体" w:cs="Times New Roman"/>
                <w:color w:val="auto"/>
                <w:sz w:val="21"/>
                <w:szCs w:val="24"/>
                <w:highlight w:val="none"/>
              </w:rPr>
              <w:t>×10</w:t>
            </w:r>
            <w:r>
              <w:rPr>
                <w:rFonts w:hint="default" w:ascii="Times New Roman" w:hAnsi="Times New Roman" w:eastAsia="宋体" w:cs="Times New Roman"/>
                <w:color w:val="auto"/>
                <w:sz w:val="21"/>
                <w:szCs w:val="24"/>
                <w:highlight w:val="none"/>
                <w:vertAlign w:val="superscript"/>
              </w:rPr>
              <w:t>5</w:t>
            </w:r>
            <w:r>
              <w:rPr>
                <w:rFonts w:hint="default" w:ascii="Times New Roman" w:hAnsi="Times New Roman" w:eastAsia="宋体" w:cs="Times New Roman"/>
                <w:color w:val="auto"/>
                <w:sz w:val="21"/>
                <w:szCs w:val="24"/>
                <w:highlight w:val="none"/>
              </w:rPr>
              <w:t>MBq；</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Kγ—放射源的空气比释动能率常数，μSv/（h・MBq）；查GBZ/T201.3-2014的附录C表C.1，</w:t>
            </w:r>
            <w:r>
              <w:rPr>
                <w:rFonts w:hint="default" w:ascii="Times New Roman" w:hAnsi="Times New Roman" w:eastAsia="宋体" w:cs="Times New Roman"/>
                <w:color w:val="auto"/>
                <w:sz w:val="21"/>
                <w:szCs w:val="24"/>
                <w:highlight w:val="none"/>
                <w:vertAlign w:val="superscript"/>
                <w:lang w:val="en-US" w:eastAsia="zh-CN"/>
              </w:rPr>
              <w:t>192</w:t>
            </w:r>
            <w:r>
              <w:rPr>
                <w:rFonts w:hint="default" w:ascii="Times New Roman" w:hAnsi="Times New Roman" w:eastAsia="宋体" w:cs="Times New Roman"/>
                <w:color w:val="auto"/>
                <w:sz w:val="21"/>
                <w:szCs w:val="24"/>
                <w:highlight w:val="none"/>
                <w:lang w:val="en-US" w:eastAsia="zh-CN"/>
              </w:rPr>
              <w:t>Ir</w:t>
            </w:r>
            <w:r>
              <w:rPr>
                <w:rFonts w:hint="default" w:ascii="Times New Roman" w:hAnsi="Times New Roman" w:eastAsia="宋体" w:cs="Times New Roman"/>
                <w:color w:val="auto"/>
                <w:sz w:val="21"/>
                <w:szCs w:val="24"/>
                <w:highlight w:val="none"/>
              </w:rPr>
              <w:t>的空气比释动能率常数取0.</w:t>
            </w:r>
            <w:r>
              <w:rPr>
                <w:rFonts w:hint="default" w:ascii="Times New Roman" w:hAnsi="Times New Roman" w:eastAsia="宋体" w:cs="Times New Roman"/>
                <w:color w:val="auto"/>
                <w:sz w:val="21"/>
                <w:szCs w:val="24"/>
                <w:highlight w:val="none"/>
                <w:lang w:val="en-US" w:eastAsia="zh-CN"/>
              </w:rPr>
              <w:t>111</w:t>
            </w:r>
            <w:r>
              <w:rPr>
                <w:rFonts w:hint="default" w:ascii="Times New Roman" w:hAnsi="Times New Roman" w:eastAsia="宋体" w:cs="Times New Roman"/>
                <w:color w:val="auto"/>
                <w:sz w:val="21"/>
                <w:szCs w:val="24"/>
                <w:highlight w:val="none"/>
              </w:rPr>
              <w:t>μSv/（h・MBq）。</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val="en-US" w:eastAsia="zh-CN"/>
              </w:rPr>
              <w:t>由于本项目</w:t>
            </w:r>
            <w:r>
              <w:rPr>
                <w:rFonts w:hint="default" w:ascii="Times New Roman" w:hAnsi="Times New Roman" w:cs="Times New Roman"/>
                <w:color w:val="auto"/>
                <w:sz w:val="24"/>
                <w:szCs w:val="32"/>
                <w:highlight w:val="none"/>
                <w:lang w:val="en-US" w:eastAsia="zh-CN"/>
              </w:rPr>
              <w:t>迷路外墙</w:t>
            </w:r>
            <w:r>
              <w:rPr>
                <w:rFonts w:hint="default" w:ascii="Times New Roman" w:hAnsi="Times New Roman" w:eastAsia="宋体" w:cs="Times New Roman"/>
                <w:color w:val="auto"/>
                <w:sz w:val="24"/>
                <w:szCs w:val="32"/>
                <w:highlight w:val="none"/>
                <w:lang w:val="en-US" w:eastAsia="zh-CN"/>
              </w:rPr>
              <w:t>体外为</w:t>
            </w:r>
            <w:r>
              <w:rPr>
                <w:rFonts w:hint="default" w:ascii="Times New Roman" w:hAnsi="Times New Roman" w:cs="Times New Roman"/>
                <w:color w:val="auto"/>
                <w:sz w:val="24"/>
                <w:szCs w:val="32"/>
                <w:highlight w:val="none"/>
                <w:lang w:val="en-US" w:eastAsia="zh-CN"/>
              </w:rPr>
              <w:t>土层</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cs="Times New Roman"/>
                <w:color w:val="auto"/>
                <w:sz w:val="24"/>
                <w:szCs w:val="32"/>
                <w:highlight w:val="none"/>
                <w:lang w:val="en-US" w:eastAsia="zh-CN"/>
              </w:rPr>
              <w:t>为</w:t>
            </w:r>
            <w:r>
              <w:rPr>
                <w:rFonts w:hint="default" w:ascii="Times New Roman" w:hAnsi="Times New Roman" w:eastAsia="宋体" w:cs="Times New Roman"/>
                <w:color w:val="auto"/>
                <w:sz w:val="24"/>
                <w:szCs w:val="32"/>
                <w:highlight w:val="none"/>
                <w:lang w:val="en-US" w:eastAsia="zh-CN"/>
              </w:rPr>
              <w:t>人员无法到达</w:t>
            </w:r>
            <w:r>
              <w:rPr>
                <w:rFonts w:hint="eastAsia" w:ascii="Times New Roman" w:hAnsi="Times New Roman" w:cs="Times New Roman"/>
                <w:color w:val="auto"/>
                <w:sz w:val="24"/>
                <w:szCs w:val="32"/>
                <w:highlight w:val="none"/>
                <w:lang w:val="en-US" w:eastAsia="zh-CN"/>
              </w:rPr>
              <w:t>处</w:t>
            </w:r>
            <w:r>
              <w:rPr>
                <w:rFonts w:hint="default" w:ascii="Times New Roman" w:hAnsi="Times New Roman" w:eastAsia="宋体" w:cs="Times New Roman"/>
                <w:color w:val="auto"/>
                <w:sz w:val="24"/>
                <w:szCs w:val="32"/>
                <w:highlight w:val="none"/>
                <w:lang w:val="en-US" w:eastAsia="zh-CN"/>
              </w:rPr>
              <w:t>，故不对其屏蔽体厚度进行校核，</w:t>
            </w:r>
            <w:r>
              <w:rPr>
                <w:rFonts w:hint="default" w:ascii="Times New Roman" w:hAnsi="Times New Roman" w:eastAsia="宋体" w:cs="Times New Roman"/>
                <w:color w:val="auto"/>
                <w:sz w:val="24"/>
                <w:szCs w:val="32"/>
                <w:highlight w:val="none"/>
              </w:rPr>
              <w:t>根据上述公式，机房</w:t>
            </w:r>
            <w:r>
              <w:rPr>
                <w:rFonts w:hint="default" w:ascii="Times New Roman" w:hAnsi="Times New Roman" w:eastAsia="宋体" w:cs="Times New Roman"/>
                <w:color w:val="auto"/>
                <w:sz w:val="24"/>
                <w:szCs w:val="32"/>
                <w:highlight w:val="none"/>
                <w:lang w:val="en-US" w:eastAsia="zh-CN"/>
              </w:rPr>
              <w:t>其他</w:t>
            </w:r>
            <w:r>
              <w:rPr>
                <w:rFonts w:hint="default" w:ascii="Times New Roman" w:hAnsi="Times New Roman" w:eastAsia="宋体" w:cs="Times New Roman"/>
                <w:color w:val="auto"/>
                <w:sz w:val="24"/>
                <w:szCs w:val="32"/>
                <w:highlight w:val="none"/>
              </w:rPr>
              <w:t>墙体屏蔽厚度核算结果如下：</w:t>
            </w:r>
          </w:p>
          <w:p>
            <w:pPr>
              <w:keepNext w:val="0"/>
              <w:keepLines w:val="0"/>
              <w:suppressLineNumbers w:val="0"/>
              <w:spacing w:before="9" w:beforeAutospacing="0" w:after="0" w:afterAutospacing="0"/>
              <w:ind w:left="0" w:right="61" w:firstLine="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 xml:space="preserve">11-22 </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后装治疗室</w:t>
            </w:r>
            <w:r>
              <w:rPr>
                <w:rFonts w:hint="default" w:ascii="Times New Roman" w:hAnsi="Times New Roman" w:eastAsia="宋体" w:cs="Times New Roman"/>
                <w:b/>
                <w:bCs/>
                <w:color w:val="auto"/>
                <w:sz w:val="21"/>
                <w:szCs w:val="21"/>
                <w:highlight w:val="none"/>
                <w:lang w:val="en-US" w:eastAsia="zh-CN"/>
              </w:rPr>
              <w:t>墙体屏蔽厚度核算</w:t>
            </w:r>
          </w:p>
          <w:tbl>
            <w:tblPr>
              <w:tblStyle w:val="18"/>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217"/>
              <w:gridCol w:w="1331"/>
              <w:gridCol w:w="1182"/>
              <w:gridCol w:w="1214"/>
              <w:gridCol w:w="1377"/>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441" w:type="dxa"/>
                  <w:tcBorders>
                    <w:top w:val="single" w:color="auto" w:sz="12" w:space="0"/>
                    <w:lef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rPr>
                    <w:t>屏蔽体</w:t>
                  </w:r>
                </w:p>
              </w:tc>
              <w:tc>
                <w:tcPr>
                  <w:tcW w:w="1217" w:type="dxa"/>
                  <w:tcBorders>
                    <w:top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rPr>
                    <w:t>距离放射源距离（m）</w:t>
                  </w:r>
                </w:p>
              </w:tc>
              <w:tc>
                <w:tcPr>
                  <w:tcW w:w="1331" w:type="dxa"/>
                  <w:tcBorders>
                    <w:top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rPr>
                    <w:t>剂量率参考控制水平（</w:t>
                  </w:r>
                  <w:r>
                    <w:rPr>
                      <w:rFonts w:hint="default" w:ascii="Times New Roman" w:hAnsi="Times New Roman" w:eastAsia="宋体" w:cs="Times New Roman"/>
                      <w:color w:val="auto"/>
                      <w:kern w:val="2"/>
                      <w:sz w:val="21"/>
                      <w:szCs w:val="21"/>
                      <w:highlight w:val="none"/>
                    </w:rPr>
                    <w:t>μSv/h</w:t>
                  </w:r>
                  <w:r>
                    <w:rPr>
                      <w:rFonts w:hint="default" w:ascii="Times New Roman" w:hAnsi="Times New Roman" w:cs="Times New Roman"/>
                      <w:color w:val="auto"/>
                      <w:kern w:val="2"/>
                      <w:sz w:val="21"/>
                      <w:szCs w:val="21"/>
                      <w:highlight w:val="none"/>
                      <w:vertAlign w:val="baseline"/>
                      <w:lang w:val="en-US" w:eastAsia="zh-CN"/>
                    </w:rPr>
                    <w:t>）</w:t>
                  </w:r>
                </w:p>
              </w:tc>
              <w:tc>
                <w:tcPr>
                  <w:tcW w:w="1182" w:type="dxa"/>
                  <w:tcBorders>
                    <w:top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rPr>
                    <w:t>透射因子（B）</w:t>
                  </w:r>
                </w:p>
              </w:tc>
              <w:tc>
                <w:tcPr>
                  <w:tcW w:w="1214" w:type="dxa"/>
                  <w:tcBorders>
                    <w:top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rPr>
                    <w:t>理论计算厚度（mm）</w:t>
                  </w:r>
                </w:p>
              </w:tc>
              <w:tc>
                <w:tcPr>
                  <w:tcW w:w="1377" w:type="dxa"/>
                  <w:tcBorders>
                    <w:top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rPr>
                    <w:t>设计厚度（mm）</w:t>
                  </w:r>
                </w:p>
              </w:tc>
              <w:tc>
                <w:tcPr>
                  <w:tcW w:w="1095" w:type="dxa"/>
                  <w:tcBorders>
                    <w:top w:val="single" w:color="auto" w:sz="12" w:space="0"/>
                    <w:righ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rPr>
                    <w:t>核算结果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441" w:type="dxa"/>
                  <w:tcBorders>
                    <w:lef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西北面</w:t>
                  </w:r>
                  <w:r>
                    <w:rPr>
                      <w:rFonts w:hint="default" w:ascii="Times New Roman" w:hAnsi="Times New Roman" w:eastAsia="宋体" w:cs="Times New Roman"/>
                      <w:color w:val="auto"/>
                      <w:kern w:val="2"/>
                      <w:sz w:val="21"/>
                      <w:szCs w:val="21"/>
                      <w:highlight w:val="none"/>
                      <w:vertAlign w:val="baseline"/>
                      <w:lang w:val="en-US" w:eastAsia="zh-CN"/>
                    </w:rPr>
                    <w:t>墙体</w:t>
                  </w:r>
                </w:p>
              </w:tc>
              <w:tc>
                <w:tcPr>
                  <w:tcW w:w="1217"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3.24</w:t>
                  </w:r>
                </w:p>
              </w:tc>
              <w:tc>
                <w:tcPr>
                  <w:tcW w:w="1331"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2.5</w:t>
                  </w:r>
                </w:p>
              </w:tc>
              <w:tc>
                <w:tcPr>
                  <w:tcW w:w="1182"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rPr>
                    <w:t>6.62</w:t>
                  </w:r>
                  <w:r>
                    <w:rPr>
                      <w:rFonts w:hint="default" w:ascii="Times New Roman" w:hAnsi="Times New Roman" w:eastAsia="宋体" w:cs="Times New Roman"/>
                      <w:color w:val="auto"/>
                      <w:kern w:val="2"/>
                      <w:sz w:val="21"/>
                      <w:szCs w:val="21"/>
                      <w:highlight w:val="none"/>
                    </w:rPr>
                    <w:t>×10</w:t>
                  </w:r>
                  <w:r>
                    <w:rPr>
                      <w:rFonts w:hint="default" w:ascii="Times New Roman" w:hAnsi="Times New Roman" w:eastAsia="宋体" w:cs="Times New Roman"/>
                      <w:color w:val="auto"/>
                      <w:kern w:val="2"/>
                      <w:sz w:val="21"/>
                      <w:szCs w:val="21"/>
                      <w:highlight w:val="none"/>
                      <w:vertAlign w:val="superscript"/>
                      <w:lang w:val="en-US" w:eastAsia="zh-CN"/>
                    </w:rPr>
                    <w:t>-</w:t>
                  </w:r>
                  <w:r>
                    <w:rPr>
                      <w:rFonts w:hint="default" w:ascii="Times New Roman" w:hAnsi="Times New Roman" w:cs="Times New Roman"/>
                      <w:color w:val="auto"/>
                      <w:kern w:val="2"/>
                      <w:sz w:val="21"/>
                      <w:szCs w:val="21"/>
                      <w:highlight w:val="none"/>
                      <w:vertAlign w:val="superscript"/>
                      <w:lang w:val="en-US" w:eastAsia="zh-CN"/>
                    </w:rPr>
                    <w:t>4</w:t>
                  </w:r>
                </w:p>
              </w:tc>
              <w:tc>
                <w:tcPr>
                  <w:tcW w:w="1214"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490</w:t>
                  </w:r>
                </w:p>
              </w:tc>
              <w:tc>
                <w:tcPr>
                  <w:tcW w:w="1377"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800</w:t>
                  </w:r>
                </w:p>
              </w:tc>
              <w:tc>
                <w:tcPr>
                  <w:tcW w:w="1095" w:type="dxa"/>
                  <w:tcBorders>
                    <w:righ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441" w:type="dxa"/>
                  <w:tcBorders>
                    <w:lef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西南面</w:t>
                  </w:r>
                  <w:r>
                    <w:rPr>
                      <w:rFonts w:hint="default" w:ascii="Times New Roman" w:hAnsi="Times New Roman" w:eastAsia="宋体" w:cs="Times New Roman"/>
                      <w:color w:val="auto"/>
                      <w:kern w:val="2"/>
                      <w:sz w:val="21"/>
                      <w:szCs w:val="21"/>
                      <w:highlight w:val="none"/>
                      <w:vertAlign w:val="baseline"/>
                      <w:lang w:val="en-US" w:eastAsia="zh-CN"/>
                    </w:rPr>
                    <w:t>墙体</w:t>
                  </w:r>
                </w:p>
              </w:tc>
              <w:tc>
                <w:tcPr>
                  <w:tcW w:w="1217"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4.08</w:t>
                  </w:r>
                </w:p>
              </w:tc>
              <w:tc>
                <w:tcPr>
                  <w:tcW w:w="1331"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2.5</w:t>
                  </w:r>
                </w:p>
              </w:tc>
              <w:tc>
                <w:tcPr>
                  <w:tcW w:w="1182"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lang w:val="en-US" w:eastAsia="zh-CN"/>
                    </w:rPr>
                    <w:t>1.00</w:t>
                  </w:r>
                  <w:r>
                    <w:rPr>
                      <w:rFonts w:hint="default" w:ascii="Times New Roman" w:hAnsi="Times New Roman" w:eastAsia="宋体" w:cs="Times New Roman"/>
                      <w:color w:val="auto"/>
                      <w:kern w:val="2"/>
                      <w:sz w:val="21"/>
                      <w:szCs w:val="21"/>
                      <w:highlight w:val="none"/>
                    </w:rPr>
                    <w:t>×10</w:t>
                  </w:r>
                  <w:r>
                    <w:rPr>
                      <w:rFonts w:hint="default" w:ascii="Times New Roman" w:hAnsi="Times New Roman" w:eastAsia="宋体" w:cs="Times New Roman"/>
                      <w:color w:val="auto"/>
                      <w:kern w:val="2"/>
                      <w:sz w:val="21"/>
                      <w:szCs w:val="21"/>
                      <w:highlight w:val="none"/>
                      <w:vertAlign w:val="superscript"/>
                      <w:lang w:val="en-US" w:eastAsia="zh-CN"/>
                    </w:rPr>
                    <w:t>-3</w:t>
                  </w:r>
                </w:p>
              </w:tc>
              <w:tc>
                <w:tcPr>
                  <w:tcW w:w="1214"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460</w:t>
                  </w:r>
                </w:p>
              </w:tc>
              <w:tc>
                <w:tcPr>
                  <w:tcW w:w="1377"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800</w:t>
                  </w:r>
                </w:p>
              </w:tc>
              <w:tc>
                <w:tcPr>
                  <w:tcW w:w="1095" w:type="dxa"/>
                  <w:tcBorders>
                    <w:righ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41" w:type="dxa"/>
                  <w:tcBorders>
                    <w:lef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东北面</w:t>
                  </w:r>
                  <w:r>
                    <w:rPr>
                      <w:rFonts w:hint="default" w:ascii="Times New Roman" w:hAnsi="Times New Roman" w:eastAsia="宋体" w:cs="Times New Roman"/>
                      <w:color w:val="auto"/>
                      <w:kern w:val="2"/>
                      <w:sz w:val="21"/>
                      <w:szCs w:val="21"/>
                      <w:highlight w:val="none"/>
                      <w:vertAlign w:val="baseline"/>
                      <w:lang w:val="en-US" w:eastAsia="zh-CN"/>
                    </w:rPr>
                    <w:t>墙体</w:t>
                  </w:r>
                </w:p>
              </w:tc>
              <w:tc>
                <w:tcPr>
                  <w:tcW w:w="1217"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3.56</w:t>
                  </w:r>
                </w:p>
              </w:tc>
              <w:tc>
                <w:tcPr>
                  <w:tcW w:w="1331"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2.5</w:t>
                  </w:r>
                </w:p>
              </w:tc>
              <w:tc>
                <w:tcPr>
                  <w:tcW w:w="1182"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7.61</w:t>
                  </w:r>
                  <w:r>
                    <w:rPr>
                      <w:rFonts w:hint="default" w:ascii="Times New Roman" w:hAnsi="Times New Roman" w:eastAsia="宋体" w:cs="Times New Roman"/>
                      <w:color w:val="auto"/>
                      <w:kern w:val="2"/>
                      <w:sz w:val="21"/>
                      <w:szCs w:val="21"/>
                      <w:highlight w:val="none"/>
                    </w:rPr>
                    <w:t>×10</w:t>
                  </w:r>
                  <w:r>
                    <w:rPr>
                      <w:rFonts w:hint="default" w:ascii="Times New Roman" w:hAnsi="Times New Roman" w:eastAsia="宋体" w:cs="Times New Roman"/>
                      <w:color w:val="auto"/>
                      <w:kern w:val="2"/>
                      <w:sz w:val="21"/>
                      <w:szCs w:val="21"/>
                      <w:highlight w:val="none"/>
                      <w:vertAlign w:val="superscript"/>
                      <w:lang w:val="en-US" w:eastAsia="zh-CN"/>
                    </w:rPr>
                    <w:t>-</w:t>
                  </w:r>
                  <w:r>
                    <w:rPr>
                      <w:rFonts w:hint="default" w:ascii="Times New Roman" w:hAnsi="Times New Roman" w:cs="Times New Roman"/>
                      <w:color w:val="auto"/>
                      <w:kern w:val="2"/>
                      <w:sz w:val="21"/>
                      <w:szCs w:val="21"/>
                      <w:highlight w:val="none"/>
                      <w:vertAlign w:val="superscript"/>
                      <w:lang w:val="en-US" w:eastAsia="zh-CN"/>
                    </w:rPr>
                    <w:t>4</w:t>
                  </w:r>
                </w:p>
              </w:tc>
              <w:tc>
                <w:tcPr>
                  <w:tcW w:w="1214"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470</w:t>
                  </w:r>
                </w:p>
              </w:tc>
              <w:tc>
                <w:tcPr>
                  <w:tcW w:w="1377"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800</w:t>
                  </w:r>
                </w:p>
              </w:tc>
              <w:tc>
                <w:tcPr>
                  <w:tcW w:w="1095" w:type="dxa"/>
                  <w:tcBorders>
                    <w:righ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441" w:type="dxa"/>
                  <w:tcBorders>
                    <w:lef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东南面</w:t>
                  </w:r>
                  <w:r>
                    <w:rPr>
                      <w:rFonts w:hint="default" w:ascii="Times New Roman" w:hAnsi="Times New Roman" w:eastAsia="宋体" w:cs="Times New Roman"/>
                      <w:color w:val="auto"/>
                      <w:kern w:val="2"/>
                      <w:sz w:val="21"/>
                      <w:szCs w:val="21"/>
                      <w:highlight w:val="none"/>
                      <w:vertAlign w:val="baseline"/>
                      <w:lang w:val="en-US" w:eastAsia="zh-CN"/>
                    </w:rPr>
                    <w:t>墙体</w:t>
                  </w:r>
                </w:p>
              </w:tc>
              <w:tc>
                <w:tcPr>
                  <w:tcW w:w="1217"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3.05</w:t>
                  </w:r>
                </w:p>
              </w:tc>
              <w:tc>
                <w:tcPr>
                  <w:tcW w:w="1331"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2.5</w:t>
                  </w:r>
                </w:p>
              </w:tc>
              <w:tc>
                <w:tcPr>
                  <w:tcW w:w="1182"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5.59</w:t>
                  </w:r>
                  <w:r>
                    <w:rPr>
                      <w:rFonts w:hint="default" w:ascii="Times New Roman" w:hAnsi="Times New Roman" w:eastAsia="宋体" w:cs="Times New Roman"/>
                      <w:color w:val="auto"/>
                      <w:kern w:val="2"/>
                      <w:sz w:val="21"/>
                      <w:szCs w:val="21"/>
                      <w:highlight w:val="none"/>
                    </w:rPr>
                    <w:t>×10</w:t>
                  </w:r>
                  <w:r>
                    <w:rPr>
                      <w:rFonts w:hint="default" w:ascii="Times New Roman" w:hAnsi="Times New Roman" w:eastAsia="宋体" w:cs="Times New Roman"/>
                      <w:color w:val="auto"/>
                      <w:kern w:val="2"/>
                      <w:sz w:val="21"/>
                      <w:szCs w:val="21"/>
                      <w:highlight w:val="none"/>
                      <w:vertAlign w:val="superscript"/>
                      <w:lang w:val="en-US" w:eastAsia="zh-CN"/>
                    </w:rPr>
                    <w:t>-</w:t>
                  </w:r>
                  <w:r>
                    <w:rPr>
                      <w:rFonts w:hint="default" w:ascii="Times New Roman" w:hAnsi="Times New Roman" w:cs="Times New Roman"/>
                      <w:color w:val="auto"/>
                      <w:kern w:val="2"/>
                      <w:sz w:val="21"/>
                      <w:szCs w:val="21"/>
                      <w:highlight w:val="none"/>
                      <w:vertAlign w:val="superscript"/>
                      <w:lang w:val="en-US" w:eastAsia="zh-CN"/>
                    </w:rPr>
                    <w:t>4</w:t>
                  </w:r>
                </w:p>
              </w:tc>
              <w:tc>
                <w:tcPr>
                  <w:tcW w:w="1214"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490</w:t>
                  </w:r>
                </w:p>
              </w:tc>
              <w:tc>
                <w:tcPr>
                  <w:tcW w:w="1377"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迷路内墙800</w:t>
                  </w:r>
                </w:p>
              </w:tc>
              <w:tc>
                <w:tcPr>
                  <w:tcW w:w="1095" w:type="dxa"/>
                  <w:tcBorders>
                    <w:righ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441" w:type="dxa"/>
                  <w:tcBorders>
                    <w:left w:val="nil"/>
                    <w:bottom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治疗室</w:t>
                  </w:r>
                  <w:r>
                    <w:rPr>
                      <w:rFonts w:hint="default" w:ascii="Times New Roman" w:hAnsi="Times New Roman" w:eastAsia="宋体" w:cs="Times New Roman"/>
                      <w:color w:val="auto"/>
                      <w:kern w:val="2"/>
                      <w:sz w:val="21"/>
                      <w:szCs w:val="21"/>
                      <w:highlight w:val="none"/>
                      <w:vertAlign w:val="baseline"/>
                      <w:lang w:val="en-US" w:eastAsia="zh-CN"/>
                    </w:rPr>
                    <w:t>顶部</w:t>
                  </w:r>
                </w:p>
              </w:tc>
              <w:tc>
                <w:tcPr>
                  <w:tcW w:w="1217" w:type="dxa"/>
                  <w:tcBorders>
                    <w:bottom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3.30</w:t>
                  </w:r>
                </w:p>
              </w:tc>
              <w:tc>
                <w:tcPr>
                  <w:tcW w:w="1331" w:type="dxa"/>
                  <w:tcBorders>
                    <w:bottom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2.5</w:t>
                  </w:r>
                </w:p>
              </w:tc>
              <w:tc>
                <w:tcPr>
                  <w:tcW w:w="1182" w:type="dxa"/>
                  <w:tcBorders>
                    <w:bottom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6.54</w:t>
                  </w:r>
                  <w:r>
                    <w:rPr>
                      <w:rFonts w:hint="default" w:ascii="Times New Roman" w:hAnsi="Times New Roman" w:eastAsia="宋体" w:cs="Times New Roman"/>
                      <w:color w:val="auto"/>
                      <w:kern w:val="2"/>
                      <w:sz w:val="21"/>
                      <w:szCs w:val="21"/>
                      <w:highlight w:val="none"/>
                    </w:rPr>
                    <w:t>×10</w:t>
                  </w:r>
                  <w:r>
                    <w:rPr>
                      <w:rFonts w:hint="default" w:ascii="Times New Roman" w:hAnsi="Times New Roman" w:eastAsia="宋体" w:cs="Times New Roman"/>
                      <w:color w:val="auto"/>
                      <w:kern w:val="2"/>
                      <w:sz w:val="21"/>
                      <w:szCs w:val="21"/>
                      <w:highlight w:val="none"/>
                      <w:vertAlign w:val="superscript"/>
                      <w:lang w:val="en-US" w:eastAsia="zh-CN"/>
                    </w:rPr>
                    <w:t>-</w:t>
                  </w:r>
                  <w:r>
                    <w:rPr>
                      <w:rFonts w:hint="default" w:ascii="Times New Roman" w:hAnsi="Times New Roman" w:cs="Times New Roman"/>
                      <w:color w:val="auto"/>
                      <w:kern w:val="2"/>
                      <w:sz w:val="21"/>
                      <w:szCs w:val="21"/>
                      <w:highlight w:val="none"/>
                      <w:vertAlign w:val="superscript"/>
                      <w:lang w:val="en-US" w:eastAsia="zh-CN"/>
                    </w:rPr>
                    <w:t>4</w:t>
                  </w:r>
                </w:p>
              </w:tc>
              <w:tc>
                <w:tcPr>
                  <w:tcW w:w="1214" w:type="dxa"/>
                  <w:tcBorders>
                    <w:bottom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480</w:t>
                  </w:r>
                </w:p>
              </w:tc>
              <w:tc>
                <w:tcPr>
                  <w:tcW w:w="1377" w:type="dxa"/>
                  <w:tcBorders>
                    <w:bottom w:val="single" w:color="auto" w:sz="12" w:space="0"/>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cs="Times New Roman"/>
                      <w:color w:val="auto"/>
                      <w:kern w:val="2"/>
                      <w:sz w:val="21"/>
                      <w:szCs w:val="21"/>
                      <w:highlight w:val="none"/>
                      <w:vertAlign w:val="baseline"/>
                      <w:lang w:val="en-US" w:eastAsia="zh-CN"/>
                    </w:rPr>
                    <w:t>8</w:t>
                  </w:r>
                  <w:r>
                    <w:rPr>
                      <w:rFonts w:hint="default" w:ascii="Times New Roman" w:hAnsi="Times New Roman" w:eastAsia="宋体" w:cs="Times New Roman"/>
                      <w:color w:val="auto"/>
                      <w:kern w:val="2"/>
                      <w:sz w:val="21"/>
                      <w:szCs w:val="21"/>
                      <w:highlight w:val="none"/>
                      <w:vertAlign w:val="baseline"/>
                      <w:lang w:val="en-US" w:eastAsia="zh-CN"/>
                    </w:rPr>
                    <w:t>00</w:t>
                  </w:r>
                </w:p>
              </w:tc>
              <w:tc>
                <w:tcPr>
                  <w:tcW w:w="1095" w:type="dxa"/>
                  <w:tcBorders>
                    <w:bottom w:val="single" w:color="auto" w:sz="12" w:space="0"/>
                    <w:right w:val="nil"/>
                  </w:tcBorders>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满足要求</w:t>
                  </w:r>
                </w:p>
              </w:tc>
            </w:tr>
          </w:tbl>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w:t>
            </w:r>
            <w:r>
              <w:rPr>
                <w:rFonts w:hint="default" w:ascii="Times New Roman" w:hAnsi="Times New Roman" w:eastAsia="宋体" w:cs="Times New Roman"/>
                <w:b w:val="0"/>
                <w:bCs w:val="0"/>
                <w:color w:val="auto"/>
                <w:sz w:val="24"/>
                <w:szCs w:val="24"/>
                <w:highlight w:val="none"/>
                <w:lang w:val="en-US" w:eastAsia="zh-CN"/>
              </w:rPr>
              <w:t>计算结果</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rPr>
              <w:t>本项目后装机</w:t>
            </w:r>
            <w:r>
              <w:rPr>
                <w:rFonts w:hint="default" w:ascii="Times New Roman" w:hAnsi="Times New Roman" w:cs="Times New Roman"/>
                <w:b w:val="0"/>
                <w:bCs w:val="0"/>
                <w:color w:val="auto"/>
                <w:sz w:val="24"/>
                <w:szCs w:val="24"/>
                <w:highlight w:val="none"/>
                <w:lang w:val="en-US" w:eastAsia="zh-CN"/>
              </w:rPr>
              <w:t>墙体和顶部</w:t>
            </w:r>
            <w:r>
              <w:rPr>
                <w:rFonts w:hint="default" w:ascii="Times New Roman" w:hAnsi="Times New Roman" w:cs="Times New Roman"/>
                <w:b w:val="0"/>
                <w:bCs w:val="0"/>
                <w:color w:val="auto"/>
                <w:sz w:val="24"/>
                <w:szCs w:val="24"/>
                <w:highlight w:val="none"/>
              </w:rPr>
              <w:t>的设计厚度能满足屏蔽防护要求。</w:t>
            </w:r>
          </w:p>
          <w:p>
            <w:pPr>
              <w:pStyle w:val="30"/>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cs="Times New Roman"/>
                <w:b/>
                <w:bCs/>
                <w:color w:val="auto"/>
                <w:kern w:val="2"/>
                <w:sz w:val="24"/>
                <w:szCs w:val="24"/>
                <w:highlight w:val="none"/>
                <w:lang w:val="en-US" w:eastAsia="zh-CN"/>
              </w:rPr>
              <w:t>（2）后装治疗室防护门</w:t>
            </w:r>
            <w:r>
              <w:rPr>
                <w:rFonts w:hint="eastAsia" w:ascii="Times New Roman" w:hAnsi="Times New Roman" w:cs="Times New Roman"/>
                <w:b/>
                <w:bCs/>
                <w:color w:val="auto"/>
                <w:kern w:val="2"/>
                <w:sz w:val="24"/>
                <w:szCs w:val="24"/>
                <w:highlight w:val="none"/>
                <w:lang w:val="en-US" w:eastAsia="zh-CN"/>
              </w:rPr>
              <w:t>厚度校核（治疗室入口）</w:t>
            </w:r>
          </w:p>
          <w:p>
            <w:pPr>
              <w:pStyle w:val="8"/>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111"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根据GBZ/T201.3-2014，</w:t>
            </w:r>
            <w:r>
              <w:rPr>
                <w:rFonts w:hint="default" w:ascii="Times New Roman" w:hAnsi="Times New Roman" w:cs="Times New Roman"/>
                <w:b w:val="0"/>
                <w:bCs w:val="0"/>
                <w:color w:val="auto"/>
                <w:sz w:val="24"/>
                <w:szCs w:val="24"/>
                <w:highlight w:val="none"/>
                <w:lang w:val="en-US" w:eastAsia="zh-CN"/>
              </w:rPr>
              <w:t>后装治疗室</w:t>
            </w:r>
            <w:r>
              <w:rPr>
                <w:rFonts w:hint="default" w:ascii="Times New Roman" w:hAnsi="Times New Roman" w:eastAsia="宋体" w:cs="Times New Roman"/>
                <w:b w:val="0"/>
                <w:bCs w:val="0"/>
                <w:color w:val="auto"/>
                <w:sz w:val="24"/>
                <w:szCs w:val="24"/>
                <w:highlight w:val="none"/>
              </w:rPr>
              <w:t>入口处的散射辐射剂量H采用下式计算：</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position w:val="-30"/>
                <w:sz w:val="24"/>
                <w:szCs w:val="24"/>
                <w:highlight w:val="none"/>
              </w:rPr>
              <w:object>
                <v:shape id="_x0000_i1125" o:spt="75" type="#_x0000_t75" style="height:34.4pt;width:89.95pt;" o:ole="t" filled="f" o:preferrelative="t" stroked="f" coordsize="21600,21600">
                  <v:path/>
                  <v:fill on="f" focussize="0,0"/>
                  <v:stroke on="f"/>
                  <v:imagedata r:id="rId225" o:title=""/>
                  <o:lock v:ext="edit" aspectratio="t"/>
                  <w10:wrap type="none"/>
                  <w10:anchorlock/>
                </v:shape>
                <o:OLEObject Type="Embed" ProgID="Equation.3" ShapeID="_x0000_i1125" DrawAspect="Content" ObjectID="_1468075825" r:id="rId224">
                  <o:LockedField>false</o:LockedField>
                </o:OLEObject>
              </w:objec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式11-38</w:t>
            </w:r>
            <w:r>
              <w:rPr>
                <w:rFonts w:hint="default" w:ascii="Times New Roman" w:hAnsi="Times New Roman" w:cs="Times New Roman"/>
                <w:color w:val="auto"/>
                <w:sz w:val="24"/>
                <w:szCs w:val="24"/>
                <w:highlight w:val="none"/>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式中：</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S</w:t>
            </w:r>
            <w:r>
              <w:rPr>
                <w:rFonts w:hint="default" w:ascii="Times New Roman" w:hAnsi="Times New Roman" w:eastAsia="宋体" w:cs="Times New Roman"/>
                <w:b w:val="0"/>
                <w:bCs w:val="0"/>
                <w:color w:val="auto"/>
                <w:sz w:val="21"/>
                <w:szCs w:val="21"/>
                <w:highlight w:val="none"/>
                <w:vertAlign w:val="subscript"/>
                <w:lang w:val="en-US" w:eastAsia="zh-CN"/>
              </w:rPr>
              <w:t>W</w:t>
            </w:r>
            <w:r>
              <w:rPr>
                <w:rFonts w:hint="default" w:ascii="Times New Roman" w:hAnsi="Times New Roman" w:eastAsia="宋体" w:cs="Times New Roman"/>
                <w:b w:val="0"/>
                <w:bCs w:val="0"/>
                <w:color w:val="auto"/>
                <w:sz w:val="21"/>
                <w:szCs w:val="21"/>
                <w:highlight w:val="none"/>
              </w:rPr>
              <w:t>—迷路内口墙的散射面积，其为辐射源和</w:t>
            </w:r>
            <w:r>
              <w:rPr>
                <w:rFonts w:hint="default" w:ascii="Times New Roman" w:hAnsi="Times New Roman" w:cs="Times New Roman"/>
                <w:b w:val="0"/>
                <w:bCs w:val="0"/>
                <w:color w:val="auto"/>
                <w:sz w:val="21"/>
                <w:szCs w:val="21"/>
                <w:highlight w:val="none"/>
                <w:lang w:val="en-US" w:eastAsia="zh-CN"/>
              </w:rPr>
              <w:t>治疗室</w:t>
            </w:r>
            <w:r>
              <w:rPr>
                <w:rFonts w:hint="default" w:ascii="Times New Roman" w:hAnsi="Times New Roman" w:eastAsia="宋体" w:cs="Times New Roman"/>
                <w:b w:val="0"/>
                <w:bCs w:val="0"/>
                <w:color w:val="auto"/>
                <w:sz w:val="21"/>
                <w:szCs w:val="21"/>
                <w:highlight w:val="none"/>
              </w:rPr>
              <w:t>入口共同可视见的墙区面积，</w:t>
            </w:r>
            <w:r>
              <w:rPr>
                <w:rFonts w:hint="default" w:ascii="Times New Roman" w:hAnsi="Times New Roman" w:cs="Times New Roman"/>
                <w:b w:val="0"/>
                <w:bCs w:val="0"/>
                <w:color w:val="auto"/>
                <w:kern w:val="2"/>
                <w:sz w:val="21"/>
                <w:szCs w:val="21"/>
                <w:highlight w:val="none"/>
                <w:vertAlign w:val="baseline"/>
                <w:lang w:val="en-US" w:eastAsia="zh-CN"/>
              </w:rPr>
              <w:t>4.81</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a</w:t>
            </w:r>
            <w:r>
              <w:rPr>
                <w:rFonts w:hint="default" w:ascii="Times New Roman" w:hAnsi="Times New Roman" w:eastAsia="宋体" w:cs="Times New Roman"/>
                <w:b w:val="0"/>
                <w:bCs w:val="0"/>
                <w:color w:val="auto"/>
                <w:sz w:val="21"/>
                <w:szCs w:val="21"/>
                <w:highlight w:val="none"/>
                <w:vertAlign w:val="subscript"/>
                <w:lang w:val="en-US" w:eastAsia="zh-CN"/>
              </w:rPr>
              <w:t>w</w:t>
            </w:r>
            <w:r>
              <w:rPr>
                <w:rFonts w:hint="default" w:ascii="Times New Roman" w:hAnsi="Times New Roman" w:eastAsia="宋体" w:cs="Times New Roman"/>
                <w:b w:val="0"/>
                <w:bCs w:val="0"/>
                <w:color w:val="auto"/>
                <w:sz w:val="21"/>
                <w:szCs w:val="21"/>
                <w:highlight w:val="none"/>
              </w:rPr>
              <w:t>—散射体的散射因子</w:t>
            </w:r>
            <w:r>
              <w:rPr>
                <w:rFonts w:hint="eastAsia" w:ascii="Times New Roman" w:hAnsi="Times New Roman" w:cs="Times New Roman"/>
                <w:b w:val="0"/>
                <w:bCs w:val="0"/>
                <w:color w:val="auto"/>
                <w:sz w:val="21"/>
                <w:szCs w:val="21"/>
                <w:highlight w:val="none"/>
                <w:lang w:val="en-US" w:eastAsia="zh-CN"/>
              </w:rPr>
              <w:t>3.39</w:t>
            </w:r>
            <w:r>
              <w:rPr>
                <w:rFonts w:hint="default" w:ascii="Times New Roman" w:hAnsi="Times New Roman" w:cs="Times New Roman"/>
                <w:b w:val="0"/>
                <w:bCs w:val="0"/>
                <w:color w:val="auto"/>
                <w:sz w:val="21"/>
                <w:szCs w:val="21"/>
                <w:highlight w:val="none"/>
                <w:lang w:val="en-US" w:eastAsia="zh-CN"/>
              </w:rPr>
              <w:t>×10</w:t>
            </w:r>
            <w:r>
              <w:rPr>
                <w:rFonts w:hint="eastAsia" w:ascii="Times New Roman" w:hAnsi="Times New Roman"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A—放射源活度，该项目</w:t>
            </w:r>
            <w:r>
              <w:rPr>
                <w:rFonts w:hint="default" w:ascii="Times New Roman" w:hAnsi="Times New Roman" w:cs="Times New Roman"/>
                <w:b w:val="0"/>
                <w:bCs w:val="0"/>
                <w:color w:val="auto"/>
                <w:sz w:val="21"/>
                <w:szCs w:val="21"/>
                <w:highlight w:val="none"/>
                <w:vertAlign w:val="superscript"/>
                <w:lang w:val="en-US" w:eastAsia="zh-CN"/>
              </w:rPr>
              <w:t>192</w:t>
            </w:r>
            <w:r>
              <w:rPr>
                <w:rFonts w:hint="default" w:ascii="Times New Roman" w:hAnsi="Times New Roman" w:cs="Times New Roman"/>
                <w:b w:val="0"/>
                <w:bCs w:val="0"/>
                <w:color w:val="auto"/>
                <w:sz w:val="21"/>
                <w:szCs w:val="21"/>
                <w:highlight w:val="none"/>
                <w:lang w:val="en-US" w:eastAsia="zh-CN"/>
              </w:rPr>
              <w:t>Ir后装机装源活度为3.7×10</w:t>
            </w:r>
            <w:r>
              <w:rPr>
                <w:rFonts w:hint="default" w:ascii="Times New Roman" w:hAnsi="Times New Roman" w:cs="Times New Roman"/>
                <w:b w:val="0"/>
                <w:bCs w:val="0"/>
                <w:color w:val="auto"/>
                <w:sz w:val="21"/>
                <w:szCs w:val="21"/>
                <w:highlight w:val="none"/>
                <w:vertAlign w:val="superscript"/>
                <w:lang w:val="en-US" w:eastAsia="zh-CN"/>
              </w:rPr>
              <w:t>5</w:t>
            </w:r>
            <w:r>
              <w:rPr>
                <w:rFonts w:hint="default" w:ascii="Times New Roman" w:hAnsi="Times New Roman" w:cs="Times New Roman"/>
                <w:b w:val="0"/>
                <w:bCs w:val="0"/>
                <w:color w:val="auto"/>
                <w:sz w:val="21"/>
                <w:szCs w:val="21"/>
                <w:highlight w:val="none"/>
                <w:lang w:val="en-US" w:eastAsia="zh-CN"/>
              </w:rPr>
              <w:t>MBq；</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cs="Times New Roman"/>
                <w:b w:val="0"/>
                <w:bCs w:val="0"/>
                <w:color w:val="auto"/>
                <w:sz w:val="21"/>
                <w:szCs w:val="21"/>
                <w:highlight w:val="none"/>
                <w:lang w:val="en-US" w:eastAsia="zh-CN"/>
              </w:rPr>
              <w:t>K</w:t>
            </w:r>
            <w:r>
              <w:rPr>
                <w:rFonts w:hint="default" w:ascii="Times New Roman" w:hAnsi="Times New Roman" w:cs="Times New Roman"/>
                <w:b w:val="0"/>
                <w:bCs w:val="0"/>
                <w:color w:val="auto"/>
                <w:sz w:val="21"/>
                <w:szCs w:val="21"/>
                <w:highlight w:val="none"/>
                <w:vertAlign w:val="subscript"/>
                <w:lang w:val="en-US" w:eastAsia="zh-CN"/>
              </w:rPr>
              <w:t>r</w:t>
            </w:r>
            <w:r>
              <w:rPr>
                <w:rFonts w:hint="default" w:ascii="Times New Roman" w:hAnsi="Times New Roman" w:cs="Times New Roman"/>
                <w:b w:val="0"/>
                <w:bCs w:val="0"/>
                <w:color w:val="auto"/>
                <w:sz w:val="21"/>
                <w:szCs w:val="21"/>
                <w:highlight w:val="none"/>
                <w:lang w:val="en-US" w:eastAsia="zh-CN"/>
              </w:rPr>
              <w:t>—放射源的空气比释动能率常数，在屏蔽计算中以周围剂量当量率作为空气比释动能率，单位为μSv/（hMBq），该项目</w:t>
            </w:r>
            <w:r>
              <w:rPr>
                <w:rFonts w:hint="default" w:ascii="Times New Roman" w:hAnsi="Times New Roman" w:eastAsia="宋体" w:cs="Times New Roman"/>
                <w:b w:val="0"/>
                <w:bCs w:val="0"/>
                <w:color w:val="auto"/>
                <w:sz w:val="21"/>
                <w:szCs w:val="21"/>
                <w:highlight w:val="none"/>
                <w:vertAlign w:val="superscript"/>
              </w:rPr>
              <w:t>192</w:t>
            </w:r>
            <w:r>
              <w:rPr>
                <w:rFonts w:hint="default" w:ascii="Times New Roman" w:hAnsi="Times New Roman" w:eastAsia="宋体" w:cs="Times New Roman"/>
                <w:b w:val="0"/>
                <w:bCs w:val="0"/>
                <w:color w:val="auto"/>
                <w:sz w:val="21"/>
                <w:szCs w:val="21"/>
                <w:highlight w:val="none"/>
              </w:rPr>
              <w:t>Ir</w:t>
            </w:r>
            <w:r>
              <w:rPr>
                <w:rFonts w:hint="default" w:ascii="Times New Roman" w:hAnsi="Times New Roman" w:cs="Times New Roman"/>
                <w:b w:val="0"/>
                <w:bCs w:val="0"/>
                <w:color w:val="auto"/>
                <w:sz w:val="21"/>
                <w:szCs w:val="21"/>
                <w:highlight w:val="none"/>
                <w:lang w:val="en-US" w:eastAsia="zh-CN"/>
              </w:rPr>
              <w:t>的空气比释动能率常数为0.111μSv/（hMBq）</w:t>
            </w:r>
            <w:r>
              <w:rPr>
                <w:rFonts w:hint="default" w:ascii="Times New Roman" w:hAnsi="Times New Roman" w:eastAsia="宋体" w:cs="Times New Roman"/>
                <w:b w:val="0"/>
                <w:bCs w:val="0"/>
                <w:color w:val="auto"/>
                <w:spacing w:val="-1"/>
                <w:sz w:val="21"/>
                <w:szCs w:val="21"/>
                <w:highlight w:val="none"/>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jc w:val="both"/>
              <w:textAlignment w:val="auto"/>
              <w:rPr>
                <w:rFonts w:hint="default" w:ascii="Times New Roman" w:hAnsi="Times New Roman" w:eastAsia="宋体" w:cs="Times New Roman"/>
                <w:b w:val="0"/>
                <w:bCs w:val="0"/>
                <w:color w:val="auto"/>
                <w:spacing w:val="-102"/>
                <w:sz w:val="21"/>
                <w:szCs w:val="21"/>
                <w:highlight w:val="none"/>
                <w:lang w:eastAsia="zh-CN"/>
              </w:rPr>
            </w:pPr>
            <w:r>
              <w:rPr>
                <w:rFonts w:hint="default" w:ascii="Times New Roman" w:hAnsi="Times New Roman" w:eastAsia="宋体" w:cs="Times New Roman"/>
                <w:b w:val="0"/>
                <w:bCs w:val="0"/>
                <w:color w:val="auto"/>
                <w:spacing w:val="-1"/>
                <w:sz w:val="21"/>
                <w:szCs w:val="21"/>
                <w:highlight w:val="none"/>
              </w:rPr>
              <w:t>R</w:t>
            </w:r>
            <w:r>
              <w:rPr>
                <w:rFonts w:hint="default" w:ascii="Times New Roman" w:hAnsi="Times New Roman" w:eastAsia="宋体" w:cs="Times New Roman"/>
                <w:b w:val="0"/>
                <w:bCs w:val="0"/>
                <w:color w:val="auto"/>
                <w:spacing w:val="-1"/>
                <w:sz w:val="21"/>
                <w:szCs w:val="21"/>
                <w:highlight w:val="none"/>
                <w:vertAlign w:val="subscript"/>
                <w:lang w:val="en-US" w:eastAsia="zh-CN"/>
              </w:rPr>
              <w:t>1</w:t>
            </w:r>
            <w:r>
              <w:rPr>
                <w:rFonts w:hint="default" w:ascii="Times New Roman" w:hAnsi="Times New Roman" w:eastAsia="宋体" w:cs="Times New Roman"/>
                <w:b w:val="0"/>
                <w:bCs w:val="0"/>
                <w:color w:val="auto"/>
                <w:spacing w:val="-1"/>
                <w:sz w:val="21"/>
                <w:szCs w:val="21"/>
                <w:highlight w:val="none"/>
              </w:rPr>
              <w:t>—散射源至散射体中心点的距离，</w:t>
            </w:r>
            <w:r>
              <w:rPr>
                <w:rFonts w:hint="eastAsia" w:ascii="Times New Roman" w:hAnsi="Times New Roman" w:cs="Times New Roman"/>
                <w:b w:val="0"/>
                <w:bCs w:val="0"/>
                <w:color w:val="auto"/>
                <w:spacing w:val="-1"/>
                <w:sz w:val="21"/>
                <w:szCs w:val="21"/>
                <w:highlight w:val="none"/>
                <w:lang w:val="en-US" w:eastAsia="zh-CN"/>
              </w:rPr>
              <w:t>5.05</w:t>
            </w:r>
            <w:r>
              <w:rPr>
                <w:rFonts w:hint="default" w:ascii="Times New Roman" w:hAnsi="Times New Roman" w:eastAsia="宋体" w:cs="Times New Roman"/>
                <w:b w:val="0"/>
                <w:bCs w:val="0"/>
                <w:color w:val="auto"/>
                <w:spacing w:val="-1"/>
                <w:sz w:val="21"/>
                <w:szCs w:val="21"/>
                <w:highlight w:val="none"/>
              </w:rPr>
              <w:t>m；</w:t>
            </w:r>
          </w:p>
          <w:p>
            <w:pPr>
              <w:keepNext w:val="0"/>
              <w:keepLines w:val="0"/>
              <w:suppressLineNumbers w:val="0"/>
              <w:bidi w:val="0"/>
              <w:spacing w:before="0" w:beforeAutospacing="0" w:after="0" w:afterAutospacing="0" w:line="360" w:lineRule="auto"/>
              <w:ind w:left="0" w:right="0" w:firstLine="416" w:firstLineChars="200"/>
              <w:jc w:val="left"/>
              <w:rPr>
                <w:rFonts w:hint="default" w:ascii="Times New Roman" w:hAnsi="Times New Roman" w:eastAsia="宋体" w:cs="Times New Roman"/>
                <w:b w:val="0"/>
                <w:bCs w:val="0"/>
                <w:color w:val="auto"/>
                <w:spacing w:val="-1"/>
                <w:sz w:val="21"/>
                <w:szCs w:val="21"/>
                <w:highlight w:val="none"/>
              </w:rPr>
            </w:pPr>
            <w:r>
              <w:rPr>
                <w:rFonts w:hint="default" w:ascii="Times New Roman" w:hAnsi="Times New Roman" w:eastAsia="宋体" w:cs="Times New Roman"/>
                <w:b w:val="0"/>
                <w:bCs w:val="0"/>
                <w:color w:val="auto"/>
                <w:spacing w:val="-1"/>
                <w:sz w:val="21"/>
                <w:szCs w:val="21"/>
                <w:highlight w:val="none"/>
              </w:rPr>
              <w:t>R</w:t>
            </w:r>
            <w:r>
              <w:rPr>
                <w:rFonts w:hint="default" w:ascii="Times New Roman" w:hAnsi="Times New Roman" w:eastAsia="宋体" w:cs="Times New Roman"/>
                <w:b w:val="0"/>
                <w:bCs w:val="0"/>
                <w:color w:val="auto"/>
                <w:spacing w:val="-1"/>
                <w:sz w:val="21"/>
                <w:szCs w:val="21"/>
                <w:highlight w:val="none"/>
                <w:vertAlign w:val="subscript"/>
                <w:lang w:val="en-US" w:eastAsia="zh-CN"/>
              </w:rPr>
              <w:t>2</w:t>
            </w:r>
            <w:r>
              <w:rPr>
                <w:rFonts w:hint="default" w:ascii="Times New Roman" w:hAnsi="Times New Roman" w:eastAsia="宋体" w:cs="Times New Roman"/>
                <w:b w:val="0"/>
                <w:bCs w:val="0"/>
                <w:color w:val="auto"/>
                <w:spacing w:val="-1"/>
                <w:sz w:val="21"/>
                <w:szCs w:val="21"/>
                <w:highlight w:val="none"/>
              </w:rPr>
              <w:t>—散射体中心点至计算点的距离，</w:t>
            </w:r>
            <w:r>
              <w:rPr>
                <w:rFonts w:hint="eastAsia" w:ascii="Times New Roman" w:hAnsi="Times New Roman" w:cs="Times New Roman"/>
                <w:b w:val="0"/>
                <w:bCs w:val="0"/>
                <w:color w:val="auto"/>
                <w:spacing w:val="-1"/>
                <w:sz w:val="21"/>
                <w:szCs w:val="21"/>
                <w:highlight w:val="none"/>
                <w:lang w:val="en-US" w:eastAsia="zh-CN"/>
              </w:rPr>
              <w:t>7.07</w:t>
            </w:r>
            <w:r>
              <w:rPr>
                <w:rFonts w:hint="default" w:ascii="Times New Roman" w:hAnsi="Times New Roman" w:eastAsia="宋体" w:cs="Times New Roman"/>
                <w:b w:val="0"/>
                <w:bCs w:val="0"/>
                <w:color w:val="auto"/>
                <w:spacing w:val="-1"/>
                <w:sz w:val="21"/>
                <w:szCs w:val="21"/>
                <w:highlight w:val="none"/>
              </w:rPr>
              <w:t>m。</w:t>
            </w:r>
          </w:p>
          <w:p>
            <w:pPr>
              <w:keepNext w:val="0"/>
              <w:keepLines w:val="0"/>
              <w:suppressLineNumbers w:val="0"/>
              <w:bidi w:val="0"/>
              <w:spacing w:before="0" w:beforeAutospacing="0" w:after="0" w:afterAutospacing="0" w:line="360" w:lineRule="auto"/>
              <w:ind w:left="0" w:right="0" w:firstLine="478"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b/>
                <w:bCs/>
                <w:color w:val="auto"/>
                <w:spacing w:val="-1"/>
                <w:sz w:val="24"/>
                <w:szCs w:val="24"/>
                <w:highlight w:val="none"/>
                <w:lang w:val="en-US" w:eastAsia="zh-CN"/>
              </w:rPr>
              <w:t>经计算，</w:t>
            </w:r>
            <w:r>
              <w:rPr>
                <w:rFonts w:hint="default" w:ascii="Times New Roman" w:hAnsi="Times New Roman" w:eastAsia="宋体" w:cs="Times New Roman"/>
                <w:b/>
                <w:bCs/>
                <w:color w:val="auto"/>
                <w:sz w:val="24"/>
                <w:szCs w:val="24"/>
                <w:highlight w:val="none"/>
              </w:rPr>
              <w:t>机房入口处</w:t>
            </w:r>
            <w:r>
              <w:rPr>
                <w:rFonts w:hint="eastAsia" w:ascii="Times New Roman" w:hAnsi="Times New Roman" w:cs="Times New Roman"/>
                <w:b/>
                <w:bCs/>
                <w:color w:val="auto"/>
                <w:sz w:val="24"/>
                <w:szCs w:val="24"/>
                <w:highlight w:val="none"/>
                <w:lang w:val="en-US" w:eastAsia="zh-CN"/>
              </w:rPr>
              <w:t>G</w:t>
            </w:r>
            <w:r>
              <w:rPr>
                <w:rFonts w:hint="default" w:ascii="Times New Roman" w:hAnsi="Times New Roman" w:cs="Times New Roman"/>
                <w:b/>
                <w:bCs/>
                <w:color w:val="auto"/>
                <w:sz w:val="24"/>
                <w:szCs w:val="24"/>
                <w:highlight w:val="none"/>
                <w:lang w:val="en-US" w:eastAsia="zh-CN"/>
              </w:rPr>
              <w:t>点</w:t>
            </w:r>
            <w:r>
              <w:rPr>
                <w:rFonts w:hint="default" w:ascii="Times New Roman" w:hAnsi="Times New Roman" w:eastAsia="宋体" w:cs="Times New Roman"/>
                <w:b/>
                <w:bCs/>
                <w:color w:val="auto"/>
                <w:sz w:val="24"/>
                <w:szCs w:val="24"/>
                <w:highlight w:val="none"/>
              </w:rPr>
              <w:t>的散射辐射剂量</w:t>
            </w:r>
            <w:r>
              <w:rPr>
                <w:rFonts w:hint="default" w:ascii="Times New Roman" w:hAnsi="Times New Roman" w:cs="Times New Roman"/>
                <w:b/>
                <w:bCs/>
                <w:color w:val="auto"/>
                <w:sz w:val="24"/>
                <w:szCs w:val="24"/>
                <w:highlight w:val="none"/>
                <w:lang w:eastAsia="zh-CN"/>
              </w:rPr>
              <w:t>率</w:t>
            </w:r>
            <w:r>
              <w:rPr>
                <w:rFonts w:hint="default" w:ascii="Times New Roman" w:hAnsi="Times New Roman" w:eastAsia="宋体" w:cs="Times New Roman"/>
                <w:b/>
                <w:bCs/>
                <w:color w:val="auto"/>
                <w:position w:val="-14"/>
                <w:sz w:val="24"/>
                <w:szCs w:val="24"/>
                <w:highlight w:val="none"/>
              </w:rPr>
              <w:object>
                <v:shape id="_x0000_i1126" o:spt="75" type="#_x0000_t75" style="height:26pt;width:22pt;" o:ole="t" filled="f" o:preferrelative="t" stroked="f" coordsize="21600,21600">
                  <v:path/>
                  <v:fill on="f" focussize="0,0"/>
                  <v:stroke on="f"/>
                  <v:imagedata r:id="rId227" o:title=""/>
                  <o:lock v:ext="edit" aspectratio="t"/>
                  <w10:wrap type="none"/>
                  <w10:anchorlock/>
                </v:shape>
                <o:OLEObject Type="Embed" ProgID="Equation.KSEE3" ShapeID="_x0000_i1126" DrawAspect="Content" ObjectID="_1468075826" r:id="rId226">
                  <o:LockedField>false</o:LockedField>
                </o:OLEObject>
              </w:object>
            </w:r>
            <w:r>
              <w:rPr>
                <w:rFonts w:hint="default" w:ascii="Times New Roman" w:hAnsi="Times New Roman" w:cs="Times New Roman"/>
                <w:b/>
                <w:bCs/>
                <w:color w:val="auto"/>
                <w:sz w:val="24"/>
                <w:szCs w:val="24"/>
                <w:highlight w:val="none"/>
                <w:lang w:eastAsia="zh-CN"/>
              </w:rPr>
              <w:t>为</w:t>
            </w:r>
            <w:r>
              <w:rPr>
                <w:rFonts w:hint="eastAsia" w:ascii="Times New Roman" w:hAnsi="Times New Roman" w:cs="Times New Roman"/>
                <w:b/>
                <w:bCs/>
                <w:color w:val="auto"/>
                <w:sz w:val="24"/>
                <w:szCs w:val="24"/>
                <w:highlight w:val="none"/>
                <w:lang w:val="en-US" w:eastAsia="zh-CN"/>
              </w:rPr>
              <w:t>5.25</w:t>
            </w:r>
            <w:r>
              <w:rPr>
                <w:rFonts w:hint="default" w:ascii="Times New Roman" w:hAnsi="Times New Roman" w:cs="Times New Roman"/>
                <w:b/>
                <w:bCs/>
                <w:color w:val="auto"/>
                <w:sz w:val="24"/>
                <w:szCs w:val="24"/>
                <w:highlight w:val="none"/>
                <w:lang w:val="en-US" w:eastAsia="zh-CN"/>
              </w:rPr>
              <w:t>uSv/h。</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both"/>
              <w:textAlignment w:val="auto"/>
              <w:rPr>
                <w:rFonts w:hint="default" w:ascii="Times New Roman" w:hAnsi="Times New Roman" w:cs="Times New Roman"/>
                <w:b w:val="0"/>
                <w:bCs w:val="0"/>
                <w:color w:val="auto"/>
                <w:spacing w:val="-1"/>
                <w:sz w:val="24"/>
                <w:szCs w:val="24"/>
                <w:highlight w:val="none"/>
                <w:lang w:val="en-US" w:eastAsia="zh-CN"/>
              </w:rPr>
            </w:pPr>
            <w:r>
              <w:rPr>
                <w:rFonts w:hint="default" w:ascii="Times New Roman" w:hAnsi="Times New Roman" w:cs="Times New Roman"/>
                <w:b w:val="0"/>
                <w:bCs w:val="0"/>
                <w:color w:val="auto"/>
                <w:spacing w:val="-1"/>
                <w:sz w:val="24"/>
                <w:szCs w:val="24"/>
                <w:highlight w:val="none"/>
                <w:lang w:eastAsia="zh-CN"/>
              </w:rPr>
              <w:t>在给定迷道内墙屏蔽物质的厚度为</w:t>
            </w:r>
            <w:r>
              <w:rPr>
                <w:rFonts w:hint="eastAsia" w:ascii="Times New Roman" w:hAnsi="Times New Roman" w:cs="Times New Roman"/>
                <w:b w:val="0"/>
                <w:bCs w:val="0"/>
                <w:color w:val="auto"/>
                <w:spacing w:val="-1"/>
                <w:sz w:val="24"/>
                <w:szCs w:val="24"/>
                <w:highlight w:val="none"/>
                <w:lang w:val="en-US" w:eastAsia="zh-CN"/>
              </w:rPr>
              <w:t>8</w:t>
            </w:r>
            <w:r>
              <w:rPr>
                <w:rFonts w:hint="default" w:ascii="Times New Roman" w:hAnsi="Times New Roman" w:cs="Times New Roman"/>
                <w:b w:val="0"/>
                <w:bCs w:val="0"/>
                <w:color w:val="auto"/>
                <w:spacing w:val="-1"/>
                <w:sz w:val="24"/>
                <w:szCs w:val="24"/>
                <w:highlight w:val="none"/>
                <w:lang w:val="en-US" w:eastAsia="zh-CN"/>
              </w:rPr>
              <w:t>00mm时，可按下列公式计算屏蔽体外关注点</w:t>
            </w:r>
            <w:r>
              <w:rPr>
                <w:rFonts w:hint="eastAsia" w:ascii="Times New Roman" w:hAnsi="Times New Roman" w:cs="Times New Roman"/>
                <w:b/>
                <w:bCs/>
                <w:color w:val="auto"/>
                <w:sz w:val="24"/>
                <w:szCs w:val="24"/>
                <w:highlight w:val="none"/>
                <w:lang w:val="en-US" w:eastAsia="zh-CN"/>
              </w:rPr>
              <w:t>G</w:t>
            </w:r>
            <w:r>
              <w:rPr>
                <w:rFonts w:hint="default" w:ascii="Times New Roman" w:hAnsi="Times New Roman" w:cs="Times New Roman"/>
                <w:b w:val="0"/>
                <w:bCs w:val="0"/>
                <w:color w:val="auto"/>
                <w:spacing w:val="-1"/>
                <w:sz w:val="24"/>
                <w:szCs w:val="24"/>
                <w:highlight w:val="none"/>
                <w:lang w:val="en-US" w:eastAsia="zh-CN"/>
              </w:rPr>
              <w:t>的漏射剂量率</w:t>
            </w:r>
            <w:r>
              <w:rPr>
                <w:rFonts w:hint="default" w:ascii="Times New Roman" w:hAnsi="Times New Roman" w:eastAsia="宋体" w:cs="Times New Roman"/>
                <w:b w:val="0"/>
                <w:bCs w:val="0"/>
                <w:color w:val="auto"/>
                <w:position w:val="-8"/>
                <w:sz w:val="24"/>
                <w:szCs w:val="24"/>
                <w:highlight w:val="none"/>
              </w:rPr>
              <w:object>
                <v:shape id="_x0000_i1127" o:spt="75" type="#_x0000_t75" style="height:23pt;width:20pt;" o:ole="t" filled="f" o:preferrelative="t" stroked="f" coordsize="21600,21600">
                  <v:path/>
                  <v:fill on="f" focussize="0,0"/>
                  <v:stroke on="f"/>
                  <v:imagedata r:id="rId229" o:title=""/>
                  <o:lock v:ext="edit" aspectratio="t"/>
                  <w10:wrap type="none"/>
                  <w10:anchorlock/>
                </v:shape>
                <o:OLEObject Type="Embed" ProgID="Equation.KSEE3" ShapeID="_x0000_i1127" DrawAspect="Content" ObjectID="_1468075827" r:id="rId228">
                  <o:LockedField>false</o:LockedField>
                </o:OLEObject>
              </w:object>
            </w:r>
            <w:r>
              <w:rPr>
                <w:rFonts w:hint="default" w:ascii="Times New Roman" w:hAnsi="Times New Roman" w:cs="Times New Roman"/>
                <w:b w:val="0"/>
                <w:bCs w:val="0"/>
                <w:color w:val="auto"/>
                <w:spacing w:val="-1"/>
                <w:sz w:val="24"/>
                <w:szCs w:val="24"/>
                <w:highlight w:val="none"/>
                <w:lang w:val="en-US" w:eastAsia="zh-CN"/>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position w:val="-12"/>
                <w:sz w:val="24"/>
                <w:szCs w:val="24"/>
                <w:highlight w:val="none"/>
              </w:rPr>
              <w:object>
                <v:shape id="_x0000_i1128" o:spt="75" type="#_x0000_t75" style="height:17.2pt;width:65.1pt;" o:ole="t" filled="f" o:preferrelative="t" stroked="f" coordsize="21600,21600">
                  <v:path/>
                  <v:fill on="f" focussize="0,0"/>
                  <v:stroke on="f"/>
                  <v:imagedata r:id="rId231" o:title=""/>
                  <o:lock v:ext="edit" aspectratio="t"/>
                  <w10:wrap type="none"/>
                  <w10:anchorlock/>
                </v:shape>
                <o:OLEObject Type="Embed" ProgID="Equation.3" ShapeID="_x0000_i1128" DrawAspect="Content" ObjectID="_1468075828" r:id="rId230">
                  <o:LockedField>false</o:LockedField>
                </o:OLEObject>
              </w:object>
            </w:r>
            <w:r>
              <w:rPr>
                <w:rFonts w:hint="default" w:ascii="Times New Roman" w:hAnsi="Times New Roman" w:eastAsia="宋体" w:cs="Times New Roman"/>
                <w:b w:val="0"/>
                <w:bCs w:val="0"/>
                <w:color w:val="auto"/>
                <w:sz w:val="24"/>
                <w:szCs w:val="24"/>
                <w:highlight w:val="none"/>
              </w:rPr>
              <w:t>...........................................................................(式11</w:t>
            </w:r>
            <w:r>
              <w:rPr>
                <w:rFonts w:hint="default"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39</w:t>
            </w:r>
            <w:r>
              <w:rPr>
                <w:rFonts w:hint="default" w:ascii="Times New Roman" w:hAnsi="Times New Roman" w:eastAsia="宋体" w:cs="Times New Roman"/>
                <w:b w:val="0"/>
                <w:bCs w:val="0"/>
                <w:color w:val="auto"/>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position w:val="-10"/>
                <w:sz w:val="24"/>
                <w:szCs w:val="24"/>
                <w:highlight w:val="none"/>
              </w:rPr>
              <w:object>
                <v:shape id="_x0000_i1129" o:spt="75" type="#_x0000_t75" style="height:17.25pt;width:103.4pt;" o:ole="t" filled="f" o:preferrelative="t" stroked="f" coordsize="21600,21600">
                  <v:path/>
                  <v:fill on="f" focussize="0,0"/>
                  <v:stroke on="f"/>
                  <v:imagedata r:id="rId233" o:title=""/>
                  <o:lock v:ext="edit" aspectratio="t"/>
                  <w10:wrap type="none"/>
                  <w10:anchorlock/>
                </v:shape>
                <o:OLEObject Type="Embed" ProgID="Equation.3" ShapeID="_x0000_i1129" DrawAspect="Content" ObjectID="_1468075829" r:id="rId232">
                  <o:LockedField>false</o:LockedField>
                </o:OLEObject>
              </w:object>
            </w:r>
            <w:r>
              <w:rPr>
                <w:rFonts w:hint="default" w:ascii="Times New Roman" w:hAnsi="Times New Roman" w:eastAsia="宋体" w:cs="Times New Roman"/>
                <w:b w:val="0"/>
                <w:bCs w:val="0"/>
                <w:color w:val="auto"/>
                <w:sz w:val="24"/>
                <w:szCs w:val="24"/>
                <w:highlight w:val="none"/>
              </w:rPr>
              <w:t>..................................................................(式11-</w:t>
            </w:r>
            <w:r>
              <w:rPr>
                <w:rFonts w:hint="eastAsia" w:ascii="Times New Roman" w:hAnsi="Times New Roman" w:cs="Times New Roman"/>
                <w:b w:val="0"/>
                <w:bCs w:val="0"/>
                <w:color w:val="auto"/>
                <w:sz w:val="24"/>
                <w:szCs w:val="24"/>
                <w:highlight w:val="none"/>
                <w:lang w:val="en-US" w:eastAsia="zh-CN"/>
              </w:rPr>
              <w:t>40</w:t>
            </w:r>
            <w:r>
              <w:rPr>
                <w:rFonts w:hint="default" w:ascii="Times New Roman" w:hAnsi="Times New Roman" w:eastAsia="宋体" w:cs="Times New Roman"/>
                <w:b w:val="0"/>
                <w:bCs w:val="0"/>
                <w:color w:val="auto"/>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2"/>
                <w:highlight w:val="none"/>
                <w:lang w:val="en-US" w:eastAsia="zh-CN"/>
              </w:rPr>
            </w:pPr>
            <w:r>
              <w:rPr>
                <w:rFonts w:hint="default" w:ascii="Times New Roman" w:hAnsi="Times New Roman" w:eastAsia="宋体" w:cs="Times New Roman"/>
                <w:b w:val="0"/>
                <w:bCs w:val="0"/>
                <w:color w:val="auto"/>
                <w:position w:val="-30"/>
                <w:sz w:val="24"/>
                <w:szCs w:val="24"/>
                <w:highlight w:val="none"/>
              </w:rPr>
              <w:object>
                <v:shape id="_x0000_i1130" o:spt="75" type="#_x0000_t75" style="height:26.8pt;width:77.6pt;" o:ole="t" filled="f" o:preferrelative="t" stroked="f" coordsize="21600,21600">
                  <v:path/>
                  <v:fill on="f" focussize="0,0"/>
                  <v:stroke on="f"/>
                  <v:imagedata r:id="rId235" o:title=""/>
                  <o:lock v:ext="edit" aspectratio="t"/>
                  <w10:wrap type="none"/>
                  <w10:anchorlock/>
                </v:shape>
                <o:OLEObject Type="Embed" ProgID="Equation.3" ShapeID="_x0000_i1130" DrawAspect="Content" ObjectID="_1468075830" r:id="rId234">
                  <o:LockedField>false</o:LockedField>
                </o:OLEObject>
              </w:objec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.............................(式11</w:t>
            </w:r>
            <w:r>
              <w:rPr>
                <w:rFonts w:hint="default"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41</w:t>
            </w:r>
            <w:r>
              <w:rPr>
                <w:rFonts w:hint="default" w:ascii="Times New Roman" w:hAnsi="Times New Roman" w:eastAsia="宋体" w:cs="Times New Roman"/>
                <w:b w:val="0"/>
                <w:bCs w:val="0"/>
                <w:color w:val="auto"/>
                <w:sz w:val="24"/>
                <w:szCs w:val="24"/>
                <w:highlight w:val="none"/>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eastAsia="zh-CN"/>
              </w:rPr>
              <w:t>式中：</w:t>
            </w:r>
            <w:r>
              <w:rPr>
                <w:rFonts w:hint="default" w:ascii="Times New Roman" w:hAnsi="Times New Roman" w:cs="Times New Roman"/>
                <w:b w:val="0"/>
                <w:bCs w:val="0"/>
                <w:color w:val="auto"/>
                <w:sz w:val="24"/>
                <w:szCs w:val="24"/>
                <w:highlight w:val="none"/>
                <w:lang w:val="en-US" w:eastAsia="zh-CN"/>
              </w:rPr>
              <w:t>R</w:t>
            </w:r>
            <w:r>
              <w:rPr>
                <w:rFonts w:hint="default" w:ascii="Times New Roman" w:hAnsi="Times New Roman" w:cs="Times New Roman"/>
                <w:b w:val="0"/>
                <w:bCs w:val="0"/>
                <w:color w:val="auto"/>
                <w:sz w:val="24"/>
                <w:szCs w:val="24"/>
                <w:highlight w:val="none"/>
                <w:vertAlign w:val="subscript"/>
                <w:lang w:val="en-US" w:eastAsia="zh-CN"/>
              </w:rPr>
              <w:t>3</w:t>
            </w:r>
            <w:r>
              <w:rPr>
                <w:rFonts w:hint="default" w:ascii="Times New Roman" w:hAnsi="Times New Roman" w:cs="Times New Roman"/>
                <w:b w:val="0"/>
                <w:bCs w:val="0"/>
                <w:color w:val="auto"/>
                <w:sz w:val="24"/>
                <w:szCs w:val="24"/>
                <w:highlight w:val="none"/>
                <w:lang w:val="en-US" w:eastAsia="zh-CN"/>
              </w:rPr>
              <w:t>—放射源距离关注点的距离，取</w:t>
            </w:r>
            <w:r>
              <w:rPr>
                <w:rFonts w:hint="eastAsia" w:ascii="Times New Roman" w:hAnsi="Times New Roman" w:cs="Times New Roman"/>
                <w:b w:val="0"/>
                <w:bCs w:val="0"/>
                <w:color w:val="auto"/>
                <w:sz w:val="24"/>
                <w:szCs w:val="24"/>
                <w:highlight w:val="none"/>
                <w:lang w:val="en-US" w:eastAsia="zh-CN"/>
              </w:rPr>
              <w:t>5.4</w:t>
            </w:r>
            <w:r>
              <w:rPr>
                <w:rFonts w:hint="default" w:ascii="Times New Roman" w:hAnsi="Times New Roman" w:cs="Times New Roman"/>
                <w:b w:val="0"/>
                <w:bCs w:val="0"/>
                <w:color w:val="auto"/>
                <w:sz w:val="24"/>
                <w:szCs w:val="24"/>
                <w:highlight w:val="none"/>
                <w:lang w:val="en-US" w:eastAsia="zh-CN"/>
              </w:rPr>
              <w:t>m；</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其余同上。</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经计算，</w:t>
            </w:r>
            <w:r>
              <w:rPr>
                <w:rFonts w:hint="eastAsia" w:ascii="Times New Roman" w:hAnsi="Times New Roman" w:cs="Times New Roman"/>
                <w:b w:val="0"/>
                <w:bCs w:val="0"/>
                <w:color w:val="auto"/>
                <w:sz w:val="24"/>
                <w:szCs w:val="24"/>
                <w:highlight w:val="none"/>
                <w:lang w:val="en-US" w:eastAsia="zh-CN"/>
              </w:rPr>
              <w:t>治疗室</w:t>
            </w:r>
            <w:r>
              <w:rPr>
                <w:rFonts w:hint="default" w:ascii="Times New Roman" w:hAnsi="Times New Roman" w:eastAsia="宋体" w:cs="Times New Roman"/>
                <w:b w:val="0"/>
                <w:bCs w:val="0"/>
                <w:color w:val="auto"/>
                <w:sz w:val="24"/>
                <w:szCs w:val="24"/>
                <w:highlight w:val="none"/>
              </w:rPr>
              <w:t>入口处</w:t>
            </w:r>
            <w:r>
              <w:rPr>
                <w:rFonts w:hint="eastAsia" w:ascii="Times New Roman" w:hAnsi="Times New Roman" w:cs="Times New Roman"/>
                <w:b w:val="0"/>
                <w:bCs w:val="0"/>
                <w:color w:val="auto"/>
                <w:sz w:val="24"/>
                <w:szCs w:val="24"/>
                <w:highlight w:val="none"/>
                <w:lang w:val="en-US" w:eastAsia="zh-CN"/>
              </w:rPr>
              <w:t>G</w:t>
            </w:r>
            <w:r>
              <w:rPr>
                <w:rFonts w:hint="default" w:ascii="Times New Roman" w:hAnsi="Times New Roman" w:cs="Times New Roman"/>
                <w:b w:val="0"/>
                <w:bCs w:val="0"/>
                <w:color w:val="auto"/>
                <w:sz w:val="24"/>
                <w:szCs w:val="24"/>
                <w:highlight w:val="none"/>
                <w:lang w:val="en-US" w:eastAsia="zh-CN"/>
              </w:rPr>
              <w:t>点</w:t>
            </w:r>
            <w:r>
              <w:rPr>
                <w:rFonts w:hint="default" w:ascii="Times New Roman" w:hAnsi="Times New Roman" w:eastAsia="宋体" w:cs="Times New Roman"/>
                <w:b w:val="0"/>
                <w:bCs w:val="0"/>
                <w:color w:val="auto"/>
                <w:sz w:val="24"/>
                <w:szCs w:val="24"/>
                <w:highlight w:val="none"/>
              </w:rPr>
              <w:t>的</w:t>
            </w:r>
            <w:r>
              <w:rPr>
                <w:rFonts w:hint="default" w:ascii="Times New Roman" w:hAnsi="Times New Roman" w:cs="Times New Roman"/>
                <w:b w:val="0"/>
                <w:bCs w:val="0"/>
                <w:color w:val="auto"/>
                <w:sz w:val="24"/>
                <w:szCs w:val="24"/>
                <w:highlight w:val="none"/>
                <w:lang w:eastAsia="zh-CN"/>
              </w:rPr>
              <w:t>漏射</w:t>
            </w:r>
            <w:r>
              <w:rPr>
                <w:rFonts w:hint="default" w:ascii="Times New Roman" w:hAnsi="Times New Roman" w:eastAsia="宋体" w:cs="Times New Roman"/>
                <w:b w:val="0"/>
                <w:bCs w:val="0"/>
                <w:color w:val="auto"/>
                <w:sz w:val="24"/>
                <w:szCs w:val="24"/>
                <w:highlight w:val="none"/>
              </w:rPr>
              <w:t>辐射剂量</w:t>
            </w:r>
            <w:r>
              <w:rPr>
                <w:rFonts w:hint="default" w:ascii="Times New Roman" w:hAnsi="Times New Roman" w:cs="Times New Roman"/>
                <w:b w:val="0"/>
                <w:bCs w:val="0"/>
                <w:color w:val="auto"/>
                <w:sz w:val="24"/>
                <w:szCs w:val="24"/>
                <w:highlight w:val="none"/>
                <w:lang w:eastAsia="zh-CN"/>
              </w:rPr>
              <w:t>率</w:t>
            </w:r>
            <w:r>
              <w:rPr>
                <w:rFonts w:hint="default" w:ascii="Times New Roman" w:hAnsi="Times New Roman" w:eastAsia="宋体" w:cs="Times New Roman"/>
                <w:b w:val="0"/>
                <w:bCs w:val="0"/>
                <w:color w:val="auto"/>
                <w:position w:val="-8"/>
                <w:sz w:val="24"/>
                <w:szCs w:val="24"/>
                <w:highlight w:val="none"/>
              </w:rPr>
              <w:object>
                <v:shape id="_x0000_i1131" o:spt="75" type="#_x0000_t75" style="height:23pt;width:23pt;" o:ole="t" filled="f" o:preferrelative="t" stroked="f" coordsize="21600,21600">
                  <v:path/>
                  <v:fill on="f" focussize="0,0"/>
                  <v:stroke on="f"/>
                  <v:imagedata r:id="rId237" o:title=""/>
                  <o:lock v:ext="edit" aspectratio="t"/>
                  <w10:wrap type="none"/>
                  <w10:anchorlock/>
                </v:shape>
                <o:OLEObject Type="Embed" ProgID="Equation.KSEE3" ShapeID="_x0000_i1131" DrawAspect="Content" ObjectID="_1468075831" r:id="rId236">
                  <o:LockedField>false</o:LockedField>
                </o:OLEObject>
              </w:object>
            </w:r>
            <w:r>
              <w:rPr>
                <w:rFonts w:hint="default" w:ascii="Times New Roman" w:hAnsi="Times New Roman" w:cs="Times New Roman"/>
                <w:b w:val="0"/>
                <w:bCs w:val="0"/>
                <w:color w:val="auto"/>
                <w:sz w:val="24"/>
                <w:szCs w:val="24"/>
                <w:highlight w:val="none"/>
                <w:lang w:eastAsia="zh-CN"/>
              </w:rPr>
              <w:t>为</w:t>
            </w:r>
            <w:r>
              <w:rPr>
                <w:rFonts w:hint="default" w:ascii="Times New Roman" w:hAnsi="Times New Roman"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val="en-US" w:eastAsia="zh-CN"/>
              </w:rPr>
              <w:t>83</w:t>
            </w:r>
            <w:r>
              <w:rPr>
                <w:rFonts w:hint="default" w:ascii="Times New Roman" w:hAnsi="Times New Roman" w:eastAsia="宋体" w:cs="Times New Roman"/>
                <w:b/>
                <w:bCs/>
                <w:color w:val="auto"/>
                <w:kern w:val="2"/>
                <w:sz w:val="24"/>
                <w:szCs w:val="24"/>
                <w:highlight w:val="none"/>
              </w:rPr>
              <w:t>×10</w:t>
            </w:r>
            <w:r>
              <w:rPr>
                <w:rFonts w:hint="default" w:ascii="Times New Roman" w:hAnsi="Times New Roman" w:eastAsia="宋体" w:cs="Times New Roman"/>
                <w:b/>
                <w:bCs/>
                <w:color w:val="auto"/>
                <w:kern w:val="2"/>
                <w:sz w:val="24"/>
                <w:szCs w:val="24"/>
                <w:highlight w:val="none"/>
                <w:vertAlign w:val="superscript"/>
                <w:lang w:val="en-US" w:eastAsia="zh-CN"/>
              </w:rPr>
              <w:t>-</w:t>
            </w:r>
            <w:r>
              <w:rPr>
                <w:rFonts w:hint="eastAsia" w:ascii="Times New Roman" w:hAnsi="Times New Roman" w:cs="Times New Roman"/>
                <w:b/>
                <w:bCs/>
                <w:color w:val="auto"/>
                <w:kern w:val="2"/>
                <w:sz w:val="24"/>
                <w:szCs w:val="24"/>
                <w:highlight w:val="none"/>
                <w:vertAlign w:val="superscript"/>
                <w:lang w:val="en-US" w:eastAsia="zh-CN"/>
              </w:rPr>
              <w:t>9</w:t>
            </w:r>
            <w:r>
              <w:rPr>
                <w:rFonts w:hint="default" w:ascii="Times New Roman" w:hAnsi="Times New Roman" w:cs="Times New Roman"/>
                <w:b/>
                <w:bCs/>
                <w:color w:val="auto"/>
                <w:sz w:val="24"/>
                <w:szCs w:val="24"/>
                <w:highlight w:val="none"/>
                <w:lang w:val="en-US" w:eastAsia="zh-CN"/>
              </w:rPr>
              <w:t>uSv/h</w:t>
            </w:r>
            <w:r>
              <w:rPr>
                <w:rFonts w:hint="default" w:ascii="Times New Roman" w:hAnsi="Times New Roman" w:cs="Times New Roman"/>
                <w:b w:val="0"/>
                <w:bCs w:val="0"/>
                <w:color w:val="auto"/>
                <w:sz w:val="24"/>
                <w:szCs w:val="24"/>
                <w:highlight w:val="none"/>
                <w:lang w:val="en-US" w:eastAsia="zh-CN"/>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eastAsia="zh-CN"/>
              </w:rPr>
              <w:t>防护门需要的屏蔽因子</w:t>
            </w:r>
            <w:r>
              <w:rPr>
                <w:rFonts w:hint="default" w:ascii="Times New Roman" w:hAnsi="Times New Roman" w:cs="Times New Roman"/>
                <w:b w:val="0"/>
                <w:bCs w:val="0"/>
                <w:color w:val="auto"/>
                <w:sz w:val="24"/>
                <w:szCs w:val="24"/>
                <w:highlight w:val="none"/>
                <w:lang w:val="en-US" w:eastAsia="zh-CN"/>
              </w:rPr>
              <w:t>B</w:t>
            </w:r>
            <w:r>
              <w:rPr>
                <w:rFonts w:hint="default" w:ascii="Times New Roman" w:hAnsi="Times New Roman" w:cs="Times New Roman"/>
                <w:b w:val="0"/>
                <w:bCs w:val="0"/>
                <w:color w:val="auto"/>
                <w:sz w:val="24"/>
                <w:szCs w:val="24"/>
                <w:highlight w:val="none"/>
                <w:vertAlign w:val="subscript"/>
                <w:lang w:val="en-US" w:eastAsia="zh-CN"/>
              </w:rPr>
              <w:t>3</w:t>
            </w:r>
            <w:r>
              <w:rPr>
                <w:rFonts w:hint="default" w:ascii="Times New Roman" w:hAnsi="Times New Roman" w:cs="Times New Roman"/>
                <w:b w:val="0"/>
                <w:bCs w:val="0"/>
                <w:color w:val="auto"/>
                <w:sz w:val="24"/>
                <w:szCs w:val="24"/>
                <w:highlight w:val="none"/>
                <w:lang w:val="en-US" w:eastAsia="zh-CN"/>
              </w:rPr>
              <w:t>，可以根据公式11-10，结合公式11-3进行计算：</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bCs w:val="0"/>
                <w:color w:val="auto"/>
                <w:position w:val="-38"/>
                <w:sz w:val="24"/>
                <w:szCs w:val="24"/>
                <w:highlight w:val="none"/>
                <w:lang w:val="en-US" w:eastAsia="zh-CN"/>
              </w:rPr>
              <w:object>
                <v:shape id="_x0000_i1132" o:spt="75" type="#_x0000_t75" style="height:45pt;width:75pt;" o:ole="t" filled="f" o:preferrelative="t" stroked="f" coordsize="21600,21600">
                  <v:path/>
                  <v:fill on="f" focussize="0,0"/>
                  <v:stroke on="f"/>
                  <v:imagedata r:id="rId239" o:title=""/>
                  <o:lock v:ext="edit" aspectratio="t"/>
                  <w10:wrap type="none"/>
                  <w10:anchorlock/>
                </v:shape>
                <o:OLEObject Type="Embed" ProgID="Equation.KSEE3" ShapeID="_x0000_i1132" DrawAspect="Content" ObjectID="_1468075832" r:id="rId238">
                  <o:LockedField>false</o:LockedField>
                </o:OLEObject>
              </w:object>
            </w:r>
            <w:r>
              <w:rPr>
                <w:rFonts w:hint="default" w:ascii="Times New Roman" w:hAnsi="Times New Roman" w:eastAsia="宋体" w:cs="Times New Roman"/>
                <w:b w:val="0"/>
                <w:bCs w:val="0"/>
                <w:color w:val="auto"/>
                <w:sz w:val="24"/>
                <w:szCs w:val="24"/>
                <w:highlight w:val="none"/>
              </w:rPr>
              <w:t>............................................................................(式11</w:t>
            </w:r>
            <w:r>
              <w:rPr>
                <w:rFonts w:hint="default"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42</w:t>
            </w:r>
            <w:r>
              <w:rPr>
                <w:rFonts w:hint="default" w:ascii="Times New Roman" w:hAnsi="Times New Roman" w:eastAsia="宋体" w:cs="Times New Roman"/>
                <w:b w:val="0"/>
                <w:bCs w:val="0"/>
                <w:color w:val="auto"/>
                <w:sz w:val="24"/>
                <w:szCs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lang w:eastAsia="zh-CN"/>
              </w:rPr>
              <w:t>经计算，铅门需要的屏蔽因子</w:t>
            </w:r>
            <w:r>
              <w:rPr>
                <w:rFonts w:hint="default"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4761</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入口处45°散射辐射平均能量</w:t>
            </w:r>
            <w:r>
              <w:rPr>
                <w:rFonts w:hint="default" w:ascii="Times New Roman" w:hAnsi="Times New Roman"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0.</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MeV，铅的TVL</w:t>
            </w:r>
            <w:r>
              <w:rPr>
                <w:rFonts w:hint="default" w:ascii="Times New Roman" w:hAnsi="Times New Roman" w:eastAsia="宋体" w:cs="Times New Roman"/>
                <w:color w:val="auto"/>
                <w:sz w:val="24"/>
                <w:szCs w:val="24"/>
                <w:highlight w:val="none"/>
                <w:lang w:eastAsia="zh-CN"/>
              </w:rPr>
              <w:t>取值为</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mm</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则防护门</w:t>
            </w:r>
            <w:r>
              <w:rPr>
                <w:rFonts w:hint="default" w:ascii="Times New Roman" w:hAnsi="Times New Roman" w:eastAsia="宋体" w:cs="Times New Roman"/>
                <w:color w:val="auto"/>
                <w:sz w:val="24"/>
                <w:szCs w:val="24"/>
                <w:highlight w:val="none"/>
              </w:rPr>
              <w:t>铅厚度X=TVL·</w:t>
            </w:r>
            <w:r>
              <w:rPr>
                <w:rFonts w:hint="default" w:ascii="Times New Roman" w:hAnsi="Times New Roman"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rPr>
              <w:t>gB</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vertAlign w:val="superscript"/>
              </w:rPr>
              <w:t xml:space="preserve">-1 </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1.61</w:t>
            </w:r>
            <w:r>
              <w:rPr>
                <w:rFonts w:hint="default" w:ascii="Times New Roman" w:hAnsi="Times New Roman" w:eastAsia="宋体" w:cs="Times New Roman"/>
                <w:color w:val="auto"/>
                <w:sz w:val="24"/>
                <w:szCs w:val="24"/>
                <w:highlight w:val="none"/>
              </w:rPr>
              <w:t>mm，</w:t>
            </w:r>
            <w:r>
              <w:rPr>
                <w:rFonts w:hint="eastAsia" w:ascii="Times New Roman" w:hAnsi="Times New Roman" w:cs="Times New Roman"/>
                <w:b w:val="0"/>
                <w:bCs w:val="0"/>
                <w:color w:val="auto"/>
                <w:sz w:val="24"/>
                <w:szCs w:val="24"/>
                <w:highlight w:val="none"/>
                <w:lang w:val="en-US" w:eastAsia="zh-CN"/>
              </w:rPr>
              <w:t>治疗室</w:t>
            </w:r>
            <w:r>
              <w:rPr>
                <w:rFonts w:hint="default" w:ascii="Times New Roman" w:hAnsi="Times New Roman" w:eastAsia="宋体" w:cs="Times New Roman"/>
                <w:color w:val="auto"/>
                <w:sz w:val="24"/>
                <w:szCs w:val="24"/>
                <w:highlight w:val="none"/>
              </w:rPr>
              <w:t>防护铅门实际设计值为</w:t>
            </w:r>
            <w:r>
              <w:rPr>
                <w:rFonts w:hint="default"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mm铅当量，故满足屏蔽要求</w:t>
            </w:r>
            <w:r>
              <w:rPr>
                <w:rFonts w:hint="default" w:ascii="Times New Roman" w:hAnsi="Times New Roman" w:eastAsia="宋体" w:cs="Times New Roman"/>
                <w:color w:val="auto"/>
                <w:sz w:val="24"/>
                <w:szCs w:val="24"/>
                <w:highlight w:val="none"/>
                <w:lang w:val="en-US" w:eastAsia="zh-CN"/>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sz w:val="24"/>
                <w:szCs w:val="24"/>
                <w:highlight w:val="none"/>
              </w:rPr>
              <w:t>根据</w:t>
            </w:r>
            <w:r>
              <w:rPr>
                <w:rFonts w:hint="default" w:ascii="Times New Roman" w:hAnsi="Times New Roman" w:eastAsia="宋体" w:cs="Times New Roman"/>
                <w:b w:val="0"/>
                <w:bCs w:val="0"/>
                <w:color w:val="auto"/>
                <w:sz w:val="24"/>
                <w:szCs w:val="24"/>
                <w:highlight w:val="none"/>
                <w:lang w:val="en-US" w:eastAsia="zh-CN"/>
              </w:rPr>
              <w:t>计算结果</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b w:val="0"/>
                <w:bCs w:val="0"/>
                <w:color w:val="auto"/>
                <w:highlight w:val="none"/>
              </w:rPr>
              <w:t>本项目后装机防护门的设计厚度能满足屏蔽防护要求。</w:t>
            </w:r>
          </w:p>
          <w:p>
            <w:pPr>
              <w:keepNext w:val="0"/>
              <w:keepLines w:val="0"/>
              <w:suppressLineNumbers w:val="0"/>
              <w:bidi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小结：经过对</w:t>
            </w:r>
            <w:r>
              <w:rPr>
                <w:rFonts w:hint="eastAsia" w:ascii="Times New Roman" w:hAnsi="Times New Roman" w:cs="Times New Roman"/>
                <w:b/>
                <w:bCs/>
                <w:color w:val="auto"/>
                <w:sz w:val="24"/>
                <w:szCs w:val="24"/>
                <w:highlight w:val="none"/>
                <w:lang w:val="en-US" w:eastAsia="zh-CN"/>
              </w:rPr>
              <w:t>治疗室</w:t>
            </w:r>
            <w:r>
              <w:rPr>
                <w:rFonts w:hint="default" w:ascii="Times New Roman" w:hAnsi="Times New Roman" w:eastAsia="宋体" w:cs="Times New Roman"/>
                <w:b/>
                <w:bCs/>
                <w:color w:val="auto"/>
                <w:sz w:val="24"/>
                <w:highlight w:val="none"/>
              </w:rPr>
              <w:t>屏蔽校核，</w:t>
            </w:r>
            <w:r>
              <w:rPr>
                <w:rFonts w:hint="eastAsia" w:ascii="Times New Roman" w:hAnsi="Times New Roman" w:cs="Times New Roman"/>
                <w:b/>
                <w:bCs/>
                <w:color w:val="auto"/>
                <w:sz w:val="24"/>
                <w:highlight w:val="none"/>
                <w:lang w:val="en-US" w:eastAsia="zh-CN"/>
              </w:rPr>
              <w:t>后装机</w:t>
            </w:r>
            <w:r>
              <w:rPr>
                <w:rFonts w:hint="eastAsia" w:ascii="Times New Roman" w:hAnsi="Times New Roman" w:cs="Times New Roman"/>
                <w:b/>
                <w:bCs/>
                <w:color w:val="auto"/>
                <w:sz w:val="24"/>
                <w:szCs w:val="24"/>
                <w:highlight w:val="none"/>
                <w:lang w:val="en-US" w:eastAsia="zh-CN"/>
              </w:rPr>
              <w:t>治疗室</w:t>
            </w:r>
            <w:r>
              <w:rPr>
                <w:rFonts w:hint="default" w:ascii="Times New Roman" w:hAnsi="Times New Roman" w:eastAsia="宋体" w:cs="Times New Roman"/>
                <w:b/>
                <w:bCs/>
                <w:color w:val="auto"/>
                <w:sz w:val="24"/>
                <w:highlight w:val="none"/>
              </w:rPr>
              <w:t>墙体厚度、迷道厚度、顶部厚度和防护门厚度均满足要求。</w:t>
            </w:r>
          </w:p>
          <w:p>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后装机未出源状态下给病患摆位时对医务人员的影响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在进行治疗前，医务人员将病患推入后装</w:t>
            </w:r>
            <w:r>
              <w:rPr>
                <w:rFonts w:hint="default" w:ascii="Times New Roman" w:hAnsi="Times New Roman" w:cs="Times New Roman"/>
                <w:b w:val="0"/>
                <w:bCs w:val="0"/>
                <w:color w:val="auto"/>
                <w:sz w:val="24"/>
                <w:szCs w:val="24"/>
                <w:highlight w:val="none"/>
                <w:lang w:val="en-US" w:eastAsia="zh-CN"/>
              </w:rPr>
              <w:t>治疗室</w:t>
            </w:r>
            <w:r>
              <w:rPr>
                <w:rFonts w:hint="default" w:ascii="Times New Roman" w:hAnsi="Times New Roman" w:eastAsia="宋体" w:cs="Times New Roman"/>
                <w:b w:val="0"/>
                <w:bCs w:val="0"/>
                <w:color w:val="auto"/>
                <w:sz w:val="24"/>
                <w:szCs w:val="24"/>
                <w:highlight w:val="none"/>
              </w:rPr>
              <w:t>，并在</w:t>
            </w:r>
            <w:r>
              <w:rPr>
                <w:rFonts w:hint="default" w:ascii="Times New Roman" w:hAnsi="Times New Roman" w:cs="Times New Roman"/>
                <w:b w:val="0"/>
                <w:bCs w:val="0"/>
                <w:color w:val="auto"/>
                <w:sz w:val="24"/>
                <w:szCs w:val="24"/>
                <w:highlight w:val="none"/>
                <w:lang w:val="en-US" w:eastAsia="zh-CN"/>
              </w:rPr>
              <w:t>治疗室</w:t>
            </w:r>
            <w:r>
              <w:rPr>
                <w:rFonts w:hint="default" w:ascii="Times New Roman" w:hAnsi="Times New Roman" w:eastAsia="宋体" w:cs="Times New Roman"/>
                <w:b w:val="0"/>
                <w:bCs w:val="0"/>
                <w:color w:val="auto"/>
                <w:sz w:val="24"/>
                <w:szCs w:val="24"/>
                <w:highlight w:val="none"/>
              </w:rPr>
              <w:t>内做治疗前的准备，在后装治机房内停留时间为2min，此时后装机处于非工作状态，放射源处于贮源位置，医务人员一般距放射源</w:t>
            </w:r>
            <w:r>
              <w:rPr>
                <w:rFonts w:hint="default" w:ascii="Times New Roman" w:hAnsi="Times New Roman"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m左右的位置。</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后装机为一铸钢容器，内填充金属钨和贫化铀以及铅作防护材料，使源在其贮源容器</w:t>
            </w:r>
            <w:r>
              <w:rPr>
                <w:rFonts w:hint="default" w:ascii="Times New Roman" w:hAnsi="Times New Roman" w:eastAsia="宋体" w:cs="Times New Roman"/>
                <w:b w:val="0"/>
                <w:bCs w:val="0"/>
                <w:color w:val="auto"/>
                <w:spacing w:val="-13"/>
                <w:sz w:val="24"/>
                <w:szCs w:val="24"/>
                <w:highlight w:val="none"/>
              </w:rPr>
              <w:t>内时泄漏辐射符合国家标准要求。</w:t>
            </w:r>
            <w:r>
              <w:rPr>
                <w:rFonts w:hint="default" w:ascii="Times New Roman" w:hAnsi="Times New Roman" w:eastAsia="宋体" w:cs="Times New Roman"/>
                <w:b w:val="0"/>
                <w:bCs w:val="0"/>
                <w:color w:val="auto"/>
                <w:spacing w:val="-8"/>
                <w:sz w:val="24"/>
                <w:szCs w:val="24"/>
                <w:highlight w:val="none"/>
              </w:rPr>
              <w:t>根据《后装γ源近距离治疗放射防护要求》（GBZ</w:t>
            </w:r>
            <w:r>
              <w:rPr>
                <w:rFonts w:hint="default" w:ascii="Times New Roman" w:hAnsi="Times New Roman" w:eastAsia="宋体" w:cs="Times New Roman"/>
                <w:b w:val="0"/>
                <w:bCs w:val="0"/>
                <w:color w:val="auto"/>
                <w:sz w:val="24"/>
                <w:szCs w:val="24"/>
                <w:highlight w:val="none"/>
              </w:rPr>
              <w:t>121-2017）中</w:t>
            </w:r>
            <w:r>
              <w:rPr>
                <w:rFonts w:hint="default" w:ascii="Times New Roman" w:hAnsi="Times New Roman" w:eastAsia="宋体" w:cs="Times New Roman"/>
                <w:b w:val="0"/>
                <w:bCs w:val="0"/>
                <w:color w:val="auto"/>
                <w:spacing w:val="10"/>
                <w:sz w:val="24"/>
                <w:szCs w:val="24"/>
                <w:highlight w:val="none"/>
                <w:lang w:eastAsia="zh-CN"/>
              </w:rPr>
              <w:t>“</w:t>
            </w:r>
            <w:r>
              <w:rPr>
                <w:rFonts w:hint="default" w:ascii="Times New Roman" w:hAnsi="Times New Roman" w:eastAsia="宋体" w:cs="Times New Roman"/>
                <w:b w:val="0"/>
                <w:bCs w:val="0"/>
                <w:color w:val="auto"/>
                <w:sz w:val="24"/>
                <w:szCs w:val="24"/>
                <w:highlight w:val="none"/>
              </w:rPr>
              <w:t>4.2.2工作贮源器内装载</w:t>
            </w:r>
            <w:r>
              <w:rPr>
                <w:rFonts w:hint="default" w:ascii="Times New Roman" w:hAnsi="Times New Roman" w:eastAsia="宋体" w:cs="Times New Roman"/>
                <w:b w:val="0"/>
                <w:bCs w:val="0"/>
                <w:color w:val="auto"/>
                <w:spacing w:val="-4"/>
                <w:sz w:val="24"/>
                <w:szCs w:val="24"/>
                <w:highlight w:val="none"/>
              </w:rPr>
              <w:t>最大容许活度的放射源时，距离贮源器表面5cm处的任何位置，因泄漏辐射所致周围剂量当</w:t>
            </w:r>
            <w:r>
              <w:rPr>
                <w:rFonts w:hint="default" w:ascii="Times New Roman" w:hAnsi="Times New Roman" w:eastAsia="宋体" w:cs="Times New Roman"/>
                <w:b w:val="0"/>
                <w:bCs w:val="0"/>
                <w:color w:val="auto"/>
                <w:sz w:val="24"/>
                <w:szCs w:val="24"/>
                <w:highlight w:val="none"/>
              </w:rPr>
              <w:t>量率不大于50μSv/h；距离贮源器表面100cm处的球面上，任何一点因泄漏辐射所致周围剂</w:t>
            </w:r>
            <w:r>
              <w:rPr>
                <w:rFonts w:hint="default" w:ascii="Times New Roman" w:hAnsi="Times New Roman" w:eastAsia="宋体" w:cs="Times New Roman"/>
                <w:b w:val="0"/>
                <w:bCs w:val="0"/>
                <w:color w:val="auto"/>
                <w:spacing w:val="10"/>
                <w:sz w:val="24"/>
                <w:szCs w:val="24"/>
                <w:highlight w:val="none"/>
              </w:rPr>
              <w:t>量当量率不大于5μSv/h。</w:t>
            </w:r>
            <w:r>
              <w:rPr>
                <w:rFonts w:hint="default" w:ascii="Times New Roman" w:hAnsi="Times New Roman" w:eastAsia="宋体" w:cs="Times New Roman"/>
                <w:b w:val="0"/>
                <w:bCs w:val="0"/>
                <w:color w:val="auto"/>
                <w:spacing w:val="10"/>
                <w:sz w:val="24"/>
                <w:szCs w:val="24"/>
                <w:highlight w:val="none"/>
                <w:lang w:eastAsia="zh-CN"/>
              </w:rPr>
              <w:t>”</w:t>
            </w:r>
            <w:r>
              <w:rPr>
                <w:rFonts w:hint="default" w:ascii="Times New Roman" w:hAnsi="Times New Roman" w:eastAsia="宋体" w:cs="Times New Roman"/>
                <w:b w:val="0"/>
                <w:bCs w:val="0"/>
                <w:color w:val="auto"/>
                <w:spacing w:val="-2"/>
                <w:sz w:val="24"/>
                <w:szCs w:val="24"/>
                <w:highlight w:val="none"/>
              </w:rPr>
              <w:t>医院每年约</w:t>
            </w:r>
            <w:r>
              <w:rPr>
                <w:rFonts w:hint="eastAsia" w:ascii="Times New Roman" w:hAnsi="Times New Roman" w:cs="Times New Roman"/>
                <w:b w:val="0"/>
                <w:bCs w:val="0"/>
                <w:color w:val="auto"/>
                <w:spacing w:val="-2"/>
                <w:sz w:val="24"/>
                <w:szCs w:val="24"/>
                <w:highlight w:val="none"/>
                <w:lang w:val="en-US" w:eastAsia="zh-CN"/>
              </w:rPr>
              <w:t>1300</w:t>
            </w:r>
            <w:r>
              <w:rPr>
                <w:rFonts w:hint="default" w:ascii="Times New Roman" w:hAnsi="Times New Roman" w:eastAsia="宋体" w:cs="Times New Roman"/>
                <w:b w:val="0"/>
                <w:bCs w:val="0"/>
                <w:color w:val="auto"/>
                <w:spacing w:val="-2"/>
                <w:sz w:val="24"/>
                <w:szCs w:val="24"/>
                <w:highlight w:val="none"/>
              </w:rPr>
              <w:t>人次接受后装治疗，则估算出医务人员在做治疗前的摆位过程中接</w:t>
            </w:r>
            <w:r>
              <w:rPr>
                <w:rFonts w:hint="default" w:ascii="Times New Roman" w:hAnsi="Times New Roman" w:eastAsia="宋体" w:cs="Times New Roman"/>
                <w:b w:val="0"/>
                <w:bCs w:val="0"/>
                <w:color w:val="auto"/>
                <w:spacing w:val="-2"/>
                <w:sz w:val="24"/>
                <w:szCs w:val="24"/>
                <w:highlight w:val="none"/>
                <w:lang w:val="en-US" w:eastAsia="zh-CN"/>
              </w:rPr>
              <w:t>受的</w:t>
            </w:r>
            <w:r>
              <w:rPr>
                <w:rFonts w:hint="default" w:ascii="Times New Roman" w:hAnsi="Times New Roman" w:cs="Times New Roman"/>
                <w:b w:val="0"/>
                <w:bCs w:val="0"/>
                <w:color w:val="auto"/>
                <w:sz w:val="24"/>
                <w:szCs w:val="24"/>
                <w:highlight w:val="none"/>
              </w:rPr>
              <w:t>年有效剂量为</w:t>
            </w:r>
            <w:r>
              <w:rPr>
                <w:rFonts w:hint="default" w:ascii="Times New Roman" w:hAnsi="Times New Roman" w:eastAsia="Times New Roman" w:cs="Times New Roman"/>
                <w:b w:val="0"/>
                <w:bCs w:val="0"/>
                <w:color w:val="auto"/>
                <w:sz w:val="24"/>
                <w:szCs w:val="24"/>
                <w:highlight w:val="none"/>
              </w:rPr>
              <w:t>0.</w:t>
            </w:r>
            <w:r>
              <w:rPr>
                <w:rFonts w:hint="eastAsia" w:ascii="Times New Roman" w:hAnsi="Times New Roman" w:cs="Times New Roman"/>
                <w:b w:val="0"/>
                <w:bCs w:val="0"/>
                <w:color w:val="auto"/>
                <w:sz w:val="24"/>
                <w:szCs w:val="24"/>
                <w:highlight w:val="none"/>
                <w:lang w:val="en-US" w:eastAsia="zh-CN"/>
              </w:rPr>
              <w:t>22</w:t>
            </w:r>
            <w:r>
              <w:rPr>
                <w:rFonts w:hint="default" w:ascii="Times New Roman" w:hAnsi="Times New Roman" w:eastAsia="Times New Roman" w:cs="Times New Roman"/>
                <w:b w:val="0"/>
                <w:bCs w:val="0"/>
                <w:color w:val="auto"/>
                <w:sz w:val="24"/>
                <w:szCs w:val="24"/>
                <w:highlight w:val="none"/>
              </w:rPr>
              <w:t>mSv</w:t>
            </w:r>
            <w:r>
              <w:rPr>
                <w:rFonts w:hint="default" w:ascii="Times New Roman" w:hAnsi="Times New Roman" w:cs="Times New Roman"/>
                <w:b w:val="0"/>
                <w:bCs w:val="0"/>
                <w:color w:val="auto"/>
                <w:sz w:val="24"/>
                <w:szCs w:val="24"/>
                <w:highlight w:val="none"/>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9" w:lineRule="auto"/>
              <w:ind w:left="420" w:leftChars="200" w:right="227" w:rightChars="0"/>
              <w:jc w:val="left"/>
              <w:textAlignment w:val="auto"/>
              <w:rPr>
                <w:rFonts w:hint="default" w:ascii="Times New Roman" w:hAnsi="Times New Roman" w:eastAsia="宋体" w:cs="Times New Roman"/>
                <w:b/>
                <w:bCs/>
                <w:color w:val="auto"/>
                <w:w w:val="100"/>
                <w:sz w:val="24"/>
                <w:szCs w:val="24"/>
                <w:highlight w:val="none"/>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后装机出源状态下</w:t>
            </w:r>
            <w:r>
              <w:rPr>
                <w:rFonts w:hint="default" w:ascii="Times New Roman" w:hAnsi="Times New Roman" w:cs="Times New Roman"/>
                <w:b/>
                <w:bCs/>
                <w:color w:val="auto"/>
                <w:sz w:val="24"/>
                <w:szCs w:val="24"/>
                <w:highlight w:val="none"/>
                <w:lang w:val="en-US" w:eastAsia="zh-CN"/>
              </w:rPr>
              <w:t>治疗室</w:t>
            </w:r>
            <w:r>
              <w:rPr>
                <w:rFonts w:hint="default" w:ascii="Times New Roman" w:hAnsi="Times New Roman" w:eastAsia="宋体" w:cs="Times New Roman"/>
                <w:b/>
                <w:bCs/>
                <w:color w:val="auto"/>
                <w:sz w:val="24"/>
                <w:szCs w:val="24"/>
                <w:highlight w:val="none"/>
              </w:rPr>
              <w:t>屏蔽体外辐射剂量估算</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u w:val="none" w:color="auto"/>
              </w:rPr>
            </w:pPr>
            <w:r>
              <w:rPr>
                <w:rFonts w:hint="default" w:ascii="Times New Roman" w:hAnsi="Times New Roman" w:eastAsia="宋体" w:cs="Times New Roman"/>
                <w:b w:val="0"/>
                <w:bCs w:val="0"/>
                <w:color w:val="auto"/>
                <w:sz w:val="24"/>
                <w:szCs w:val="24"/>
                <w:highlight w:val="none"/>
              </w:rPr>
              <w:t>由此可见，当放射源处于贮存状态时，贮源器泄漏辐射经过贮源器及</w:t>
            </w:r>
            <w:r>
              <w:rPr>
                <w:rFonts w:hint="default" w:ascii="Times New Roman" w:hAnsi="Times New Roman" w:cs="Times New Roman"/>
                <w:b w:val="0"/>
                <w:bCs w:val="0"/>
                <w:color w:val="auto"/>
                <w:sz w:val="24"/>
                <w:szCs w:val="24"/>
                <w:highlight w:val="none"/>
                <w:lang w:val="en-US" w:eastAsia="zh-CN"/>
              </w:rPr>
              <w:t>治疗室</w:t>
            </w:r>
            <w:r>
              <w:rPr>
                <w:rFonts w:hint="default" w:ascii="Times New Roman" w:hAnsi="Times New Roman" w:eastAsia="宋体" w:cs="Times New Roman"/>
                <w:b w:val="0"/>
                <w:bCs w:val="0"/>
                <w:color w:val="auto"/>
                <w:sz w:val="24"/>
                <w:szCs w:val="24"/>
                <w:highlight w:val="none"/>
              </w:rPr>
              <w:t>墙体、防护门等屏蔽体的屏蔽后，对机房外的人员几乎没有影响，</w:t>
            </w:r>
            <w:r>
              <w:rPr>
                <w:rFonts w:hint="default" w:ascii="Times New Roman" w:hAnsi="Times New Roman" w:eastAsia="宋体" w:cs="Times New Roman"/>
                <w:b w:val="0"/>
                <w:bCs w:val="0"/>
                <w:color w:val="auto"/>
                <w:sz w:val="24"/>
                <w:szCs w:val="24"/>
                <w:highlight w:val="none"/>
                <w:lang w:val="en-US" w:eastAsia="zh-CN"/>
              </w:rPr>
              <w:t>故</w:t>
            </w:r>
            <w:r>
              <w:rPr>
                <w:rFonts w:hint="default" w:ascii="Times New Roman" w:hAnsi="Times New Roman" w:eastAsia="宋体" w:cs="Times New Roman"/>
                <w:b w:val="0"/>
                <w:bCs w:val="0"/>
                <w:color w:val="auto"/>
                <w:sz w:val="24"/>
                <w:szCs w:val="24"/>
                <w:highlight w:val="none"/>
                <w:u w:val="none" w:color="auto"/>
              </w:rPr>
              <w:t>本次评价</w:t>
            </w:r>
            <w:r>
              <w:rPr>
                <w:rFonts w:hint="default" w:ascii="Times New Roman" w:hAnsi="Times New Roman" w:cs="Times New Roman"/>
                <w:b w:val="0"/>
                <w:bCs w:val="0"/>
                <w:color w:val="auto"/>
                <w:sz w:val="24"/>
                <w:szCs w:val="24"/>
                <w:highlight w:val="none"/>
                <w:u w:val="none" w:color="auto"/>
                <w:lang w:val="en-US" w:eastAsia="zh-CN"/>
              </w:rPr>
              <w:t>主要</w:t>
            </w:r>
            <w:r>
              <w:rPr>
                <w:rFonts w:hint="default" w:ascii="Times New Roman" w:hAnsi="Times New Roman" w:eastAsia="宋体" w:cs="Times New Roman"/>
                <w:b w:val="0"/>
                <w:bCs w:val="0"/>
                <w:color w:val="auto"/>
                <w:sz w:val="24"/>
                <w:szCs w:val="24"/>
                <w:highlight w:val="none"/>
                <w:u w:val="none" w:color="auto"/>
              </w:rPr>
              <w:t>考虑后装机出源状态下对</w:t>
            </w:r>
            <w:r>
              <w:rPr>
                <w:rFonts w:hint="default" w:ascii="Times New Roman" w:hAnsi="Times New Roman" w:cs="Times New Roman"/>
                <w:b w:val="0"/>
                <w:bCs w:val="0"/>
                <w:color w:val="auto"/>
                <w:sz w:val="24"/>
                <w:szCs w:val="24"/>
                <w:highlight w:val="none"/>
                <w:lang w:val="en-US" w:eastAsia="zh-CN"/>
              </w:rPr>
              <w:t>治疗室</w:t>
            </w:r>
            <w:r>
              <w:rPr>
                <w:rFonts w:hint="default" w:ascii="Times New Roman" w:hAnsi="Times New Roman" w:eastAsia="宋体" w:cs="Times New Roman"/>
                <w:b w:val="0"/>
                <w:bCs w:val="0"/>
                <w:color w:val="auto"/>
                <w:sz w:val="24"/>
                <w:szCs w:val="24"/>
                <w:highlight w:val="none"/>
                <w:u w:val="none" w:color="auto"/>
              </w:rPr>
              <w:t>外的辐射影响。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根据GBZ/T201.3-2014，在给定屏蔽物质厚度时，屏蔽体外关注点的剂量率计算公式：</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position w:val="-32"/>
                <w:sz w:val="24"/>
                <w:szCs w:val="24"/>
                <w:highlight w:val="none"/>
              </w:rPr>
              <w:object>
                <v:shape id="_x0000_i1133" o:spt="75" type="#_x0000_t75" style="height:35.4pt;width:63.2pt;" o:ole="t" filled="f" o:preferrelative="t" stroked="f" coordsize="21600,21600">
                  <v:path/>
                  <v:fill on="f" focussize="0,0"/>
                  <v:stroke on="f"/>
                  <v:imagedata r:id="rId241" o:title=""/>
                  <o:lock v:ext="edit" aspectratio="t"/>
                  <w10:wrap type="none"/>
                  <w10:anchorlock/>
                </v:shape>
                <o:OLEObject Type="Embed" ProgID="Equation.3" ShapeID="_x0000_i1133" DrawAspect="Content" ObjectID="_1468075833" r:id="rId240">
                  <o:LockedField>false</o:LockedField>
                </o:OLEObject>
              </w:objec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w:t>
            </w:r>
            <w:r>
              <w:rPr>
                <w:rFonts w:hint="eastAsia" w:ascii="Times New Roman" w:hAnsi="Times New Roman" w:cs="Times New Roman"/>
                <w:color w:val="auto"/>
                <w:sz w:val="24"/>
                <w:szCs w:val="24"/>
                <w:highlight w:val="none"/>
                <w:lang w:val="en-US" w:eastAsia="zh-CN"/>
              </w:rPr>
              <w:t>43</w:t>
            </w:r>
            <w:r>
              <w:rPr>
                <w:rFonts w:hint="default" w:ascii="Times New Roman" w:hAnsi="Times New Roman"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position w:val="-6"/>
                <w:sz w:val="24"/>
                <w:szCs w:val="24"/>
                <w:highlight w:val="none"/>
              </w:rPr>
              <w:object>
                <v:shape id="_x0000_i1134" o:spt="75" type="#_x0000_t75" style="height:15.3pt;width:99.5pt;" o:ole="t" filled="f" o:preferrelative="t" stroked="f" coordsize="21600,21600">
                  <v:path/>
                  <v:fill on="f" focussize="0,0"/>
                  <v:stroke on="f"/>
                  <v:imagedata r:id="rId243" o:title=""/>
                  <o:lock v:ext="edit" aspectratio="t"/>
                  <w10:wrap type="none"/>
                  <w10:anchorlock/>
                </v:shape>
                <o:OLEObject Type="Embed" ProgID="Equation.3" ShapeID="_x0000_i1134" DrawAspect="Content" ObjectID="_1468075834" r:id="rId242">
                  <o:LockedField>false</o:LockedField>
                </o:OLEObject>
              </w:objec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式11-4</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position w:val="-12"/>
                <w:sz w:val="24"/>
                <w:szCs w:val="24"/>
                <w:highlight w:val="none"/>
              </w:rPr>
              <w:object>
                <v:shape id="_x0000_i1135" o:spt="75" type="#_x0000_t75" style="height:17.2pt;width:64.15pt;" o:ole="t" filled="f" o:preferrelative="t" stroked="f" coordsize="21600,21600">
                  <v:path/>
                  <v:fill on="f" focussize="0,0"/>
                  <v:stroke on="f"/>
                  <v:imagedata r:id="rId245" o:title=""/>
                  <o:lock v:ext="edit" aspectratio="t"/>
                  <w10:wrap type="none"/>
                  <w10:anchorlock/>
                </v:shape>
                <o:OLEObject Type="Embed" ProgID="Equation.3" ShapeID="_x0000_i1135" DrawAspect="Content" ObjectID="_1468075835" r:id="rId244">
                  <o:LockedField>false</o:LockedField>
                </o:OLEObject>
              </w:objec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式11-4</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b w:val="0"/>
                <w:bCs w:val="0"/>
                <w:color w:val="auto"/>
                <w:spacing w:val="-3"/>
                <w:sz w:val="24"/>
                <w:szCs w:val="24"/>
                <w:highlight w:val="none"/>
                <w:lang w:val="en-US" w:eastAsia="zh-CN"/>
              </w:rPr>
            </w:pPr>
            <w:r>
              <w:rPr>
                <w:rFonts w:hint="default" w:ascii="Times New Roman" w:hAnsi="Times New Roman" w:eastAsia="宋体" w:cs="Times New Roman"/>
                <w:b w:val="0"/>
                <w:bCs w:val="0"/>
                <w:color w:val="auto"/>
                <w:spacing w:val="-3"/>
                <w:sz w:val="24"/>
                <w:szCs w:val="24"/>
                <w:highlight w:val="none"/>
                <w:lang w:val="en-US" w:eastAsia="zh-CN"/>
              </w:rPr>
              <w:t>式中各符号含义同前。</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pacing w:val="-3"/>
                <w:sz w:val="24"/>
                <w:szCs w:val="24"/>
                <w:highlight w:val="none"/>
              </w:rPr>
              <w:t>根据</w:t>
            </w:r>
            <w:r>
              <w:rPr>
                <w:rFonts w:hint="default" w:ascii="Times New Roman" w:hAnsi="Times New Roman" w:eastAsia="Times New Roman" w:cs="Times New Roman"/>
                <w:b w:val="0"/>
                <w:bCs w:val="0"/>
                <w:color w:val="auto"/>
                <w:spacing w:val="-3"/>
                <w:sz w:val="24"/>
                <w:szCs w:val="24"/>
                <w:highlight w:val="none"/>
              </w:rPr>
              <w:t>GBZ/T201.3-2014</w:t>
            </w:r>
            <w:r>
              <w:rPr>
                <w:rFonts w:hint="default" w:ascii="Times New Roman" w:hAnsi="Times New Roman" w:cs="Times New Roman"/>
                <w:b w:val="0"/>
                <w:bCs w:val="0"/>
                <w:color w:val="auto"/>
                <w:spacing w:val="-3"/>
                <w:sz w:val="24"/>
                <w:szCs w:val="24"/>
                <w:highlight w:val="none"/>
              </w:rPr>
              <w:t>，在给定防护门的铅屏蔽厚度时，防护门外的辐射剂量率计算公</w:t>
            </w:r>
            <w:r>
              <w:rPr>
                <w:rFonts w:hint="default" w:ascii="Times New Roman" w:hAnsi="Times New Roman" w:cs="Times New Roman"/>
                <w:b w:val="0"/>
                <w:bCs w:val="0"/>
                <w:color w:val="auto"/>
                <w:sz w:val="24"/>
                <w:szCs w:val="24"/>
                <w:highlight w:val="none"/>
              </w:rPr>
              <w:t>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position w:val="-14"/>
                <w:sz w:val="24"/>
                <w:szCs w:val="24"/>
                <w:highlight w:val="none"/>
              </w:rPr>
              <w:object>
                <v:shape id="_x0000_i1136" o:spt="75" type="#_x0000_t75" style="height:19.15pt;width:110.1pt;" o:ole="t" filled="f" o:preferrelative="t" stroked="f" coordsize="21600,21600">
                  <v:path/>
                  <v:fill on="f" focussize="0,0"/>
                  <v:stroke on="f"/>
                  <v:imagedata r:id="rId247" o:title=""/>
                  <o:lock v:ext="edit" aspectratio="t"/>
                  <w10:wrap type="none"/>
                  <w10:anchorlock/>
                </v:shape>
                <o:OLEObject Type="Embed" ProgID="Equation.3" ShapeID="_x0000_i1136" DrawAspect="Content" ObjectID="_1468075836" r:id="rId246">
                  <o:LockedField>false</o:LockedField>
                </o:OLEObject>
              </w:objec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式11-4</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式中：H</w:t>
            </w:r>
            <w:r>
              <w:rPr>
                <w:rFonts w:hint="default" w:ascii="Times New Roman" w:hAnsi="Times New Roman" w:eastAsia="宋体" w:cs="Times New Roman"/>
                <w:b w:val="0"/>
                <w:bCs w:val="0"/>
                <w:color w:val="auto"/>
                <w:position w:val="-2"/>
                <w:sz w:val="21"/>
                <w:szCs w:val="21"/>
                <w:highlight w:val="none"/>
                <w:vertAlign w:val="subscript"/>
              </w:rPr>
              <w:t>g</w:t>
            </w:r>
            <w:r>
              <w:rPr>
                <w:rFonts w:hint="default" w:ascii="Times New Roman" w:hAnsi="Times New Roman" w:eastAsia="宋体" w:cs="Times New Roman"/>
                <w:b w:val="0"/>
                <w:bCs w:val="0"/>
                <w:color w:val="auto"/>
                <w:sz w:val="21"/>
                <w:szCs w:val="21"/>
                <w:highlight w:val="none"/>
              </w:rPr>
              <w:t>—入口处的散射辐射剂量率，μSv/h；</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H</w:t>
            </w:r>
            <w:r>
              <w:rPr>
                <w:rFonts w:hint="default" w:ascii="Times New Roman" w:hAnsi="Times New Roman" w:eastAsia="宋体" w:cs="Times New Roman"/>
                <w:b w:val="0"/>
                <w:bCs w:val="0"/>
                <w:color w:val="auto"/>
                <w:position w:val="-2"/>
                <w:sz w:val="21"/>
                <w:szCs w:val="21"/>
                <w:highlight w:val="none"/>
                <w:vertAlign w:val="subscript"/>
              </w:rPr>
              <w:t>og</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泄露辐射在</w:t>
            </w:r>
            <w:r>
              <w:rPr>
                <w:rFonts w:hint="default" w:ascii="Times New Roman" w:hAnsi="Times New Roman" w:cs="Times New Roman"/>
                <w:b w:val="0"/>
                <w:bCs w:val="0"/>
                <w:color w:val="auto"/>
                <w:sz w:val="21"/>
                <w:szCs w:val="21"/>
                <w:highlight w:val="none"/>
                <w:lang w:val="en-US" w:eastAsia="zh-CN"/>
              </w:rPr>
              <w:t>G</w:t>
            </w:r>
            <w:r>
              <w:rPr>
                <w:rFonts w:hint="default" w:ascii="Times New Roman" w:hAnsi="Times New Roman" w:eastAsia="宋体" w:cs="Times New Roman"/>
                <w:b w:val="0"/>
                <w:bCs w:val="0"/>
                <w:color w:val="auto"/>
                <w:sz w:val="21"/>
                <w:szCs w:val="21"/>
                <w:highlight w:val="none"/>
                <w:lang w:val="en-US" w:eastAsia="zh-CN"/>
              </w:rPr>
              <w:t>处的剂量率，</w:t>
            </w:r>
            <w:r>
              <w:rPr>
                <w:rFonts w:hint="default" w:ascii="Times New Roman" w:hAnsi="Times New Roman" w:eastAsia="宋体" w:cs="Times New Roman"/>
                <w:b w:val="0"/>
                <w:bCs w:val="0"/>
                <w:color w:val="auto"/>
                <w:sz w:val="21"/>
                <w:szCs w:val="21"/>
                <w:highlight w:val="none"/>
              </w:rPr>
              <w:t>μSv/h</w:t>
            </w:r>
            <w:r>
              <w:rPr>
                <w:rFonts w:hint="default" w:ascii="Times New Roman" w:hAnsi="Times New Roman" w:cs="Times New Roman"/>
                <w:b w:val="0"/>
                <w:bCs w:val="0"/>
                <w:color w:val="auto"/>
                <w:sz w:val="21"/>
                <w:szCs w:val="21"/>
                <w:highlight w:val="none"/>
                <w:lang w:val="en-US" w:eastAsia="zh-CN"/>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由式11-</w:t>
            </w:r>
            <w:r>
              <w:rPr>
                <w:rFonts w:hint="eastAsia" w:ascii="Times New Roman" w:hAnsi="Times New Roman" w:cs="Times New Roman"/>
                <w:bCs/>
                <w:color w:val="auto"/>
                <w:sz w:val="24"/>
                <w:highlight w:val="none"/>
                <w:lang w:val="en-US" w:eastAsia="zh-CN"/>
              </w:rPr>
              <w:t>47</w:t>
            </w:r>
            <w:r>
              <w:rPr>
                <w:rFonts w:hint="default" w:ascii="Times New Roman" w:hAnsi="Times New Roman" w:cs="Times New Roman"/>
                <w:bCs/>
                <w:color w:val="auto"/>
                <w:sz w:val="24"/>
                <w:highlight w:val="none"/>
              </w:rPr>
              <w:t>估算各关注点的年剂量：</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bCs/>
                <w:color w:val="auto"/>
                <w:position w:val="-10"/>
                <w:szCs w:val="21"/>
                <w:highlight w:val="none"/>
              </w:rPr>
              <w:object>
                <v:shape id="_x0000_i1137" o:spt="75" type="#_x0000_t75" style="height:18pt;width:135.2pt;" o:ole="t" filled="f" o:preferrelative="t" stroked="f" coordsize="21600,21600">
                  <v:path/>
                  <v:fill on="f" focussize="0,0"/>
                  <v:stroke on="f"/>
                  <v:imagedata r:id="rId93" o:title=""/>
                  <o:lock v:ext="edit" aspectratio="t"/>
                  <w10:wrap type="none"/>
                  <w10:anchorlock/>
                </v:shape>
                <o:OLEObject Type="Embed" ProgID="Equation.3" ShapeID="_x0000_i1137" DrawAspect="Content" ObjectID="_1468075837" r:id="rId248">
                  <o:LockedField>false</o:LockedField>
                </o:OLEObject>
              </w:object>
            </w:r>
            <w:r>
              <w:rPr>
                <w:rFonts w:hint="default" w:ascii="Times New Roman" w:hAnsi="Times New Roman" w:eastAsia="宋体" w:cs="Times New Roman"/>
                <w:b w:val="0"/>
                <w:bCs w:val="0"/>
                <w:color w:val="auto"/>
                <w:kern w:val="2"/>
                <w:sz w:val="24"/>
                <w:szCs w:val="24"/>
                <w:highlight w:val="none"/>
                <w:lang w:val="en-US" w:eastAsia="zh-CN" w:bidi="ar-SA"/>
              </w:rPr>
              <w:t>...............................................（式11-</w:t>
            </w:r>
            <w:r>
              <w:rPr>
                <w:rFonts w:hint="eastAsia" w:ascii="Times New Roman" w:hAnsi="Times New Roman" w:eastAsia="宋体" w:cs="Times New Roman"/>
                <w:b w:val="0"/>
                <w:bCs w:val="0"/>
                <w:color w:val="auto"/>
                <w:kern w:val="2"/>
                <w:sz w:val="24"/>
                <w:szCs w:val="24"/>
                <w:highlight w:val="none"/>
                <w:lang w:val="en-US" w:eastAsia="zh-CN" w:bidi="ar-SA"/>
              </w:rPr>
              <w:t>47</w:t>
            </w:r>
            <w:r>
              <w:rPr>
                <w:rFonts w:hint="default" w:ascii="Times New Roman" w:hAnsi="Times New Roman" w:eastAsia="宋体" w:cs="Times New Roman"/>
                <w:b w:val="0"/>
                <w:bCs w:val="0"/>
                <w:color w:val="auto"/>
                <w:kern w:val="2"/>
                <w:sz w:val="24"/>
                <w:szCs w:val="24"/>
                <w:highlight w:val="none"/>
                <w:lang w:val="en-US" w:eastAsia="zh-CN" w:bidi="ar-SA"/>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式中：</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H—关注点的剂量当量（(μSv/h)；</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E—关注点的年剂量（mSv/a）；</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h—工作负荷（h/a）；</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q—居留因子，经常有人员停留的地方取1，有部分时间有人员停留的地方取1/4，偶然有人员经过的地方取1/16；</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lang w:eastAsia="zh-CN"/>
              </w:rPr>
            </w:pPr>
            <w:r>
              <w:rPr>
                <w:rFonts w:hint="default" w:ascii="Times New Roman" w:hAnsi="Times New Roman" w:cs="Times New Roman"/>
                <w:bCs/>
                <w:color w:val="auto"/>
                <w:szCs w:val="21"/>
                <w:highlight w:val="none"/>
              </w:rPr>
              <w:t>W</w:t>
            </w:r>
            <w:r>
              <w:rPr>
                <w:rFonts w:hint="default" w:ascii="Times New Roman" w:hAnsi="Times New Roman" w:cs="Times New Roman"/>
                <w:bCs/>
                <w:color w:val="auto"/>
                <w:szCs w:val="21"/>
                <w:highlight w:val="none"/>
                <w:vertAlign w:val="subscript"/>
              </w:rPr>
              <w:t>T</w:t>
            </w:r>
            <w:r>
              <w:rPr>
                <w:rFonts w:hint="default" w:ascii="Times New Roman" w:hAnsi="Times New Roman" w:cs="Times New Roman"/>
                <w:bCs/>
                <w:color w:val="auto"/>
                <w:szCs w:val="21"/>
                <w:highlight w:val="none"/>
              </w:rPr>
              <w:t>—组织权重因数，全身为1</w:t>
            </w:r>
            <w:r>
              <w:rPr>
                <w:rFonts w:hint="default" w:ascii="Times New Roman" w:hAnsi="Times New Roman" w:cs="Times New Roman"/>
                <w:bCs/>
                <w:color w:val="auto"/>
                <w:szCs w:val="21"/>
                <w:highlight w:val="none"/>
                <w:lang w:eastAsia="zh-CN"/>
              </w:rPr>
              <w:t>；</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U</w: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利用因子，主射束四个方位各取1/4，其它漏射、散射取1</w:t>
            </w:r>
            <w:r>
              <w:rPr>
                <w:rFonts w:hint="default" w:ascii="Times New Roman" w:hAnsi="Times New Roman" w:cs="Times New Roman"/>
                <w:bCs/>
                <w:color w:val="auto"/>
                <w:szCs w:val="21"/>
                <w:highlight w:val="none"/>
              </w:rPr>
              <w:t>。</w:t>
            </w:r>
          </w:p>
          <w:p>
            <w:pPr>
              <w:keepNext w:val="0"/>
              <w:keepLines w:val="0"/>
              <w:suppressLineNumbers w:val="0"/>
              <w:spacing w:before="9" w:beforeAutospacing="0" w:after="0" w:afterAutospacing="0"/>
              <w:ind w:left="0" w:right="61" w:firstLine="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11-24</w:t>
            </w:r>
            <w:r>
              <w:rPr>
                <w:rFonts w:hint="default" w:ascii="Times New Roman" w:hAnsi="Times New Roman" w:eastAsia="宋体" w:cs="Times New Roman"/>
                <w:b/>
                <w:bCs/>
                <w:color w:val="auto"/>
                <w:sz w:val="21"/>
                <w:szCs w:val="21"/>
                <w:highlight w:val="none"/>
                <w:lang w:val="en-US" w:eastAsia="zh-CN"/>
              </w:rPr>
              <w:t xml:space="preserve"> 后装</w:t>
            </w:r>
            <w:r>
              <w:rPr>
                <w:rFonts w:hint="default" w:ascii="Times New Roman" w:hAnsi="Times New Roman" w:cs="Times New Roman"/>
                <w:b/>
                <w:bCs/>
                <w:color w:val="auto"/>
                <w:sz w:val="21"/>
                <w:szCs w:val="21"/>
                <w:highlight w:val="none"/>
                <w:lang w:val="en-US" w:eastAsia="zh-CN"/>
              </w:rPr>
              <w:t>治疗室</w:t>
            </w:r>
            <w:r>
              <w:rPr>
                <w:rFonts w:hint="default" w:ascii="Times New Roman" w:hAnsi="Times New Roman" w:eastAsia="宋体" w:cs="Times New Roman"/>
                <w:b/>
                <w:bCs/>
                <w:color w:val="auto"/>
                <w:sz w:val="21"/>
                <w:szCs w:val="21"/>
                <w:highlight w:val="none"/>
                <w:lang w:val="en-US" w:eastAsia="zh-CN"/>
              </w:rPr>
              <w:t>外关注点处剂量估算表</w:t>
            </w:r>
          </w:p>
          <w:tbl>
            <w:tblPr>
              <w:tblStyle w:val="18"/>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20"/>
              <w:gridCol w:w="1147"/>
              <w:gridCol w:w="444"/>
              <w:gridCol w:w="1206"/>
              <w:gridCol w:w="1171"/>
              <w:gridCol w:w="696"/>
              <w:gridCol w:w="822"/>
              <w:gridCol w:w="1075"/>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696" w:type="dxa"/>
                  <w:tcBorders>
                    <w:top w:val="single" w:color="auto" w:sz="12" w:space="0"/>
                    <w:left w:val="nil"/>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pacing w:val="-6"/>
                      <w:kern w:val="2"/>
                      <w:sz w:val="20"/>
                      <w:szCs w:val="20"/>
                      <w:highlight w:val="none"/>
                      <w:vertAlign w:val="baseline"/>
                      <w:lang w:val="en-US" w:eastAsia="zh-CN" w:bidi="ar-SA"/>
                    </w:rPr>
                  </w:pPr>
                  <w:r>
                    <w:rPr>
                      <w:rFonts w:hint="default" w:ascii="Times New Roman" w:hAnsi="Times New Roman" w:cs="Times New Roman"/>
                      <w:color w:val="auto"/>
                      <w:spacing w:val="-6"/>
                      <w:kern w:val="2"/>
                      <w:sz w:val="20"/>
                      <w:szCs w:val="20"/>
                      <w:highlight w:val="none"/>
                      <w:vertAlign w:val="baseline"/>
                      <w:lang w:val="en-US" w:eastAsia="zh-CN" w:bidi="ar-SA"/>
                    </w:rPr>
                    <w:t>关注点位</w:t>
                  </w:r>
                </w:p>
              </w:tc>
              <w:tc>
                <w:tcPr>
                  <w:tcW w:w="820" w:type="dxa"/>
                  <w:tcBorders>
                    <w:top w:val="single" w:color="auto" w:sz="12" w:space="0"/>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cs="Times New Roman"/>
                      <w:color w:val="auto"/>
                      <w:spacing w:val="-6"/>
                      <w:kern w:val="2"/>
                      <w:sz w:val="20"/>
                      <w:szCs w:val="20"/>
                      <w:highlight w:val="none"/>
                      <w:vertAlign w:val="baseline"/>
                      <w:lang w:val="en-US" w:eastAsia="zh-CN" w:bidi="ar-SA"/>
                    </w:rPr>
                  </w:pPr>
                  <w:r>
                    <w:rPr>
                      <w:rFonts w:hint="default" w:ascii="Times New Roman" w:hAnsi="Times New Roman" w:cs="Times New Roman"/>
                      <w:color w:val="auto"/>
                      <w:spacing w:val="-6"/>
                      <w:kern w:val="2"/>
                      <w:sz w:val="20"/>
                      <w:szCs w:val="20"/>
                      <w:highlight w:val="none"/>
                      <w:vertAlign w:val="baseline"/>
                      <w:lang w:val="en-US" w:eastAsia="zh-CN" w:bidi="ar-SA"/>
                    </w:rPr>
                    <w:t>距放射源距离(m)</w:t>
                  </w:r>
                </w:p>
              </w:tc>
              <w:tc>
                <w:tcPr>
                  <w:tcW w:w="1147" w:type="dxa"/>
                  <w:tcBorders>
                    <w:top w:val="single" w:color="auto" w:sz="12" w:space="0"/>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pacing w:val="-6"/>
                      <w:kern w:val="2"/>
                      <w:sz w:val="20"/>
                      <w:szCs w:val="20"/>
                      <w:highlight w:val="none"/>
                      <w:vertAlign w:val="subscript"/>
                      <w:lang w:val="en-US" w:eastAsia="zh-CN" w:bidi="ar-SA"/>
                    </w:rPr>
                  </w:pPr>
                  <w:r>
                    <w:rPr>
                      <w:rFonts w:hint="default" w:ascii="Times New Roman" w:hAnsi="Times New Roman" w:cs="Times New Roman"/>
                      <w:color w:val="auto"/>
                      <w:spacing w:val="-6"/>
                      <w:kern w:val="2"/>
                      <w:sz w:val="20"/>
                      <w:szCs w:val="20"/>
                      <w:highlight w:val="none"/>
                      <w:vertAlign w:val="baseline"/>
                      <w:lang w:val="en-US" w:eastAsia="zh-CN" w:bidi="ar-SA"/>
                    </w:rPr>
                    <w:t>屏蔽体厚（mm）</w:t>
                  </w:r>
                </w:p>
              </w:tc>
              <w:tc>
                <w:tcPr>
                  <w:tcW w:w="444" w:type="dxa"/>
                  <w:tcBorders>
                    <w:top w:val="single" w:color="auto" w:sz="12" w:space="0"/>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pacing w:val="-6"/>
                      <w:kern w:val="2"/>
                      <w:sz w:val="20"/>
                      <w:szCs w:val="20"/>
                      <w:highlight w:val="none"/>
                      <w:vertAlign w:val="baseline"/>
                      <w:lang w:val="en-US" w:eastAsia="zh-CN" w:bidi="ar-SA"/>
                    </w:rPr>
                  </w:pPr>
                  <w:r>
                    <w:rPr>
                      <w:rFonts w:hint="default" w:ascii="Times New Roman" w:hAnsi="Times New Roman" w:cs="Times New Roman"/>
                      <w:color w:val="auto"/>
                      <w:spacing w:val="-6"/>
                      <w:kern w:val="2"/>
                      <w:sz w:val="20"/>
                      <w:szCs w:val="20"/>
                      <w:highlight w:val="none"/>
                      <w:vertAlign w:val="baseline"/>
                      <w:lang w:val="en-US" w:eastAsia="zh-CN" w:bidi="ar-SA"/>
                    </w:rPr>
                    <w:t>f</w:t>
                  </w:r>
                </w:p>
              </w:tc>
              <w:tc>
                <w:tcPr>
                  <w:tcW w:w="1206" w:type="dxa"/>
                  <w:tcBorders>
                    <w:top w:val="single" w:color="auto" w:sz="12" w:space="0"/>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pacing w:val="-6"/>
                      <w:kern w:val="2"/>
                      <w:sz w:val="20"/>
                      <w:szCs w:val="20"/>
                      <w:highlight w:val="none"/>
                      <w:vertAlign w:val="baseline"/>
                      <w:lang w:val="en-US" w:eastAsia="zh-CN" w:bidi="ar-SA"/>
                    </w:rPr>
                  </w:pPr>
                  <w:r>
                    <w:rPr>
                      <w:rFonts w:hint="default" w:ascii="Times New Roman" w:hAnsi="Times New Roman" w:cs="Times New Roman"/>
                      <w:color w:val="auto"/>
                      <w:spacing w:val="-6"/>
                      <w:kern w:val="2"/>
                      <w:sz w:val="20"/>
                      <w:szCs w:val="20"/>
                      <w:highlight w:val="none"/>
                      <w:vertAlign w:val="baseline"/>
                      <w:lang w:val="en-US" w:eastAsia="zh-CN" w:bidi="ar-SA"/>
                    </w:rPr>
                    <w:t>透射因子B</w:t>
                  </w:r>
                </w:p>
              </w:tc>
              <w:tc>
                <w:tcPr>
                  <w:tcW w:w="1171" w:type="dxa"/>
                  <w:tcBorders>
                    <w:top w:val="single" w:color="auto" w:sz="12" w:space="0"/>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cs="Times New Roman"/>
                      <w:color w:val="auto"/>
                      <w:spacing w:val="-6"/>
                      <w:kern w:val="2"/>
                      <w:sz w:val="20"/>
                      <w:szCs w:val="20"/>
                      <w:highlight w:val="none"/>
                      <w:vertAlign w:val="baseline"/>
                      <w:lang w:val="en-US" w:eastAsia="zh-CN"/>
                    </w:rPr>
                  </w:pPr>
                  <w:r>
                    <w:rPr>
                      <w:rFonts w:hint="default" w:ascii="Times New Roman" w:hAnsi="Times New Roman" w:cs="Times New Roman"/>
                      <w:color w:val="auto"/>
                      <w:spacing w:val="-6"/>
                      <w:kern w:val="2"/>
                      <w:sz w:val="20"/>
                      <w:szCs w:val="20"/>
                      <w:highlight w:val="none"/>
                      <w:vertAlign w:val="baseline"/>
                      <w:lang w:val="en-US" w:eastAsia="zh-CN"/>
                    </w:rPr>
                    <w:t>屏蔽体外关注点剂量率（μSv/h）</w:t>
                  </w:r>
                </w:p>
              </w:tc>
              <w:tc>
                <w:tcPr>
                  <w:tcW w:w="696" w:type="dxa"/>
                  <w:tcBorders>
                    <w:top w:val="single" w:color="auto" w:sz="12" w:space="0"/>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cs="Times New Roman"/>
                      <w:color w:val="auto"/>
                      <w:spacing w:val="-6"/>
                      <w:kern w:val="2"/>
                      <w:sz w:val="20"/>
                      <w:szCs w:val="20"/>
                      <w:highlight w:val="none"/>
                      <w:vertAlign w:val="baseline"/>
                      <w:lang w:val="en-US" w:eastAsia="zh-CN"/>
                    </w:rPr>
                  </w:pPr>
                  <w:r>
                    <w:rPr>
                      <w:rFonts w:hint="default" w:ascii="Times New Roman" w:hAnsi="Times New Roman" w:cs="Times New Roman"/>
                      <w:color w:val="auto"/>
                      <w:spacing w:val="-6"/>
                      <w:kern w:val="2"/>
                      <w:sz w:val="20"/>
                      <w:szCs w:val="20"/>
                      <w:highlight w:val="none"/>
                      <w:vertAlign w:val="baseline"/>
                      <w:lang w:val="en-US" w:eastAsia="zh-CN"/>
                    </w:rPr>
                    <w:t>居留因子</w:t>
                  </w:r>
                </w:p>
              </w:tc>
              <w:tc>
                <w:tcPr>
                  <w:tcW w:w="822" w:type="dxa"/>
                  <w:tcBorders>
                    <w:top w:val="single" w:color="auto" w:sz="12" w:space="0"/>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pacing w:val="-6"/>
                      <w:kern w:val="2"/>
                      <w:sz w:val="20"/>
                      <w:szCs w:val="20"/>
                      <w:highlight w:val="none"/>
                      <w:vertAlign w:val="baseline"/>
                      <w:lang w:val="en-US" w:eastAsia="zh-CN" w:bidi="ar-SA"/>
                    </w:rPr>
                  </w:pPr>
                  <w:r>
                    <w:rPr>
                      <w:rFonts w:hint="default" w:ascii="Times New Roman" w:hAnsi="Times New Roman" w:cs="Times New Roman"/>
                      <w:color w:val="auto"/>
                      <w:spacing w:val="-6"/>
                      <w:kern w:val="2"/>
                      <w:sz w:val="20"/>
                      <w:szCs w:val="20"/>
                      <w:highlight w:val="none"/>
                      <w:vertAlign w:val="baseline"/>
                      <w:lang w:val="en-US" w:eastAsia="zh-CN" w:bidi="ar-SA"/>
                    </w:rPr>
                    <w:t>年出束时间（h）</w:t>
                  </w:r>
                </w:p>
              </w:tc>
              <w:tc>
                <w:tcPr>
                  <w:tcW w:w="1075" w:type="dxa"/>
                  <w:tcBorders>
                    <w:top w:val="single" w:color="auto" w:sz="12" w:space="0"/>
                    <w:right w:val="nil"/>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cs="Times New Roman"/>
                      <w:color w:val="auto"/>
                      <w:spacing w:val="-6"/>
                      <w:kern w:val="2"/>
                      <w:sz w:val="20"/>
                      <w:szCs w:val="20"/>
                      <w:highlight w:val="none"/>
                      <w:vertAlign w:val="baseline"/>
                      <w:lang w:val="en-US" w:eastAsia="zh-CN"/>
                    </w:rPr>
                  </w:pPr>
                  <w:r>
                    <w:rPr>
                      <w:rFonts w:hint="default" w:ascii="Times New Roman" w:hAnsi="Times New Roman" w:cs="Times New Roman"/>
                      <w:color w:val="auto"/>
                      <w:spacing w:val="-6"/>
                      <w:kern w:val="2"/>
                      <w:sz w:val="20"/>
                      <w:szCs w:val="20"/>
                      <w:highlight w:val="none"/>
                      <w:vertAlign w:val="baseline"/>
                      <w:lang w:val="en-US" w:eastAsia="zh-CN"/>
                    </w:rPr>
                    <w:t>年剂量（mSv/a）</w:t>
                  </w:r>
                </w:p>
              </w:tc>
              <w:tc>
                <w:tcPr>
                  <w:tcW w:w="738" w:type="dxa"/>
                  <w:tcBorders>
                    <w:top w:val="single" w:color="auto" w:sz="12" w:space="0"/>
                    <w:right w:val="nil"/>
                  </w:tcBorders>
                  <w:noWrap w:val="0"/>
                  <w:vAlign w:val="center"/>
                </w:tcPr>
                <w:p>
                  <w:pPr>
                    <w:pStyle w:val="3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auto"/>
                      <w:spacing w:val="-6"/>
                      <w:kern w:val="2"/>
                      <w:sz w:val="20"/>
                      <w:szCs w:val="20"/>
                      <w:highlight w:val="none"/>
                      <w:vertAlign w:val="baseline"/>
                      <w:lang w:val="en-US" w:eastAsia="zh-CN" w:bidi="ar-SA"/>
                    </w:rPr>
                  </w:pPr>
                  <w:r>
                    <w:rPr>
                      <w:rFonts w:hint="default" w:ascii="Times New Roman" w:hAnsi="Times New Roman" w:cs="Times New Roman"/>
                      <w:color w:val="auto"/>
                      <w:spacing w:val="-6"/>
                      <w:kern w:val="2"/>
                      <w:sz w:val="20"/>
                      <w:szCs w:val="20"/>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815" w:type="dxa"/>
                  <w:gridSpan w:val="10"/>
                  <w:tcBorders>
                    <w:top w:val="single" w:color="auto" w:sz="12" w:space="0"/>
                    <w:left w:val="nil"/>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bidi="ar-SA"/>
                    </w:rPr>
                    <w:t>治疗室墙体外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96" w:type="dxa"/>
                  <w:tcBorders>
                    <w:left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auto"/>
                      <w:kern w:val="2"/>
                      <w:sz w:val="20"/>
                      <w:szCs w:val="20"/>
                      <w:highlight w:val="none"/>
                      <w:lang w:val="en-US" w:eastAsia="zh-CN" w:bidi="ar-SA"/>
                    </w:rPr>
                  </w:pPr>
                  <w:r>
                    <w:rPr>
                      <w:rFonts w:hint="default" w:ascii="Times New Roman" w:hAnsi="Times New Roman" w:cs="Times New Roman"/>
                      <w:bCs/>
                      <w:color w:val="auto"/>
                      <w:sz w:val="20"/>
                      <w:szCs w:val="20"/>
                      <w:highlight w:val="none"/>
                      <w:lang w:val="en-US" w:eastAsia="zh-CN"/>
                    </w:rPr>
                    <w:t>A</w:t>
                  </w:r>
                </w:p>
              </w:tc>
              <w:tc>
                <w:tcPr>
                  <w:tcW w:w="820" w:type="dxa"/>
                  <w:noWrap w:val="0"/>
                  <w:vAlign w:val="center"/>
                </w:tcPr>
                <w:p>
                  <w:pPr>
                    <w:pStyle w:val="30"/>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rPr>
                    <w:t>3.24</w:t>
                  </w:r>
                </w:p>
              </w:tc>
              <w:tc>
                <w:tcPr>
                  <w:tcW w:w="1147" w:type="dxa"/>
                  <w:noWrap w:val="0"/>
                  <w:vAlign w:val="center"/>
                </w:tcPr>
                <w:p>
                  <w:pPr>
                    <w:pStyle w:val="3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bidi="ar-SA"/>
                    </w:rPr>
                    <w:t>800</w:t>
                  </w:r>
                </w:p>
              </w:tc>
              <w:tc>
                <w:tcPr>
                  <w:tcW w:w="444"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w:t>
                  </w:r>
                </w:p>
              </w:tc>
              <w:tc>
                <w:tcPr>
                  <w:tcW w:w="1206"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5.45</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6</w:t>
                  </w:r>
                </w:p>
              </w:tc>
              <w:tc>
                <w:tcPr>
                  <w:tcW w:w="1171"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2.16</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2</w:t>
                  </w:r>
                </w:p>
              </w:tc>
              <w:tc>
                <w:tcPr>
                  <w:tcW w:w="696"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eastAsia="宋体" w:cs="Times New Roman"/>
                      <w:bCs/>
                      <w:color w:val="auto"/>
                      <w:sz w:val="20"/>
                      <w:szCs w:val="20"/>
                      <w:highlight w:val="none"/>
                      <w:lang w:val="en-US" w:eastAsia="zh-CN"/>
                    </w:rPr>
                    <w:t>1/4</w:t>
                  </w:r>
                </w:p>
              </w:tc>
              <w:tc>
                <w:tcPr>
                  <w:tcW w:w="822" w:type="dxa"/>
                  <w:noWrap w:val="0"/>
                  <w:vAlign w:val="center"/>
                </w:tcPr>
                <w:p>
                  <w:pPr>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130</w:t>
                  </w:r>
                </w:p>
              </w:tc>
              <w:tc>
                <w:tcPr>
                  <w:tcW w:w="1075"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7.03</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3</w:t>
                  </w:r>
                </w:p>
              </w:tc>
              <w:tc>
                <w:tcPr>
                  <w:tcW w:w="738"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公众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96" w:type="dxa"/>
                  <w:tcBorders>
                    <w:left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B</w:t>
                  </w:r>
                </w:p>
              </w:tc>
              <w:tc>
                <w:tcPr>
                  <w:tcW w:w="820" w:type="dxa"/>
                  <w:noWrap w:val="0"/>
                  <w:vAlign w:val="center"/>
                </w:tcPr>
                <w:p>
                  <w:pPr>
                    <w:pStyle w:val="30"/>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4.08</w:t>
                  </w:r>
                </w:p>
              </w:tc>
              <w:tc>
                <w:tcPr>
                  <w:tcW w:w="114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bidi="ar-SA"/>
                    </w:rPr>
                    <w:t>800</w:t>
                  </w:r>
                </w:p>
              </w:tc>
              <w:tc>
                <w:tcPr>
                  <w:tcW w:w="444"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w:t>
                  </w:r>
                </w:p>
              </w:tc>
              <w:tc>
                <w:tcPr>
                  <w:tcW w:w="1206" w:type="dxa"/>
                  <w:noWrap w:val="0"/>
                  <w:vAlign w:val="center"/>
                </w:tcPr>
                <w:p>
                  <w:pPr>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5.45</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6</w:t>
                  </w:r>
                </w:p>
              </w:tc>
              <w:tc>
                <w:tcPr>
                  <w:tcW w:w="1171"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1.36</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2</w:t>
                  </w:r>
                </w:p>
              </w:tc>
              <w:tc>
                <w:tcPr>
                  <w:tcW w:w="696"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20"/>
                      <w:szCs w:val="20"/>
                      <w:highlight w:val="none"/>
                      <w:lang w:val="en-US" w:eastAsia="zh-CN"/>
                    </w:rPr>
                  </w:pPr>
                  <w:r>
                    <w:rPr>
                      <w:rFonts w:hint="default" w:ascii="Times New Roman" w:hAnsi="Times New Roman" w:eastAsia="宋体" w:cs="Times New Roman"/>
                      <w:bCs/>
                      <w:color w:val="auto"/>
                      <w:sz w:val="20"/>
                      <w:szCs w:val="20"/>
                      <w:highlight w:val="none"/>
                      <w:lang w:val="en-US" w:eastAsia="zh-CN"/>
                    </w:rPr>
                    <w:t>1/4</w:t>
                  </w:r>
                </w:p>
              </w:tc>
              <w:tc>
                <w:tcPr>
                  <w:tcW w:w="822" w:type="dxa"/>
                  <w:noWrap w:val="0"/>
                  <w:vAlign w:val="center"/>
                </w:tcPr>
                <w:p>
                  <w:pPr>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130</w:t>
                  </w:r>
                </w:p>
              </w:tc>
              <w:tc>
                <w:tcPr>
                  <w:tcW w:w="1075"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3.41</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3</w:t>
                  </w:r>
                </w:p>
              </w:tc>
              <w:tc>
                <w:tcPr>
                  <w:tcW w:w="738"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公众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96" w:type="dxa"/>
                  <w:tcBorders>
                    <w:left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auto"/>
                      <w:kern w:val="2"/>
                      <w:sz w:val="20"/>
                      <w:szCs w:val="20"/>
                      <w:highlight w:val="none"/>
                      <w:lang w:val="en-US" w:eastAsia="zh-CN" w:bidi="ar-SA"/>
                    </w:rPr>
                  </w:pPr>
                  <w:r>
                    <w:rPr>
                      <w:rFonts w:hint="default" w:ascii="Times New Roman" w:hAnsi="Times New Roman" w:eastAsia="宋体" w:cs="Times New Roman"/>
                      <w:bCs/>
                      <w:color w:val="auto"/>
                      <w:sz w:val="20"/>
                      <w:szCs w:val="20"/>
                      <w:highlight w:val="none"/>
                      <w:lang w:val="en-US" w:eastAsia="zh-CN"/>
                    </w:rPr>
                    <w:t>C</w:t>
                  </w:r>
                </w:p>
              </w:tc>
              <w:tc>
                <w:tcPr>
                  <w:tcW w:w="820" w:type="dxa"/>
                  <w:noWrap w:val="0"/>
                  <w:vAlign w:val="center"/>
                </w:tcPr>
                <w:p>
                  <w:pPr>
                    <w:pStyle w:val="30"/>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rPr>
                    <w:t>3.56</w:t>
                  </w:r>
                </w:p>
              </w:tc>
              <w:tc>
                <w:tcPr>
                  <w:tcW w:w="114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bidi="ar-SA"/>
                    </w:rPr>
                    <w:t>800</w:t>
                  </w:r>
                </w:p>
              </w:tc>
              <w:tc>
                <w:tcPr>
                  <w:tcW w:w="444"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w:t>
                  </w:r>
                </w:p>
              </w:tc>
              <w:tc>
                <w:tcPr>
                  <w:tcW w:w="1206" w:type="dxa"/>
                  <w:noWrap w:val="0"/>
                  <w:vAlign w:val="center"/>
                </w:tcPr>
                <w:p>
                  <w:pPr>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5.45</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6</w:t>
                  </w:r>
                </w:p>
              </w:tc>
              <w:tc>
                <w:tcPr>
                  <w:tcW w:w="1171"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1.79</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2</w:t>
                  </w:r>
                </w:p>
              </w:tc>
              <w:tc>
                <w:tcPr>
                  <w:tcW w:w="696"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eastAsia="宋体" w:cs="Times New Roman"/>
                      <w:bCs/>
                      <w:color w:val="auto"/>
                      <w:sz w:val="20"/>
                      <w:szCs w:val="20"/>
                      <w:highlight w:val="none"/>
                      <w:lang w:val="en-US" w:eastAsia="zh-CN"/>
                    </w:rPr>
                    <w:t>1</w:t>
                  </w:r>
                </w:p>
              </w:tc>
              <w:tc>
                <w:tcPr>
                  <w:tcW w:w="822" w:type="dxa"/>
                  <w:noWrap w:val="0"/>
                  <w:vAlign w:val="center"/>
                </w:tcPr>
                <w:p>
                  <w:pPr>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130</w:t>
                  </w:r>
                </w:p>
              </w:tc>
              <w:tc>
                <w:tcPr>
                  <w:tcW w:w="1075"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2.33</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2</w:t>
                  </w:r>
                </w:p>
              </w:tc>
              <w:tc>
                <w:tcPr>
                  <w:tcW w:w="738"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rPr>
                    <w:t>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96" w:type="dxa"/>
                  <w:tcBorders>
                    <w:left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auto"/>
                      <w:kern w:val="2"/>
                      <w:sz w:val="20"/>
                      <w:szCs w:val="20"/>
                      <w:highlight w:val="none"/>
                      <w:lang w:val="en-US" w:eastAsia="zh-CN" w:bidi="ar-SA"/>
                    </w:rPr>
                  </w:pPr>
                  <w:r>
                    <w:rPr>
                      <w:rFonts w:hint="default" w:ascii="Times New Roman" w:hAnsi="Times New Roman" w:eastAsia="宋体" w:cs="Times New Roman"/>
                      <w:bCs/>
                      <w:color w:val="auto"/>
                      <w:sz w:val="20"/>
                      <w:szCs w:val="20"/>
                      <w:highlight w:val="none"/>
                      <w:lang w:val="en-US" w:eastAsia="zh-CN"/>
                    </w:rPr>
                    <w:t>D</w:t>
                  </w:r>
                </w:p>
              </w:tc>
              <w:tc>
                <w:tcPr>
                  <w:tcW w:w="820" w:type="dxa"/>
                  <w:noWrap w:val="0"/>
                  <w:vAlign w:val="center"/>
                </w:tcPr>
                <w:p>
                  <w:pPr>
                    <w:pStyle w:val="30"/>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rPr>
                    <w:t>3.05</w:t>
                  </w:r>
                </w:p>
              </w:tc>
              <w:tc>
                <w:tcPr>
                  <w:tcW w:w="114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bidi="ar-SA"/>
                    </w:rPr>
                    <w:t>800</w:t>
                  </w:r>
                </w:p>
              </w:tc>
              <w:tc>
                <w:tcPr>
                  <w:tcW w:w="444"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w:t>
                  </w:r>
                </w:p>
              </w:tc>
              <w:tc>
                <w:tcPr>
                  <w:tcW w:w="1206" w:type="dxa"/>
                  <w:noWrap w:val="0"/>
                  <w:vAlign w:val="center"/>
                </w:tcPr>
                <w:p>
                  <w:pPr>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5.45</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6</w:t>
                  </w:r>
                </w:p>
              </w:tc>
              <w:tc>
                <w:tcPr>
                  <w:tcW w:w="1171"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lang w:val="en-US" w:eastAsia="zh-CN"/>
                    </w:rPr>
                    <w:t>2.44</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2</w:t>
                  </w:r>
                </w:p>
              </w:tc>
              <w:tc>
                <w:tcPr>
                  <w:tcW w:w="696"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eastAsia="宋体" w:cs="Times New Roman"/>
                      <w:bCs/>
                      <w:color w:val="auto"/>
                      <w:sz w:val="20"/>
                      <w:szCs w:val="20"/>
                      <w:highlight w:val="none"/>
                      <w:lang w:val="en-US" w:eastAsia="zh-CN"/>
                    </w:rPr>
                    <w:t>1/16</w:t>
                  </w:r>
                </w:p>
              </w:tc>
              <w:tc>
                <w:tcPr>
                  <w:tcW w:w="822" w:type="dxa"/>
                  <w:noWrap w:val="0"/>
                  <w:vAlign w:val="center"/>
                </w:tcPr>
                <w:p>
                  <w:pPr>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130</w:t>
                  </w:r>
                </w:p>
              </w:tc>
              <w:tc>
                <w:tcPr>
                  <w:tcW w:w="1075"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1.53</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3</w:t>
                  </w:r>
                </w:p>
              </w:tc>
              <w:tc>
                <w:tcPr>
                  <w:tcW w:w="738"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公众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6" w:type="dxa"/>
                  <w:tcBorders>
                    <w:left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Cs/>
                      <w:color w:val="auto"/>
                      <w:kern w:val="2"/>
                      <w:sz w:val="20"/>
                      <w:szCs w:val="20"/>
                      <w:highlight w:val="none"/>
                      <w:lang w:val="en-US" w:eastAsia="zh-CN" w:bidi="ar-SA"/>
                    </w:rPr>
                  </w:pPr>
                  <w:r>
                    <w:rPr>
                      <w:rFonts w:hint="default" w:ascii="Times New Roman" w:hAnsi="Times New Roman" w:eastAsia="宋体" w:cs="Times New Roman"/>
                      <w:bCs/>
                      <w:color w:val="auto"/>
                      <w:sz w:val="20"/>
                      <w:szCs w:val="20"/>
                      <w:highlight w:val="none"/>
                      <w:lang w:val="en-US" w:eastAsia="zh-CN"/>
                    </w:rPr>
                    <w:t>M</w:t>
                  </w:r>
                </w:p>
              </w:tc>
              <w:tc>
                <w:tcPr>
                  <w:tcW w:w="820" w:type="dxa"/>
                  <w:noWrap w:val="0"/>
                  <w:vAlign w:val="center"/>
                </w:tcPr>
                <w:p>
                  <w:pPr>
                    <w:pStyle w:val="30"/>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rPr>
                    <w:t>3.30</w:t>
                  </w:r>
                </w:p>
              </w:tc>
              <w:tc>
                <w:tcPr>
                  <w:tcW w:w="114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0"/>
                      <w:szCs w:val="20"/>
                      <w:highlight w:val="none"/>
                      <w:vertAlign w:val="baseline"/>
                      <w:lang w:val="en-US" w:eastAsia="zh-CN" w:bidi="ar-SA"/>
                    </w:rPr>
                  </w:pPr>
                  <w:r>
                    <w:rPr>
                      <w:rFonts w:hint="default" w:ascii="Times New Roman" w:hAnsi="Times New Roman" w:cs="Times New Roman"/>
                      <w:color w:val="auto"/>
                      <w:kern w:val="2"/>
                      <w:sz w:val="20"/>
                      <w:szCs w:val="20"/>
                      <w:highlight w:val="none"/>
                      <w:vertAlign w:val="baseline"/>
                      <w:lang w:val="en-US" w:eastAsia="zh-CN" w:bidi="ar-SA"/>
                    </w:rPr>
                    <w:t>800</w:t>
                  </w:r>
                </w:p>
              </w:tc>
              <w:tc>
                <w:tcPr>
                  <w:tcW w:w="444"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w:t>
                  </w:r>
                </w:p>
              </w:tc>
              <w:tc>
                <w:tcPr>
                  <w:tcW w:w="1206" w:type="dxa"/>
                  <w:noWrap w:val="0"/>
                  <w:vAlign w:val="center"/>
                </w:tcPr>
                <w:p>
                  <w:pPr>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5.45</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6</w:t>
                  </w:r>
                </w:p>
              </w:tc>
              <w:tc>
                <w:tcPr>
                  <w:tcW w:w="1171" w:type="dxa"/>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2.09</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2</w:t>
                  </w:r>
                </w:p>
              </w:tc>
              <w:tc>
                <w:tcPr>
                  <w:tcW w:w="696"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2"/>
                      <w:sz w:val="20"/>
                      <w:szCs w:val="20"/>
                      <w:highlight w:val="none"/>
                      <w:vertAlign w:val="baseline"/>
                      <w:lang w:val="en-US" w:eastAsia="zh-CN"/>
                    </w:rPr>
                  </w:pPr>
                  <w:r>
                    <w:rPr>
                      <w:rFonts w:hint="default" w:ascii="Times New Roman" w:hAnsi="Times New Roman" w:eastAsia="宋体" w:cs="Times New Roman"/>
                      <w:bCs/>
                      <w:color w:val="auto"/>
                      <w:sz w:val="20"/>
                      <w:szCs w:val="20"/>
                      <w:highlight w:val="none"/>
                      <w:lang w:val="en-US" w:eastAsia="zh-CN"/>
                    </w:rPr>
                    <w:t>1/16</w:t>
                  </w:r>
                </w:p>
              </w:tc>
              <w:tc>
                <w:tcPr>
                  <w:tcW w:w="822" w:type="dxa"/>
                  <w:noWrap w:val="0"/>
                  <w:vAlign w:val="center"/>
                </w:tcPr>
                <w:p>
                  <w:pPr>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130</w:t>
                  </w:r>
                </w:p>
              </w:tc>
              <w:tc>
                <w:tcPr>
                  <w:tcW w:w="1075"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1.30</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3</w:t>
                  </w:r>
                </w:p>
              </w:tc>
              <w:tc>
                <w:tcPr>
                  <w:tcW w:w="738" w:type="dxa"/>
                  <w:tcBorders>
                    <w:right w:val="nil"/>
                  </w:tcBorders>
                  <w:noWrap w:val="0"/>
                  <w:vAlign w:val="center"/>
                </w:tcPr>
                <w:p>
                  <w:pPr>
                    <w:pStyle w:val="30"/>
                    <w:keepNext w:val="0"/>
                    <w:keepLines w:val="0"/>
                    <w:pageBreakBefore w:val="0"/>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color w:val="auto"/>
                      <w:kern w:val="2"/>
                      <w:sz w:val="20"/>
                      <w:szCs w:val="20"/>
                      <w:highlight w:val="none"/>
                      <w:vertAlign w:val="baseline"/>
                      <w:lang w:val="en-US" w:eastAsia="zh-CN"/>
                    </w:rPr>
                  </w:pPr>
                  <w:r>
                    <w:rPr>
                      <w:rFonts w:hint="default" w:ascii="Times New Roman" w:hAnsi="Times New Roman" w:cs="Times New Roman"/>
                      <w:color w:val="auto"/>
                      <w:kern w:val="2"/>
                      <w:sz w:val="20"/>
                      <w:szCs w:val="20"/>
                      <w:highlight w:val="none"/>
                      <w:vertAlign w:val="baseline"/>
                      <w:lang w:val="en-US" w:eastAsia="zh-CN"/>
                    </w:rPr>
                    <w:t>公众</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8"/>
                <w:szCs w:val="28"/>
                <w:highlight w:val="none"/>
                <w:lang w:val="en-US" w:eastAsia="zh-CN"/>
              </w:rPr>
            </w:pPr>
            <w:r>
              <w:rPr>
                <w:rFonts w:hint="default" w:ascii="Times New Roman" w:hAnsi="Times New Roman" w:cs="Times New Roman"/>
                <w:color w:val="auto"/>
                <w:sz w:val="21"/>
                <w:szCs w:val="21"/>
                <w:highlight w:val="none"/>
                <w:vertAlign w:val="baseline"/>
                <w:lang w:val="en-US" w:eastAsia="zh-CN"/>
              </w:rPr>
              <w:t>防护门外</w:t>
            </w:r>
          </w:p>
          <w:tbl>
            <w:tblPr>
              <w:tblStyle w:val="18"/>
              <w:tblW w:w="8856" w:type="dxa"/>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51" w:type="dxa"/>
                <w:bottom w:w="0" w:type="dxa"/>
                <w:right w:w="51" w:type="dxa"/>
              </w:tblCellMar>
            </w:tblPr>
            <w:tblGrid>
              <w:gridCol w:w="584"/>
              <w:gridCol w:w="567"/>
              <w:gridCol w:w="787"/>
              <w:gridCol w:w="1038"/>
              <w:gridCol w:w="965"/>
              <w:gridCol w:w="986"/>
              <w:gridCol w:w="1185"/>
              <w:gridCol w:w="531"/>
              <w:gridCol w:w="828"/>
              <w:gridCol w:w="923"/>
              <w:gridCol w:w="462"/>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51" w:type="dxa"/>
                  <w:bottom w:w="0" w:type="dxa"/>
                  <w:right w:w="51" w:type="dxa"/>
                </w:tblCellMar>
              </w:tblPrEx>
              <w:trPr>
                <w:trHeight w:val="886" w:hRule="atLeast"/>
                <w:jc w:val="center"/>
              </w:trPr>
              <w:tc>
                <w:tcPr>
                  <w:tcW w:w="584"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位置</w:t>
                  </w:r>
                </w:p>
              </w:tc>
              <w:tc>
                <w:tcPr>
                  <w:tcW w:w="567"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关注点位</w:t>
                  </w:r>
                </w:p>
              </w:tc>
              <w:tc>
                <w:tcPr>
                  <w:tcW w:w="787"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散射</w:t>
                  </w:r>
                </w:p>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面积</w:t>
                  </w:r>
                </w:p>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（Sw）</w:t>
                  </w:r>
                </w:p>
              </w:tc>
              <w:tc>
                <w:tcPr>
                  <w:tcW w:w="1038"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散射</w:t>
                  </w:r>
                </w:p>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因子（aw）</w:t>
                  </w:r>
                </w:p>
              </w:tc>
              <w:tc>
                <w:tcPr>
                  <w:tcW w:w="965"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散射剂量率</w:t>
                  </w:r>
                </w:p>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（μSv/h）</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漏射剂量率</w:t>
                  </w:r>
                </w:p>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（μSv/h）</w:t>
                  </w:r>
                </w:p>
              </w:tc>
              <w:tc>
                <w:tcPr>
                  <w:tcW w:w="1185"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屏蔽体外关注点剂量率（μSv/h）</w:t>
                  </w:r>
                </w:p>
              </w:tc>
              <w:tc>
                <w:tcPr>
                  <w:tcW w:w="531"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居留</w:t>
                  </w:r>
                </w:p>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因子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年出束时间（h）</w:t>
                  </w:r>
                </w:p>
              </w:tc>
              <w:tc>
                <w:tcPr>
                  <w:tcW w:w="92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年剂量（mSv/a）</w:t>
                  </w:r>
                </w:p>
              </w:tc>
              <w:tc>
                <w:tcPr>
                  <w:tcW w:w="462"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51" w:type="dxa"/>
                  <w:bottom w:w="0" w:type="dxa"/>
                  <w:right w:w="51" w:type="dxa"/>
                </w:tblCellMar>
              </w:tblPrEx>
              <w:trPr>
                <w:trHeight w:val="358" w:hRule="atLeast"/>
                <w:jc w:val="center"/>
              </w:trPr>
              <w:tc>
                <w:tcPr>
                  <w:tcW w:w="584"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防护门外</w:t>
                  </w:r>
                </w:p>
              </w:tc>
              <w:tc>
                <w:tcPr>
                  <w:tcW w:w="567"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eastAsia" w:ascii="Times New Roman" w:hAnsi="Times New Roman" w:cs="Times New Roman"/>
                      <w:bCs/>
                      <w:color w:val="auto"/>
                      <w:sz w:val="20"/>
                      <w:szCs w:val="20"/>
                      <w:highlight w:val="none"/>
                      <w:lang w:val="en-US" w:eastAsia="zh-CN"/>
                    </w:rPr>
                    <w:t>G</w:t>
                  </w:r>
                </w:p>
              </w:tc>
              <w:tc>
                <w:tcPr>
                  <w:tcW w:w="787"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eastAsia" w:ascii="Times New Roman" w:hAnsi="Times New Roman" w:cs="Times New Roman"/>
                      <w:bCs/>
                      <w:color w:val="auto"/>
                      <w:sz w:val="20"/>
                      <w:szCs w:val="20"/>
                      <w:highlight w:val="none"/>
                      <w:lang w:val="en-US" w:eastAsia="zh-CN"/>
                    </w:rPr>
                    <w:t>4.81</w:t>
                  </w:r>
                </w:p>
              </w:tc>
              <w:tc>
                <w:tcPr>
                  <w:tcW w:w="1038"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3.39×10</w:t>
                  </w:r>
                  <w:r>
                    <w:rPr>
                      <w:rFonts w:hint="default" w:ascii="Times New Roman" w:hAnsi="Times New Roman" w:cs="Times New Roman"/>
                      <w:bCs/>
                      <w:color w:val="auto"/>
                      <w:sz w:val="20"/>
                      <w:szCs w:val="20"/>
                      <w:highlight w:val="none"/>
                      <w:vertAlign w:val="superscript"/>
                      <w:lang w:val="en-US" w:eastAsia="zh-CN"/>
                    </w:rPr>
                    <w:t>-2</w:t>
                  </w:r>
                </w:p>
              </w:tc>
              <w:tc>
                <w:tcPr>
                  <w:tcW w:w="965"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eastAsia" w:ascii="Times New Roman" w:hAnsi="Times New Roman" w:cs="Times New Roman"/>
                      <w:bCs/>
                      <w:color w:val="auto"/>
                      <w:sz w:val="20"/>
                      <w:szCs w:val="20"/>
                      <w:highlight w:val="none"/>
                      <w:lang w:val="en-US" w:eastAsia="zh-CN"/>
                    </w:rPr>
                    <w:t>5.25</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eastAsia" w:ascii="Times New Roman" w:hAnsi="Times New Roman" w:cs="Times New Roman"/>
                      <w:bCs/>
                      <w:color w:val="auto"/>
                      <w:sz w:val="20"/>
                      <w:szCs w:val="20"/>
                      <w:highlight w:val="none"/>
                      <w:lang w:val="en-US" w:eastAsia="zh-CN"/>
                    </w:rPr>
                    <w:t>2.83</w:t>
                  </w:r>
                  <w:r>
                    <w:rPr>
                      <w:rFonts w:hint="default" w:ascii="Times New Roman" w:hAnsi="Times New Roman" w:cs="Times New Roman"/>
                      <w:bCs/>
                      <w:color w:val="auto"/>
                      <w:sz w:val="20"/>
                      <w:szCs w:val="20"/>
                      <w:highlight w:val="none"/>
                      <w:lang w:val="en-US" w:eastAsia="zh-CN"/>
                    </w:rPr>
                    <w:t>×10</w:t>
                  </w:r>
                  <w:r>
                    <w:rPr>
                      <w:rFonts w:hint="default" w:ascii="Times New Roman" w:hAnsi="Times New Roman" w:cs="Times New Roman"/>
                      <w:bCs/>
                      <w:color w:val="auto"/>
                      <w:sz w:val="20"/>
                      <w:szCs w:val="20"/>
                      <w:highlight w:val="none"/>
                      <w:vertAlign w:val="superscript"/>
                      <w:lang w:val="en-US" w:eastAsia="zh-CN"/>
                    </w:rPr>
                    <w:t>-</w:t>
                  </w:r>
                  <w:r>
                    <w:rPr>
                      <w:rFonts w:hint="eastAsia" w:ascii="Times New Roman" w:hAnsi="Times New Roman" w:cs="Times New Roman"/>
                      <w:bCs/>
                      <w:color w:val="auto"/>
                      <w:sz w:val="20"/>
                      <w:szCs w:val="20"/>
                      <w:highlight w:val="none"/>
                      <w:vertAlign w:val="superscript"/>
                      <w:lang w:val="en-US" w:eastAsia="zh-CN"/>
                    </w:rPr>
                    <w:t>9</w:t>
                  </w:r>
                </w:p>
              </w:tc>
              <w:tc>
                <w:tcPr>
                  <w:tcW w:w="1185"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eastAsia" w:ascii="Times New Roman" w:hAnsi="Times New Roman" w:cs="Times New Roman"/>
                      <w:bCs/>
                      <w:color w:val="auto"/>
                      <w:sz w:val="20"/>
                      <w:szCs w:val="20"/>
                      <w:highlight w:val="none"/>
                      <w:lang w:val="en-US" w:eastAsia="zh-CN"/>
                    </w:rPr>
                    <w:t>1.3</w:t>
                  </w:r>
                  <w:r>
                    <w:rPr>
                      <w:rFonts w:hint="default" w:ascii="Times New Roman" w:hAnsi="Times New Roman" w:cs="Times New Roman"/>
                      <w:bCs/>
                      <w:color w:val="auto"/>
                      <w:sz w:val="20"/>
                      <w:szCs w:val="20"/>
                      <w:highlight w:val="none"/>
                      <w:lang w:val="en-US" w:eastAsia="zh-CN"/>
                    </w:rPr>
                    <w:t>×10</w:t>
                  </w:r>
                  <w:r>
                    <w:rPr>
                      <w:rFonts w:hint="default" w:ascii="Times New Roman" w:hAnsi="Times New Roman" w:cs="Times New Roman"/>
                      <w:bCs/>
                      <w:color w:val="auto"/>
                      <w:sz w:val="20"/>
                      <w:szCs w:val="20"/>
                      <w:highlight w:val="none"/>
                      <w:vertAlign w:val="superscript"/>
                      <w:lang w:val="en-US" w:eastAsia="zh-CN"/>
                    </w:rPr>
                    <w:t>-1</w:t>
                  </w:r>
                </w:p>
              </w:tc>
              <w:tc>
                <w:tcPr>
                  <w:tcW w:w="531"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1/</w:t>
                  </w:r>
                  <w:r>
                    <w:rPr>
                      <w:rFonts w:hint="eastAsia" w:ascii="Times New Roman" w:hAnsi="Times New Roman" w:cs="Times New Roman"/>
                      <w:bCs/>
                      <w:color w:val="auto"/>
                      <w:sz w:val="20"/>
                      <w:szCs w:val="20"/>
                      <w:highlight w:val="none"/>
                      <w:lang w:val="en-US" w:eastAsia="zh-CN"/>
                    </w:rPr>
                    <w:t>16</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1</w:t>
                  </w:r>
                  <w:r>
                    <w:rPr>
                      <w:rFonts w:hint="eastAsia" w:ascii="Times New Roman" w:hAnsi="Times New Roman" w:cs="Times New Roman"/>
                      <w:bCs/>
                      <w:color w:val="auto"/>
                      <w:sz w:val="20"/>
                      <w:szCs w:val="20"/>
                      <w:highlight w:val="none"/>
                      <w:lang w:val="en-US" w:eastAsia="zh-CN"/>
                    </w:rPr>
                    <w:t>3</w:t>
                  </w:r>
                  <w:r>
                    <w:rPr>
                      <w:rFonts w:hint="default" w:ascii="Times New Roman" w:hAnsi="Times New Roman" w:cs="Times New Roman"/>
                      <w:bCs/>
                      <w:color w:val="auto"/>
                      <w:sz w:val="20"/>
                      <w:szCs w:val="20"/>
                      <w:highlight w:val="none"/>
                      <w:lang w:val="en-US" w:eastAsia="zh-CN"/>
                    </w:rPr>
                    <w:t>0</w:t>
                  </w:r>
                </w:p>
              </w:tc>
              <w:tc>
                <w:tcPr>
                  <w:tcW w:w="92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eastAsia" w:ascii="Times New Roman" w:hAnsi="Times New Roman" w:cs="Times New Roman"/>
                      <w:bCs/>
                      <w:color w:val="auto"/>
                      <w:sz w:val="20"/>
                      <w:szCs w:val="20"/>
                      <w:highlight w:val="none"/>
                      <w:lang w:val="en-US" w:eastAsia="zh-CN"/>
                    </w:rPr>
                    <w:t>1.06</w:t>
                  </w:r>
                  <w:r>
                    <w:rPr>
                      <w:rFonts w:hint="default" w:ascii="Times New Roman" w:hAnsi="Times New Roman" w:cs="Times New Roman"/>
                      <w:bCs/>
                      <w:color w:val="auto"/>
                      <w:sz w:val="20"/>
                      <w:szCs w:val="20"/>
                      <w:highlight w:val="none"/>
                      <w:lang w:val="en-US" w:eastAsia="zh-CN"/>
                    </w:rPr>
                    <w:t>×10</w:t>
                  </w:r>
                  <w:r>
                    <w:rPr>
                      <w:rFonts w:hint="default" w:ascii="Times New Roman" w:hAnsi="Times New Roman" w:cs="Times New Roman"/>
                      <w:bCs/>
                      <w:color w:val="auto"/>
                      <w:sz w:val="20"/>
                      <w:szCs w:val="20"/>
                      <w:highlight w:val="none"/>
                      <w:vertAlign w:val="superscript"/>
                      <w:lang w:val="en-US" w:eastAsia="zh-CN"/>
                    </w:rPr>
                    <w:t>-</w:t>
                  </w:r>
                  <w:r>
                    <w:rPr>
                      <w:rFonts w:hint="eastAsia" w:ascii="Times New Roman" w:hAnsi="Times New Roman" w:cs="Times New Roman"/>
                      <w:bCs/>
                      <w:color w:val="auto"/>
                      <w:sz w:val="20"/>
                      <w:szCs w:val="20"/>
                      <w:highlight w:val="none"/>
                      <w:vertAlign w:val="superscript"/>
                      <w:lang w:val="en-US" w:eastAsia="zh-CN"/>
                    </w:rPr>
                    <w:t>3</w:t>
                  </w:r>
                </w:p>
              </w:tc>
              <w:tc>
                <w:tcPr>
                  <w:tcW w:w="462"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公众</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w:t>
            </w:r>
            <w:r>
              <w:rPr>
                <w:rFonts w:hint="default" w:ascii="Times New Roman" w:hAnsi="Times New Roman" w:cs="Times New Roman"/>
                <w:color w:val="auto"/>
                <w:sz w:val="24"/>
                <w:szCs w:val="24"/>
                <w:highlight w:val="none"/>
                <w:lang w:val="en-US" w:eastAsia="zh-CN"/>
              </w:rPr>
              <w:t>上</w:t>
            </w:r>
            <w:r>
              <w:rPr>
                <w:rFonts w:hint="default" w:ascii="Times New Roman" w:hAnsi="Times New Roman" w:cs="Times New Roman"/>
                <w:color w:val="auto"/>
                <w:sz w:val="24"/>
                <w:szCs w:val="24"/>
                <w:highlight w:val="none"/>
              </w:rPr>
              <w:t>表可知，本项目后装机治疗过程中产生的γ射线经治疗室的墙体、门屏蔽后，关注点所致职业人员最大年剂量为</w:t>
            </w:r>
            <w:r>
              <w:rPr>
                <w:rFonts w:hint="default" w:ascii="Times New Roman" w:hAnsi="Times New Roman" w:cs="Times New Roman"/>
                <w:b w:val="0"/>
                <w:bCs w:val="0"/>
                <w:color w:val="auto"/>
                <w:sz w:val="24"/>
                <w:szCs w:val="24"/>
                <w:highlight w:val="none"/>
                <w:vertAlign w:val="baseline"/>
                <w:lang w:val="en-US" w:eastAsia="zh-CN"/>
              </w:rPr>
              <w:t>2.33</w:t>
            </w:r>
            <w:r>
              <w:rPr>
                <w:rFonts w:hint="default" w:ascii="Times New Roman" w:hAnsi="Times New Roman" w:eastAsia="宋体" w:cs="Times New Roman"/>
                <w:color w:val="auto"/>
                <w:kern w:val="2"/>
                <w:sz w:val="24"/>
                <w:szCs w:val="24"/>
                <w:highlight w:val="none"/>
              </w:rPr>
              <w:t>×10</w:t>
            </w:r>
            <w:r>
              <w:rPr>
                <w:rFonts w:hint="default" w:ascii="Times New Roman" w:hAnsi="Times New Roman" w:eastAsia="宋体" w:cs="Times New Roman"/>
                <w:color w:val="auto"/>
                <w:kern w:val="2"/>
                <w:sz w:val="24"/>
                <w:szCs w:val="24"/>
                <w:highlight w:val="none"/>
                <w:vertAlign w:val="superscript"/>
                <w:lang w:val="en-US" w:eastAsia="zh-CN"/>
              </w:rPr>
              <w:t>-</w:t>
            </w:r>
            <w:r>
              <w:rPr>
                <w:rFonts w:hint="default" w:ascii="Times New Roman" w:hAnsi="Times New Roman" w:cs="Times New Roman"/>
                <w:color w:val="auto"/>
                <w:kern w:val="2"/>
                <w:sz w:val="24"/>
                <w:szCs w:val="24"/>
                <w:highlight w:val="none"/>
                <w:vertAlign w:val="superscript"/>
                <w:lang w:val="en-US" w:eastAsia="zh-CN"/>
              </w:rPr>
              <w:t>2</w:t>
            </w:r>
            <w:r>
              <w:rPr>
                <w:rFonts w:hint="default" w:ascii="Times New Roman" w:hAnsi="Times New Roman" w:cs="Times New Roman"/>
                <w:color w:val="auto"/>
                <w:sz w:val="24"/>
                <w:szCs w:val="24"/>
                <w:highlight w:val="none"/>
              </w:rPr>
              <w:t>mSv，低于本次确定的5mSv/a剂量约束值；公众最大年剂量为</w:t>
            </w:r>
            <w:r>
              <w:rPr>
                <w:rFonts w:hint="default" w:ascii="Times New Roman" w:hAnsi="Times New Roman" w:cs="Times New Roman"/>
                <w:color w:val="auto"/>
                <w:kern w:val="2"/>
                <w:sz w:val="24"/>
                <w:szCs w:val="24"/>
                <w:highlight w:val="none"/>
                <w:vertAlign w:val="baseline"/>
                <w:lang w:val="en-US" w:eastAsia="zh-CN"/>
              </w:rPr>
              <w:t>7.03</w:t>
            </w:r>
            <w:r>
              <w:rPr>
                <w:rFonts w:hint="default" w:ascii="Times New Roman" w:hAnsi="Times New Roman" w:eastAsia="宋体" w:cs="Times New Roman"/>
                <w:color w:val="auto"/>
                <w:kern w:val="2"/>
                <w:sz w:val="24"/>
                <w:szCs w:val="24"/>
                <w:highlight w:val="none"/>
              </w:rPr>
              <w:t>×10</w:t>
            </w:r>
            <w:r>
              <w:rPr>
                <w:rFonts w:hint="default" w:ascii="Times New Roman" w:hAnsi="Times New Roman" w:eastAsia="宋体" w:cs="Times New Roman"/>
                <w:color w:val="auto"/>
                <w:kern w:val="2"/>
                <w:sz w:val="24"/>
                <w:szCs w:val="24"/>
                <w:highlight w:val="none"/>
                <w:vertAlign w:val="superscript"/>
                <w:lang w:val="en-US" w:eastAsia="zh-CN"/>
              </w:rPr>
              <w:t>-</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sz w:val="24"/>
                <w:szCs w:val="24"/>
                <w:highlight w:val="none"/>
              </w:rPr>
              <w:t>mSv，低于本次确定的0.1mSv/a</w:t>
            </w:r>
            <w:r>
              <w:rPr>
                <w:rFonts w:hint="default" w:ascii="Times New Roman" w:hAnsi="Times New Roman" w:cs="Times New Roman"/>
                <w:color w:val="auto"/>
                <w:sz w:val="24"/>
                <w:szCs w:val="24"/>
                <w:highlight w:val="none"/>
                <w:lang w:val="en-US" w:eastAsia="zh-CN"/>
              </w:rPr>
              <w:t>剂量约束值</w:t>
            </w:r>
            <w:r>
              <w:rPr>
                <w:rFonts w:hint="default" w:ascii="Times New Roman" w:hAnsi="Times New Roman" w:cs="Times New Roman"/>
                <w:color w:val="auto"/>
                <w:sz w:val="24"/>
                <w:szCs w:val="24"/>
                <w:highlight w:val="none"/>
              </w:rPr>
              <w:t>。对后装治疗室墙体屏蔽性能校核结果表明，</w:t>
            </w:r>
            <w:r>
              <w:rPr>
                <w:rFonts w:hint="default" w:ascii="Times New Roman" w:hAnsi="Times New Roman" w:cs="Times New Roman"/>
                <w:color w:val="auto"/>
                <w:sz w:val="24"/>
                <w:szCs w:val="24"/>
                <w:highlight w:val="none"/>
                <w:lang w:val="en-US" w:eastAsia="zh-CN"/>
              </w:rPr>
              <w:t>后装</w:t>
            </w:r>
            <w:r>
              <w:rPr>
                <w:rFonts w:hint="default" w:ascii="Times New Roman" w:hAnsi="Times New Roman" w:cs="Times New Roman"/>
                <w:color w:val="auto"/>
                <w:sz w:val="24"/>
                <w:szCs w:val="24"/>
                <w:highlight w:val="none"/>
              </w:rPr>
              <w:t>治疗室的各墙体厚度的设计均大于校核厚度，按此设计建造的治疗室，足以屏蔽后装机运营中所产生的γ射线，符合相关标准要求。</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后装机运行时臭氧的产生和治理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4"/>
                <w:highlight w:val="none"/>
                <w:lang w:eastAsia="zh-CN"/>
              </w:rPr>
              <w:t>后装治疗室</w:t>
            </w:r>
            <w:r>
              <w:rPr>
                <w:rFonts w:hint="default" w:ascii="Times New Roman" w:hAnsi="Times New Roman" w:cs="Times New Roman"/>
                <w:color w:val="auto"/>
                <w:sz w:val="24"/>
                <w:highlight w:val="none"/>
              </w:rPr>
              <w:t>内空气中的氧受γ射线电离而产生臭氧，假设</w:t>
            </w:r>
            <w:r>
              <w:rPr>
                <w:rFonts w:hint="default" w:ascii="Times New Roman" w:hAnsi="Times New Roman" w:cs="Times New Roman"/>
                <w:color w:val="auto"/>
                <w:sz w:val="24"/>
                <w:highlight w:val="none"/>
                <w:lang w:val="en-US" w:eastAsia="zh-CN"/>
              </w:rPr>
              <w:t>机房</w:t>
            </w:r>
            <w:r>
              <w:rPr>
                <w:rFonts w:hint="default" w:ascii="Times New Roman" w:hAnsi="Times New Roman" w:cs="Times New Roman"/>
                <w:color w:val="auto"/>
                <w:sz w:val="24"/>
                <w:highlight w:val="none"/>
              </w:rPr>
              <w:t>为密闭，则臭氧产生率按下式计算：</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Q</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=6.2×10</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AGV</w:t>
            </w:r>
            <w:r>
              <w:rPr>
                <w:rFonts w:hint="default" w:ascii="Times New Roman" w:hAnsi="Times New Roman" w:cs="Times New Roman"/>
                <w:color w:val="auto"/>
                <w:sz w:val="24"/>
                <w:highlight w:val="none"/>
                <w:vertAlign w:val="superscript"/>
              </w:rPr>
              <w:t xml:space="preserve">1/3  </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w:t>
            </w:r>
            <w:r>
              <w:rPr>
                <w:rFonts w:hint="eastAsia" w:ascii="Times New Roman" w:hAnsi="Times New Roman" w:cs="Times New Roman"/>
                <w:color w:val="auto"/>
                <w:sz w:val="24"/>
                <w:szCs w:val="24"/>
                <w:highlight w:val="none"/>
                <w:lang w:val="en-US" w:eastAsia="zh-CN"/>
              </w:rPr>
              <w:t>48</w:t>
            </w:r>
            <w:r>
              <w:rPr>
                <w:rFonts w:hint="default" w:ascii="Times New Roman" w:hAnsi="Times New Roman"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Q—臭氧产生率，mg/h；</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A—放射源活度，0.37TBq；</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G—空气吸收γ射线能量产生臭氧分子数，对γ源取10；</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V—</w:t>
            </w:r>
            <w:r>
              <w:rPr>
                <w:rFonts w:hint="default" w:ascii="Times New Roman" w:hAnsi="Times New Roman" w:cs="Times New Roman"/>
                <w:color w:val="auto"/>
                <w:szCs w:val="21"/>
                <w:highlight w:val="none"/>
                <w:lang w:val="en-US" w:eastAsia="zh-CN"/>
              </w:rPr>
              <w:t>治疗室空间体积</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97</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室内臭氧饱和浓度由下式计算：</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position w:val="-12"/>
                <w:sz w:val="24"/>
                <w:szCs w:val="24"/>
                <w:highlight w:val="none"/>
              </w:rPr>
              <w:object>
                <v:shape id="_x0000_i1138" o:spt="75" type="#_x0000_t75" style="height:17.65pt;width:73.95pt;" o:ole="t" filled="f" o:preferrelative="t" stroked="f" coordsize="21600,21600">
                  <v:path/>
                  <v:fill on="f" focussize="0,0"/>
                  <v:stroke on="f"/>
                  <v:imagedata r:id="rId250" o:title=""/>
                  <o:lock v:ext="edit" aspectratio="t"/>
                  <w10:wrap type="none"/>
                  <w10:anchorlock/>
                </v:shape>
                <o:OLEObject Type="Embed" ProgID="Equation.3" ShapeID="_x0000_i1138" DrawAspect="Content" ObjectID="_1468075838" r:id="rId249">
                  <o:LockedField>false</o:LockedField>
                </o:OLEObject>
              </w:object>
            </w:r>
            <w:r>
              <w:rPr>
                <w:rFonts w:hint="default" w:ascii="Times New Roman" w:hAnsi="Times New Roman" w:cs="Times New Roman"/>
                <w:color w:val="auto"/>
                <w:sz w:val="24"/>
                <w:highlight w:val="none"/>
              </w:rPr>
              <w:t xml:space="preserve"> </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式11-4</w:t>
            </w:r>
            <w:r>
              <w:rPr>
                <w:rFonts w:hint="eastAsia"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C—室内臭氧浓度，mg/m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Qo—臭氧产额mg/h；</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Tv—臭气有效清除时间，h；</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4"/>
                <w:highlight w:val="none"/>
              </w:rPr>
            </w:pPr>
            <w:r>
              <w:rPr>
                <w:rFonts w:hint="default" w:ascii="Times New Roman" w:hAnsi="Times New Roman" w:cs="Times New Roman"/>
                <w:color w:val="auto"/>
                <w:szCs w:val="21"/>
                <w:highlight w:val="none"/>
              </w:rPr>
              <w:t>V—</w:t>
            </w:r>
            <w:r>
              <w:rPr>
                <w:rFonts w:hint="default" w:ascii="Times New Roman" w:hAnsi="Times New Roman" w:cs="Times New Roman"/>
                <w:color w:val="auto"/>
                <w:szCs w:val="21"/>
                <w:highlight w:val="none"/>
                <w:lang w:val="en-US" w:eastAsia="zh-CN"/>
              </w:rPr>
              <w:t>治疗室空间体积</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97</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position w:val="-30"/>
                <w:sz w:val="24"/>
                <w:highlight w:val="none"/>
              </w:rPr>
              <w:t xml:space="preserve">    </w:t>
            </w:r>
            <w:r>
              <w:rPr>
                <w:rFonts w:hint="default" w:ascii="Times New Roman" w:hAnsi="Times New Roman" w:cs="Times New Roman"/>
                <w:color w:val="auto"/>
                <w:position w:val="-30"/>
                <w:sz w:val="24"/>
                <w:highlight w:val="none"/>
              </w:rPr>
              <w:object>
                <v:shape id="_x0000_i1139" o:spt="75" type="#_x0000_t75" style="height:34.05pt;width:55.85pt;" o:ole="t" filled="f" o:preferrelative="t" stroked="f" coordsize="21600,21600">
                  <v:path/>
                  <v:fill on="f" focussize="0,0"/>
                  <v:stroke on="f"/>
                  <v:imagedata r:id="rId252" o:title=""/>
                  <o:lock v:ext="edit" aspectratio="t"/>
                  <w10:wrap type="none"/>
                  <w10:anchorlock/>
                </v:shape>
                <o:OLEObject Type="Embed" ProgID="Equation.3" ShapeID="_x0000_i1139" DrawAspect="Content" ObjectID="_1468075839" r:id="rId251">
                  <o:LockedField>false</o:LockedField>
                </o:OLEObject>
              </w:object>
            </w:r>
            <w:r>
              <w:rPr>
                <w:rFonts w:hint="default" w:ascii="Times New Roman" w:hAnsi="Times New Roman" w:cs="Times New Roman"/>
                <w:color w:val="auto"/>
                <w:sz w:val="24"/>
                <w:highlight w:val="none"/>
              </w:rPr>
              <w:t xml:space="preserve"> </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式11-</w:t>
            </w:r>
            <w:r>
              <w:rPr>
                <w:rFonts w:hint="eastAsia" w:ascii="Times New Roman" w:hAns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r>
              <w:rPr>
                <w:rFonts w:hint="default" w:ascii="Times New Roman" w:hAnsi="Times New Roman" w:cs="Times New Roman"/>
                <w:color w:val="auto"/>
                <w:szCs w:val="21"/>
                <w:highlight w:val="none"/>
                <w:vertAlign w:val="subscript"/>
              </w:rPr>
              <w:t>v</w:t>
            </w:r>
            <w:r>
              <w:rPr>
                <w:rFonts w:hint="default" w:ascii="Times New Roman" w:hAnsi="Times New Roman" w:cs="Times New Roman"/>
                <w:color w:val="auto"/>
                <w:szCs w:val="21"/>
                <w:highlight w:val="none"/>
              </w:rPr>
              <w:t>—每次换气时间，0.</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h；</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r>
              <w:rPr>
                <w:rFonts w:hint="default" w:ascii="Times New Roman" w:hAnsi="Times New Roman" w:cs="Times New Roman"/>
                <w:color w:val="auto"/>
                <w:szCs w:val="21"/>
                <w:highlight w:val="none"/>
                <w:vertAlign w:val="subscript"/>
              </w:rPr>
              <w:t>α</w:t>
            </w:r>
            <w:r>
              <w:rPr>
                <w:rFonts w:hint="default" w:ascii="Times New Roman" w:hAnsi="Times New Roman" w:cs="Times New Roman"/>
                <w:color w:val="auto"/>
                <w:szCs w:val="21"/>
                <w:highlight w:val="none"/>
              </w:rPr>
              <w:t>—臭氧分解时间，取值为0.83h。</w:t>
            </w:r>
          </w:p>
          <w:p>
            <w:pPr>
              <w:keepNext w:val="0"/>
              <w:keepLines w:val="0"/>
              <w:suppressLineNumbers w:val="0"/>
              <w:spacing w:before="0" w:beforeAutospacing="0" w:after="0" w:afterAutospacing="0" w:line="360" w:lineRule="auto"/>
              <w:ind w:left="0" w:right="0" w:firstLine="460" w:firstLineChars="19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由公式11-</w:t>
            </w:r>
            <w:r>
              <w:rPr>
                <w:rFonts w:hint="default"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、11-</w:t>
            </w:r>
            <w:r>
              <w:rPr>
                <w:rFonts w:hint="default"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、11-</w:t>
            </w:r>
            <w:r>
              <w:rPr>
                <w:rFonts w:hint="eastAsia"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计算，臭氧产额为</w:t>
            </w:r>
            <w:r>
              <w:rPr>
                <w:rFonts w:hint="default" w:ascii="Times New Roman" w:hAnsi="Times New Roman" w:cs="Times New Roman"/>
                <w:color w:val="auto"/>
                <w:sz w:val="24"/>
                <w:szCs w:val="24"/>
                <w:highlight w:val="none"/>
                <w:lang w:val="en-US" w:eastAsia="zh-CN"/>
              </w:rPr>
              <w:t>1.05</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rPr>
              <w:t>mg/h，</w:t>
            </w:r>
            <w:r>
              <w:rPr>
                <w:rFonts w:hint="default" w:ascii="Times New Roman" w:hAnsi="Times New Roman" w:cs="Times New Roman"/>
                <w:color w:val="auto"/>
                <w:sz w:val="24"/>
                <w:highlight w:val="none"/>
                <w:lang w:eastAsia="zh-CN"/>
              </w:rPr>
              <w:t>后装治疗室</w:t>
            </w:r>
            <w:r>
              <w:rPr>
                <w:rFonts w:hint="default" w:ascii="Times New Roman" w:hAnsi="Times New Roman" w:cs="Times New Roman"/>
                <w:color w:val="auto"/>
                <w:sz w:val="24"/>
                <w:highlight w:val="none"/>
              </w:rPr>
              <w:t>每小时换气</w:t>
            </w:r>
            <w:r>
              <w:rPr>
                <w:rFonts w:hint="default" w:ascii="Times New Roman" w:hAnsi="Times New Roman" w:cs="Times New Roman"/>
                <w:color w:val="auto"/>
                <w:sz w:val="24"/>
                <w:highlight w:val="none"/>
                <w:lang w:val="en-US" w:eastAsia="zh-CN"/>
              </w:rPr>
              <w:t>约10</w:t>
            </w:r>
            <w:r>
              <w:rPr>
                <w:rFonts w:hint="default" w:ascii="Times New Roman" w:hAnsi="Times New Roman" w:cs="Times New Roman"/>
                <w:color w:val="auto"/>
                <w:sz w:val="24"/>
                <w:highlight w:val="none"/>
              </w:rPr>
              <w:t>次</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最终计算出的</w:t>
            </w:r>
            <w:r>
              <w:rPr>
                <w:rFonts w:hint="default" w:ascii="Times New Roman" w:hAnsi="Times New Roman" w:cs="Times New Roman"/>
                <w:color w:val="auto"/>
                <w:sz w:val="24"/>
                <w:highlight w:val="none"/>
                <w:lang w:eastAsia="zh-CN"/>
              </w:rPr>
              <w:t>后装治疗室</w:t>
            </w:r>
            <w:r>
              <w:rPr>
                <w:rFonts w:hint="default" w:ascii="Times New Roman" w:hAnsi="Times New Roman" w:cs="Times New Roman"/>
                <w:color w:val="auto"/>
                <w:sz w:val="24"/>
                <w:highlight w:val="none"/>
              </w:rPr>
              <w:t>内臭氧浓度为</w:t>
            </w:r>
            <w:r>
              <w:rPr>
                <w:rFonts w:hint="default" w:ascii="Times New Roman" w:hAnsi="Times New Roman" w:cs="Times New Roman"/>
                <w:color w:val="auto"/>
                <w:sz w:val="24"/>
                <w:highlight w:val="none"/>
                <w:lang w:val="en-US" w:eastAsia="zh-CN"/>
              </w:rPr>
              <w:t>9.65</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w:t>
            </w:r>
            <w:r>
              <w:rPr>
                <w:rFonts w:hint="default" w:ascii="Times New Roman" w:hAnsi="Times New Roman" w:cs="Times New Roman"/>
                <w:color w:val="auto"/>
                <w:sz w:val="24"/>
                <w:highlight w:val="none"/>
                <w:vertAlign w:val="superscript"/>
                <w:lang w:val="en-US" w:eastAsia="zh-CN"/>
              </w:rPr>
              <w:t>6</w:t>
            </w:r>
            <w:r>
              <w:rPr>
                <w:rFonts w:hint="default" w:ascii="Times New Roman" w:hAnsi="Times New Roman" w:cs="Times New Roman"/>
                <w:color w:val="auto"/>
                <w:sz w:val="24"/>
                <w:highlight w:val="none"/>
              </w:rPr>
              <w:t xml:space="preserve"> 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。本项目产生的臭氧采用换气系统排入环境大气后，经自然分解和稀释，</w:t>
            </w:r>
            <w:r>
              <w:rPr>
                <w:rFonts w:hint="default" w:ascii="Times New Roman" w:hAnsi="Times New Roman" w:cs="Times New Roman"/>
                <w:color w:val="auto"/>
                <w:sz w:val="24"/>
                <w:highlight w:val="none"/>
                <w:lang w:val="en-US" w:eastAsia="zh-CN"/>
              </w:rPr>
              <w:t>满足</w:t>
            </w:r>
            <w:r>
              <w:rPr>
                <w:rFonts w:hint="eastAsia" w:ascii="Times New Roman" w:hAnsi="Times New Roman" w:cs="Times New Roman"/>
                <w:color w:val="auto"/>
                <w:sz w:val="24"/>
                <w:highlight w:val="none"/>
                <w:lang w:eastAsia="zh-CN"/>
              </w:rPr>
              <w:t>《工作场所有害因素职业接触限值 第1部分：化学有害因素》（GBZ2.1-2019）中臭氧最高允许浓度0.3mg/m</w:t>
            </w:r>
            <w:r>
              <w:rPr>
                <w:rFonts w:hint="eastAsia"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val="en-US" w:eastAsia="zh-CN"/>
              </w:rPr>
              <w:t>限值</w:t>
            </w:r>
            <w:r>
              <w:rPr>
                <w:rFonts w:hint="default" w:ascii="Times New Roman" w:hAnsi="Times New Roman" w:cs="Times New Roman"/>
                <w:color w:val="auto"/>
                <w:sz w:val="24"/>
                <w:highlight w:val="none"/>
              </w:rPr>
              <w:t>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后装治疗室</w:t>
            </w:r>
            <w:r>
              <w:rPr>
                <w:rFonts w:hint="default" w:ascii="Times New Roman" w:hAnsi="Times New Roman" w:cs="Times New Roman"/>
                <w:color w:val="auto"/>
                <w:sz w:val="24"/>
                <w:highlight w:val="none"/>
              </w:rPr>
              <w:t>排风系统采用全新风直流式送风形式</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通排风</w:t>
            </w:r>
            <w:r>
              <w:rPr>
                <w:rFonts w:hint="default" w:ascii="Times New Roman" w:hAnsi="Times New Roman" w:cs="Times New Roman"/>
                <w:color w:val="auto"/>
                <w:sz w:val="24"/>
                <w:highlight w:val="none"/>
              </w:rPr>
              <w:t>管道</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320</w:t>
            </w:r>
            <w:r>
              <w:rPr>
                <w:rFonts w:hint="default" w:ascii="Times New Roman" w:hAnsi="Times New Roman" w:cs="Times New Roman"/>
                <w:color w:val="auto"/>
                <w:sz w:val="24"/>
                <w:highlight w:val="none"/>
              </w:rPr>
              <w:t>×2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0mm</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设置</w:t>
            </w:r>
            <w:r>
              <w:rPr>
                <w:rFonts w:hint="default" w:ascii="Times New Roman" w:hAnsi="Times New Roman" w:cs="Times New Roman"/>
                <w:color w:val="auto"/>
                <w:sz w:val="24"/>
                <w:highlight w:val="none"/>
              </w:rPr>
              <w:t>在</w:t>
            </w:r>
            <w:r>
              <w:rPr>
                <w:rFonts w:hint="eastAsia" w:ascii="Times New Roman" w:hAnsi="Times New Roman" w:cs="Times New Roman"/>
                <w:color w:val="auto"/>
                <w:sz w:val="24"/>
                <w:highlight w:val="none"/>
                <w:lang w:val="en-US" w:eastAsia="zh-CN"/>
              </w:rPr>
              <w:t>治疗室</w:t>
            </w:r>
            <w:r>
              <w:rPr>
                <w:rFonts w:hint="default" w:ascii="Times New Roman" w:hAnsi="Times New Roman" w:cs="Times New Roman"/>
                <w:color w:val="auto"/>
                <w:sz w:val="24"/>
                <w:highlight w:val="none"/>
              </w:rPr>
              <w:t>门上方</w:t>
            </w:r>
            <w:r>
              <w:rPr>
                <w:rFonts w:hint="default" w:ascii="Times New Roman" w:hAnsi="Times New Roman" w:cs="Times New Roman"/>
                <w:color w:val="auto"/>
                <w:sz w:val="24"/>
                <w:highlight w:val="none"/>
                <w:lang w:val="en-US" w:eastAsia="zh-CN"/>
              </w:rPr>
              <w:t>并采用</w:t>
            </w:r>
            <w:r>
              <w:rPr>
                <w:rFonts w:hint="default" w:ascii="Times New Roman" w:hAnsi="Times New Roman" w:cs="Times New Roman"/>
                <w:color w:val="auto"/>
                <w:sz w:val="24"/>
                <w:highlight w:val="none"/>
              </w:rPr>
              <w:t>穿墙</w:t>
            </w:r>
            <w:r>
              <w:rPr>
                <w:rFonts w:hint="default" w:ascii="Times New Roman" w:hAnsi="Times New Roman" w:cs="Times New Roman"/>
                <w:color w:val="auto"/>
                <w:kern w:val="2"/>
                <w:sz w:val="24"/>
                <w:highlight w:val="none"/>
                <w:lang w:val="en-US" w:eastAsia="zh-CN"/>
              </w:rPr>
              <w:t>连接</w:t>
            </w:r>
            <w:r>
              <w:rPr>
                <w:rFonts w:hint="eastAsia" w:ascii="Times New Roman" w:hAnsi="Times New Roman" w:cs="Times New Roman"/>
                <w:color w:val="auto"/>
                <w:kern w:val="2"/>
                <w:sz w:val="24"/>
                <w:highlight w:val="none"/>
                <w:lang w:val="en-US" w:eastAsia="zh-CN"/>
              </w:rPr>
              <w:t>至西北部的空调机房</w:t>
            </w:r>
            <w:r>
              <w:rPr>
                <w:rFonts w:hint="default" w:ascii="Times New Roman" w:hAnsi="Times New Roman" w:cs="Times New Roman"/>
                <w:color w:val="auto"/>
                <w:kern w:val="2"/>
                <w:sz w:val="24"/>
                <w:highlight w:val="none"/>
              </w:rPr>
              <w:t>，</w:t>
            </w:r>
            <w:r>
              <w:rPr>
                <w:rFonts w:hint="eastAsia" w:ascii="Times New Roman" w:hAnsi="Times New Roman" w:cs="Times New Roman"/>
                <w:color w:val="auto"/>
                <w:kern w:val="2"/>
                <w:sz w:val="24"/>
                <w:highlight w:val="none"/>
                <w:lang w:val="en-US" w:eastAsia="zh-CN"/>
              </w:rPr>
              <w:t>后输送</w:t>
            </w:r>
            <w:r>
              <w:rPr>
                <w:rFonts w:hint="default" w:ascii="Times New Roman" w:hAnsi="Times New Roman" w:cs="Times New Roman"/>
                <w:color w:val="auto"/>
                <w:kern w:val="2"/>
                <w:sz w:val="24"/>
                <w:highlight w:val="none"/>
                <w:lang w:val="en-US" w:eastAsia="zh-CN"/>
              </w:rPr>
              <w:t>至楼顶朝西南方向排放</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气流组织为上送风、下排风。</w:t>
            </w:r>
            <w:r>
              <w:rPr>
                <w:rFonts w:hint="default" w:ascii="Times New Roman" w:hAnsi="Times New Roman" w:cs="Times New Roman"/>
                <w:color w:val="auto"/>
                <w:sz w:val="24"/>
                <w:highlight w:val="none"/>
                <w:lang w:val="en-US" w:eastAsia="zh-CN"/>
              </w:rPr>
              <w:t>进排风管道均采用镀锌钢</w:t>
            </w:r>
            <w:r>
              <w:rPr>
                <w:rFonts w:hint="default" w:ascii="Times New Roman" w:hAnsi="Times New Roman" w:cs="Times New Roman"/>
                <w:color w:val="auto"/>
                <w:sz w:val="24"/>
                <w:highlight w:val="none"/>
              </w:rPr>
              <w:t>管道</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eastAsia="zh-CN"/>
              </w:rPr>
              <w:t>后装治疗室</w:t>
            </w:r>
            <w:r>
              <w:rPr>
                <w:rFonts w:hint="default" w:ascii="Times New Roman" w:hAnsi="Times New Roman" w:cs="Times New Roman"/>
                <w:color w:val="auto"/>
                <w:sz w:val="24"/>
                <w:highlight w:val="none"/>
              </w:rPr>
              <w:t>每小时换气</w:t>
            </w:r>
            <w:r>
              <w:rPr>
                <w:rFonts w:hint="default" w:ascii="Times New Roman" w:hAnsi="Times New Roman" w:cs="Times New Roman"/>
                <w:color w:val="auto"/>
                <w:sz w:val="24"/>
                <w:highlight w:val="none"/>
                <w:lang w:val="en-US" w:eastAsia="zh-CN"/>
              </w:rPr>
              <w:t>约10</w:t>
            </w:r>
            <w:r>
              <w:rPr>
                <w:rFonts w:hint="default" w:ascii="Times New Roman" w:hAnsi="Times New Roman" w:cs="Times New Roman"/>
                <w:color w:val="auto"/>
                <w:sz w:val="24"/>
                <w:highlight w:val="none"/>
              </w:rPr>
              <w:t>次，</w:t>
            </w:r>
            <w:r>
              <w:rPr>
                <w:rFonts w:hint="default" w:ascii="Times New Roman" w:hAnsi="Times New Roman" w:cs="Times New Roman"/>
                <w:color w:val="auto"/>
                <w:sz w:val="24"/>
                <w:highlight w:val="none"/>
                <w:lang w:val="en-US" w:eastAsia="zh-CN"/>
              </w:rPr>
              <w:t>排</w:t>
            </w:r>
            <w:r>
              <w:rPr>
                <w:rFonts w:hint="default" w:ascii="Times New Roman" w:hAnsi="Times New Roman" w:cs="Times New Roman"/>
                <w:color w:val="auto"/>
                <w:sz w:val="24"/>
                <w:highlight w:val="none"/>
              </w:rPr>
              <w:t>风量约</w:t>
            </w:r>
            <w:r>
              <w:rPr>
                <w:rFonts w:hint="eastAsia" w:ascii="Times New Roman" w:hAnsi="Times New Roman" w:cs="Times New Roman"/>
                <w:color w:val="auto"/>
                <w:sz w:val="24"/>
                <w:highlight w:val="none"/>
                <w:lang w:val="en-US" w:eastAsia="zh-CN"/>
              </w:rPr>
              <w:t>2000m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ascii="Times New Roman" w:hAnsi="Times New Roman" w:cs="Times New Roman"/>
                <w:color w:val="auto"/>
                <w:kern w:val="2"/>
                <w:sz w:val="24"/>
                <w:highlight w:val="none"/>
                <w:lang w:eastAsia="zh-CN"/>
              </w:rPr>
              <w:t>（</w:t>
            </w:r>
            <w:r>
              <w:rPr>
                <w:rFonts w:hint="eastAsia" w:ascii="Times New Roman" w:hAnsi="Times New Roman" w:cs="Times New Roman"/>
                <w:color w:val="auto"/>
                <w:kern w:val="2"/>
                <w:sz w:val="24"/>
                <w:highlight w:val="none"/>
                <w:lang w:val="en-US" w:eastAsia="zh-CN"/>
              </w:rPr>
              <w:t>见附图15</w:t>
            </w:r>
            <w:r>
              <w:rPr>
                <w:rFonts w:hint="eastAsia" w:ascii="Times New Roman" w:hAnsi="Times New Roman" w:cs="Times New Roman"/>
                <w:color w:val="auto"/>
                <w:kern w:val="2"/>
                <w:sz w:val="24"/>
                <w:highlight w:val="none"/>
                <w:lang w:eastAsia="zh-CN"/>
              </w:rPr>
              <w:t>）</w:t>
            </w:r>
            <w:r>
              <w:rPr>
                <w:rFonts w:hint="default"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lang w:val="en-US" w:eastAsia="zh-CN"/>
              </w:rPr>
              <w:t>3、</w:t>
            </w:r>
            <w:r>
              <w:rPr>
                <w:rFonts w:hint="default" w:ascii="Times New Roman" w:hAnsi="Times New Roman" w:cs="Times New Roman"/>
                <w:b/>
                <w:bCs w:val="0"/>
                <w:color w:val="auto"/>
                <w:sz w:val="24"/>
                <w:szCs w:val="24"/>
                <w:highlight w:val="none"/>
                <w:vertAlign w:val="superscript"/>
              </w:rPr>
              <w:t>192</w:t>
            </w:r>
            <w:r>
              <w:rPr>
                <w:rFonts w:hint="default" w:ascii="Times New Roman" w:hAnsi="Times New Roman" w:cs="Times New Roman"/>
                <w:b/>
                <w:bCs w:val="0"/>
                <w:color w:val="auto"/>
                <w:sz w:val="24"/>
                <w:szCs w:val="24"/>
                <w:highlight w:val="none"/>
              </w:rPr>
              <w:t>Ir放射源的管理及废源处置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后装机所使用的</w:t>
            </w:r>
            <w:r>
              <w:rPr>
                <w:rFonts w:hint="default" w:ascii="Times New Roman" w:hAnsi="Times New Roman" w:cs="Times New Roman"/>
                <w:color w:val="auto"/>
                <w:sz w:val="24"/>
                <w:highlight w:val="none"/>
                <w:vertAlign w:val="superscript"/>
              </w:rPr>
              <w:t>192</w:t>
            </w:r>
            <w:r>
              <w:rPr>
                <w:rFonts w:hint="default" w:ascii="Times New Roman" w:hAnsi="Times New Roman" w:cs="Times New Roman"/>
                <w:color w:val="auto"/>
                <w:sz w:val="24"/>
                <w:highlight w:val="none"/>
              </w:rPr>
              <w:t>Ir放射源在不进行治疗时贮存于</w:t>
            </w:r>
            <w:r>
              <w:rPr>
                <w:rFonts w:hint="default" w:ascii="Times New Roman" w:hAnsi="Times New Roman" w:cs="Times New Roman"/>
                <w:color w:val="auto"/>
                <w:sz w:val="24"/>
                <w:highlight w:val="none"/>
                <w:lang w:eastAsia="zh-CN"/>
              </w:rPr>
              <w:t>后装治疗室</w:t>
            </w:r>
            <w:r>
              <w:rPr>
                <w:rFonts w:hint="default" w:ascii="Times New Roman" w:hAnsi="Times New Roman" w:cs="Times New Roman"/>
                <w:color w:val="auto"/>
                <w:sz w:val="24"/>
                <w:highlight w:val="none"/>
              </w:rPr>
              <w:t>内的后装机圆柱形铅贮源器中，有良好的外屏蔽设施。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vertAlign w:val="superscript"/>
              </w:rPr>
              <w:t>192</w:t>
            </w:r>
            <w:r>
              <w:rPr>
                <w:rFonts w:hint="default" w:ascii="Times New Roman" w:hAnsi="Times New Roman" w:cs="Times New Roman"/>
                <w:color w:val="auto"/>
                <w:sz w:val="24"/>
                <w:highlight w:val="none"/>
              </w:rPr>
              <w:t>Ir放射源半衰期为74.2d，使用一定时间后，其活度不能满足放射治疗需要时，</w:t>
            </w:r>
            <w:r>
              <w:rPr>
                <w:rFonts w:hint="default" w:ascii="Times New Roman" w:hAnsi="Times New Roman" w:cs="Times New Roman"/>
                <w:color w:val="auto"/>
                <w:sz w:val="24"/>
                <w:highlight w:val="none"/>
                <w:lang w:val="en-US" w:eastAsia="zh-CN"/>
              </w:rPr>
              <w:t>需要更换放射源，</w:t>
            </w:r>
            <w:r>
              <w:rPr>
                <w:rFonts w:hint="default" w:ascii="Times New Roman" w:hAnsi="Times New Roman" w:cs="Times New Roman"/>
                <w:color w:val="auto"/>
                <w:sz w:val="24"/>
                <w:highlight w:val="none"/>
              </w:rPr>
              <w:t>退役源应及时交由生产厂家回收处理，不得储存。更换放射源时，须向</w:t>
            </w:r>
            <w:r>
              <w:rPr>
                <w:rFonts w:hint="default" w:ascii="Times New Roman" w:hAnsi="Times New Roman" w:cs="Times New Roman"/>
                <w:color w:val="auto"/>
                <w:sz w:val="24"/>
                <w:highlight w:val="none"/>
                <w:lang w:val="en-US" w:eastAsia="zh-CN"/>
              </w:rPr>
              <w:t>生态</w:t>
            </w:r>
            <w:r>
              <w:rPr>
                <w:rFonts w:hint="default" w:ascii="Times New Roman" w:hAnsi="Times New Roman" w:cs="Times New Roman"/>
                <w:color w:val="auto"/>
                <w:sz w:val="24"/>
                <w:highlight w:val="none"/>
              </w:rPr>
              <w:t>环境</w:t>
            </w:r>
            <w:r>
              <w:rPr>
                <w:rFonts w:hint="default" w:ascii="Times New Roman" w:hAnsi="Times New Roman" w:cs="Times New Roman"/>
                <w:color w:val="auto"/>
                <w:sz w:val="24"/>
                <w:highlight w:val="none"/>
                <w:lang w:val="en-US" w:eastAsia="zh-CN"/>
              </w:rPr>
              <w:t>主管部门</w:t>
            </w:r>
            <w:r>
              <w:rPr>
                <w:rFonts w:hint="default" w:ascii="Times New Roman" w:hAnsi="Times New Roman" w:cs="Times New Roman"/>
                <w:color w:val="auto"/>
                <w:sz w:val="24"/>
                <w:highlight w:val="none"/>
              </w:rPr>
              <w:t>提交《放射性同位素转让审批表》，申请</w:t>
            </w:r>
            <w:r>
              <w:rPr>
                <w:rFonts w:hint="default" w:ascii="Times New Roman" w:hAnsi="Times New Roman" w:cs="Times New Roman"/>
                <w:color w:val="auto"/>
                <w:sz w:val="24"/>
                <w:highlight w:val="none"/>
                <w:lang w:val="en-US" w:eastAsia="zh-CN"/>
              </w:rPr>
              <w:t>更换</w:t>
            </w:r>
            <w:r>
              <w:rPr>
                <w:rFonts w:hint="default" w:ascii="Times New Roman" w:hAnsi="Times New Roman" w:cs="Times New Roman"/>
                <w:color w:val="auto"/>
                <w:sz w:val="24"/>
                <w:highlight w:val="none"/>
              </w:rPr>
              <w:t>放射源。换源时，须委托有相应资质能力的单位进行处理，不得自行操作。</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三</w:t>
            </w:r>
            <w:r>
              <w:rPr>
                <w:rFonts w:hint="default" w:ascii="Times New Roman" w:hAnsi="Times New Roman" w:cs="Times New Roman"/>
                <w:b/>
                <w:bCs/>
                <w:color w:val="auto"/>
                <w:sz w:val="28"/>
                <w:szCs w:val="28"/>
                <w:highlight w:val="none"/>
              </w:rPr>
              <w:t>、保护目标</w:t>
            </w:r>
            <w:r>
              <w:rPr>
                <w:rFonts w:hint="default" w:ascii="Times New Roman" w:hAnsi="Times New Roman" w:cs="Times New Roman"/>
                <w:b/>
                <w:bCs/>
                <w:color w:val="auto"/>
                <w:sz w:val="28"/>
                <w:szCs w:val="28"/>
                <w:highlight w:val="none"/>
                <w:lang w:val="en-US" w:eastAsia="zh-CN"/>
              </w:rPr>
              <w:t>辐射</w:t>
            </w:r>
            <w:r>
              <w:rPr>
                <w:rFonts w:hint="default" w:ascii="Times New Roman" w:hAnsi="Times New Roman" w:cs="Times New Roman"/>
                <w:b/>
                <w:bCs/>
                <w:color w:val="auto"/>
                <w:sz w:val="28"/>
                <w:szCs w:val="28"/>
                <w:highlight w:val="none"/>
              </w:rPr>
              <w:t>影响分析</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highlight w:val="none"/>
              </w:rPr>
              <w:t>由于医院放疗</w:t>
            </w:r>
            <w:r>
              <w:rPr>
                <w:rFonts w:hint="default" w:ascii="Times New Roman" w:hAnsi="Times New Roman" w:cs="Times New Roman"/>
                <w:color w:val="auto"/>
                <w:sz w:val="24"/>
                <w:highlight w:val="none"/>
                <w:lang w:val="en-US" w:eastAsia="zh-CN"/>
              </w:rPr>
              <w:t>中心辐射场所</w:t>
            </w:r>
            <w:r>
              <w:rPr>
                <w:rFonts w:hint="default" w:ascii="Times New Roman" w:hAnsi="Times New Roman" w:cs="Times New Roman"/>
                <w:color w:val="auto"/>
                <w:sz w:val="24"/>
                <w:highlight w:val="none"/>
              </w:rPr>
              <w:t>布置相对集中，放疗</w:t>
            </w:r>
            <w:r>
              <w:rPr>
                <w:rFonts w:hint="default" w:ascii="Times New Roman" w:hAnsi="Times New Roman" w:cs="Times New Roman"/>
                <w:color w:val="auto"/>
                <w:sz w:val="24"/>
                <w:highlight w:val="none"/>
                <w:lang w:val="en-US" w:eastAsia="zh-CN"/>
              </w:rPr>
              <w:t>中心</w:t>
            </w:r>
            <w:r>
              <w:rPr>
                <w:rFonts w:hint="default" w:ascii="Times New Roman" w:hAnsi="Times New Roman" w:cs="Times New Roman"/>
                <w:color w:val="auto"/>
                <w:sz w:val="24"/>
                <w:highlight w:val="none"/>
              </w:rPr>
              <w:t>操作人员和公众同时受</w:t>
            </w:r>
            <w:r>
              <w:rPr>
                <w:rFonts w:hint="default" w:ascii="Times New Roman" w:hAnsi="Times New Roman" w:cs="Times New Roman"/>
                <w:color w:val="auto"/>
                <w:sz w:val="24"/>
                <w:highlight w:val="none"/>
                <w:lang w:val="en-US" w:eastAsia="zh-CN"/>
              </w:rPr>
              <w:t>2台</w:t>
            </w:r>
            <w:r>
              <w:rPr>
                <w:rFonts w:hint="default" w:ascii="Times New Roman" w:hAnsi="Times New Roman" w:cs="Times New Roman"/>
                <w:color w:val="auto"/>
                <w:sz w:val="24"/>
                <w:highlight w:val="none"/>
              </w:rPr>
              <w:t>10MV直线加速器</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1台15MV</w:t>
            </w:r>
            <w:r>
              <w:rPr>
                <w:rFonts w:hint="default" w:ascii="Times New Roman" w:hAnsi="Times New Roman" w:cs="Times New Roman"/>
                <w:color w:val="auto"/>
                <w:sz w:val="24"/>
                <w:highlight w:val="none"/>
              </w:rPr>
              <w:t>直线加速器和后装机的影响，具体情况如下表所示</w:t>
            </w:r>
            <w:r>
              <w:rPr>
                <w:rFonts w:hint="default" w:ascii="Times New Roman" w:hAnsi="Times New Roman" w:cs="Times New Roman"/>
                <w:color w:val="auto"/>
                <w:sz w:val="24"/>
                <w:szCs w:val="24"/>
                <w:highlight w:val="none"/>
                <w:lang w:val="en-US" w:eastAsia="zh-CN"/>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表11-</w:t>
            </w:r>
            <w:r>
              <w:rPr>
                <w:rFonts w:hint="default" w:ascii="Times New Roman" w:hAnsi="Times New Roman" w:cs="Times New Roman"/>
                <w:b/>
                <w:bCs/>
                <w:color w:val="auto"/>
                <w:sz w:val="21"/>
                <w:szCs w:val="21"/>
                <w:highlight w:val="none"/>
                <w:lang w:val="en-US" w:eastAsia="zh-CN"/>
              </w:rPr>
              <w:t>25</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项目</w:t>
            </w:r>
            <w:r>
              <w:rPr>
                <w:rFonts w:hint="default" w:ascii="Times New Roman" w:hAnsi="Times New Roman" w:cs="Times New Roman"/>
                <w:b/>
                <w:bCs/>
                <w:color w:val="auto"/>
                <w:sz w:val="21"/>
                <w:szCs w:val="21"/>
                <w:highlight w:val="none"/>
              </w:rPr>
              <w:t>保护目标</w:t>
            </w:r>
            <w:r>
              <w:rPr>
                <w:rFonts w:hint="default" w:ascii="Times New Roman" w:hAnsi="Times New Roman" w:cs="Times New Roman"/>
                <w:b/>
                <w:bCs/>
                <w:color w:val="auto"/>
                <w:sz w:val="21"/>
                <w:szCs w:val="21"/>
                <w:highlight w:val="none"/>
                <w:lang w:val="en-US" w:eastAsia="zh-CN"/>
              </w:rPr>
              <w:t>辐射</w:t>
            </w:r>
            <w:r>
              <w:rPr>
                <w:rFonts w:hint="default" w:ascii="Times New Roman" w:hAnsi="Times New Roman" w:cs="Times New Roman"/>
                <w:b/>
                <w:bCs/>
                <w:color w:val="auto"/>
                <w:sz w:val="21"/>
                <w:szCs w:val="21"/>
                <w:highlight w:val="none"/>
              </w:rPr>
              <w:t>影响分析</w:t>
            </w:r>
          </w:p>
          <w:tbl>
            <w:tblPr>
              <w:tblStyle w:val="17"/>
              <w:tblW w:w="88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137"/>
              <w:gridCol w:w="585"/>
              <w:gridCol w:w="576"/>
              <w:gridCol w:w="1188"/>
              <w:gridCol w:w="562"/>
              <w:gridCol w:w="2661"/>
              <w:gridCol w:w="11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2137"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位置</w:t>
                  </w:r>
                </w:p>
              </w:tc>
              <w:tc>
                <w:tcPr>
                  <w:tcW w:w="585"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保护目标</w:t>
                  </w:r>
                </w:p>
              </w:tc>
              <w:tc>
                <w:tcPr>
                  <w:tcW w:w="576"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居留</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因子</w:t>
                  </w:r>
                </w:p>
              </w:tc>
              <w:tc>
                <w:tcPr>
                  <w:tcW w:w="1188"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与射线束最近距离（m）</w:t>
                  </w:r>
                </w:p>
              </w:tc>
              <w:tc>
                <w:tcPr>
                  <w:tcW w:w="562"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照射</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类型</w:t>
                  </w:r>
                </w:p>
              </w:tc>
              <w:tc>
                <w:tcPr>
                  <w:tcW w:w="2661"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1166"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估算年剂量</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（mSv/a）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控制室</w:t>
                  </w:r>
                </w:p>
              </w:tc>
              <w:tc>
                <w:tcPr>
                  <w:tcW w:w="585"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职业人员</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9.4</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职业</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 w:val="21"/>
                      <w:szCs w:val="21"/>
                      <w:highlight w:val="none"/>
                      <w:lang w:val="en-US" w:eastAsia="zh-CN"/>
                    </w:rPr>
                    <w:t>1.26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12.7</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lang w:val="en-US" w:eastAsia="zh-CN"/>
                    </w:rPr>
                    <w:t>2.13</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21.3</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Cs/>
                      <w:color w:val="auto"/>
                      <w:szCs w:val="21"/>
                      <w:highlight w:val="none"/>
                      <w:lang w:val="en-US" w:eastAsia="zh-CN"/>
                    </w:rPr>
                    <w:t>2.11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6.9</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color w:val="auto"/>
                      <w:szCs w:val="21"/>
                      <w:highlight w:val="none"/>
                      <w:lang w:val="en-US" w:eastAsia="zh-CN"/>
                    </w:rPr>
                    <w:t>1.55</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1.46</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控制室</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职业人员</w:t>
                  </w:r>
                </w:p>
              </w:tc>
              <w:tc>
                <w:tcPr>
                  <w:tcW w:w="576"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13.7</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职业</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5.04</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9.4</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9.92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12.3</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6.31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12.7</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4.55</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bCs w:val="0"/>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1.01</w:t>
                  </w:r>
                  <w:r>
                    <w:rPr>
                      <w:rFonts w:hint="default" w:ascii="Times New Roman" w:hAnsi="Times New Roman" w:cs="Times New Roman"/>
                      <w:b/>
                      <w:bCs w:val="0"/>
                      <w:color w:val="auto"/>
                      <w:szCs w:val="21"/>
                      <w:highlight w:val="none"/>
                    </w:rPr>
                    <w:t>×10</w:t>
                  </w:r>
                  <w:r>
                    <w:rPr>
                      <w:rFonts w:hint="default" w:ascii="Times New Roman" w:hAnsi="Times New Roman" w:cs="Times New Roman"/>
                      <w:b/>
                      <w:bCs w:val="0"/>
                      <w:color w:val="auto"/>
                      <w:szCs w:val="21"/>
                      <w:highlight w:val="none"/>
                      <w:vertAlign w:val="superscript"/>
                    </w:rPr>
                    <w:t>-</w:t>
                  </w:r>
                  <w:r>
                    <w:rPr>
                      <w:rFonts w:hint="default" w:ascii="Times New Roman" w:hAnsi="Times New Roman" w:cs="Times New Roman"/>
                      <w:b/>
                      <w:bCs w:val="0"/>
                      <w:color w:val="auto"/>
                      <w:szCs w:val="21"/>
                      <w:highlight w:val="none"/>
                      <w:vertAlign w:val="superscript"/>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控制室</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职业人员</w:t>
                  </w:r>
                </w:p>
              </w:tc>
              <w:tc>
                <w:tcPr>
                  <w:tcW w:w="576"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21.4</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职业</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2.81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12.8</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1.71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9.4</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1.26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22.8</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1.41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3.01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lang w:val="en-US" w:eastAsia="zh-CN"/>
                    </w:rPr>
                    <w:t>后装机</w:t>
                  </w:r>
                  <w:r>
                    <w:rPr>
                      <w:rFonts w:hint="default" w:ascii="Times New Roman" w:hAnsi="Times New Roman" w:cs="Times New Roman"/>
                      <w:color w:val="auto"/>
                      <w:szCs w:val="21"/>
                      <w:highlight w:val="none"/>
                    </w:rPr>
                    <w:t>控制室</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职业人员</w:t>
                  </w:r>
                </w:p>
              </w:tc>
              <w:tc>
                <w:tcPr>
                  <w:tcW w:w="576"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17.1</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职业</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Cs/>
                      <w:color w:val="auto"/>
                      <w:szCs w:val="21"/>
                      <w:highlight w:val="none"/>
                      <w:lang w:val="en-US" w:eastAsia="zh-CN"/>
                    </w:rPr>
                    <w:t>3.48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19.4</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9.09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24.6</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4.90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3.5</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color w:val="auto"/>
                      <w:kern w:val="2"/>
                      <w:sz w:val="20"/>
                      <w:szCs w:val="20"/>
                      <w:highlight w:val="none"/>
                      <w:vertAlign w:val="baseline"/>
                      <w:lang w:val="en-US" w:eastAsia="zh-CN"/>
                    </w:rPr>
                    <w:t>2.33</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kern w:val="2"/>
                      <w:sz w:val="20"/>
                      <w:szCs w:val="20"/>
                      <w:highlight w:val="none"/>
                      <w:lang w:val="en-US" w:eastAsia="zh-CN"/>
                    </w:rPr>
                    <w:t>2.69</w:t>
                  </w:r>
                  <w:r>
                    <w:rPr>
                      <w:rFonts w:hint="default" w:ascii="Times New Roman" w:hAnsi="Times New Roman" w:eastAsia="宋体" w:cs="Times New Roman"/>
                      <w:color w:val="auto"/>
                      <w:kern w:val="2"/>
                      <w:sz w:val="20"/>
                      <w:szCs w:val="20"/>
                      <w:highlight w:val="none"/>
                    </w:rPr>
                    <w:t>×10</w:t>
                  </w:r>
                  <w:r>
                    <w:rPr>
                      <w:rFonts w:hint="default" w:ascii="Times New Roman" w:hAnsi="Times New Roman" w:eastAsia="宋体" w:cs="Times New Roman"/>
                      <w:color w:val="auto"/>
                      <w:kern w:val="2"/>
                      <w:sz w:val="20"/>
                      <w:szCs w:val="20"/>
                      <w:highlight w:val="none"/>
                      <w:vertAlign w:val="superscript"/>
                      <w:lang w:val="en-US" w:eastAsia="zh-CN"/>
                    </w:rPr>
                    <w:t>-</w:t>
                  </w:r>
                  <w:r>
                    <w:rPr>
                      <w:rFonts w:hint="default" w:ascii="Times New Roman" w:hAnsi="Times New Roman" w:cs="Times New Roman"/>
                      <w:color w:val="auto"/>
                      <w:kern w:val="2"/>
                      <w:sz w:val="20"/>
                      <w:szCs w:val="20"/>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CT控制室</w:t>
                  </w:r>
                </w:p>
              </w:tc>
              <w:tc>
                <w:tcPr>
                  <w:tcW w:w="585"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27.2</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4.02</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20.1</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1.13</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17.4</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2.79</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22.9</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1.41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2.86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color w:val="auto"/>
                      <w:szCs w:val="21"/>
                      <w:highlight w:val="none"/>
                      <w:lang w:val="en-US" w:eastAsia="zh-CN"/>
                    </w:rPr>
                    <w:t>1#辅助水冷机房、</w:t>
                  </w:r>
                  <w:r>
                    <w:rPr>
                      <w:rFonts w:hint="default" w:ascii="Times New Roman" w:hAnsi="Times New Roman" w:cs="Times New Roman"/>
                      <w:bCs/>
                      <w:color w:val="auto"/>
                      <w:szCs w:val="21"/>
                      <w:highlight w:val="none"/>
                      <w:lang w:val="en-US" w:eastAsia="zh-CN"/>
                    </w:rPr>
                    <w:t>空调机房</w:t>
                  </w:r>
                  <w:r>
                    <w:rPr>
                      <w:rFonts w:hint="default" w:ascii="Times New Roman" w:hAnsi="Times New Roman" w:cs="Times New Roman"/>
                      <w:b w:val="0"/>
                      <w:bCs w:val="0"/>
                      <w:color w:val="auto"/>
                      <w:sz w:val="21"/>
                      <w:szCs w:val="21"/>
                      <w:highlight w:val="none"/>
                      <w:lang w:val="en-US" w:eastAsia="zh-CN"/>
                    </w:rPr>
                    <w:t>（1#西北部）</w:t>
                  </w:r>
                </w:p>
              </w:tc>
              <w:tc>
                <w:tcPr>
                  <w:tcW w:w="585"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5.4</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9.54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576"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3.02</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576"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13.3</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4.81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26.0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1.09</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85"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 w:val="21"/>
                      <w:szCs w:val="21"/>
                      <w:highlight w:val="none"/>
                      <w:lang w:val="en-US" w:eastAsia="zh-CN"/>
                    </w:rPr>
                    <w:t>9.99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rPr>
                  </w:pPr>
                  <w:r>
                    <w:rPr>
                      <w:rFonts w:hint="default" w:ascii="Times New Roman" w:hAnsi="Times New Roman" w:cs="Times New Roman"/>
                      <w:b w:val="0"/>
                      <w:bCs w:val="0"/>
                      <w:color w:val="auto"/>
                      <w:sz w:val="21"/>
                      <w:szCs w:val="21"/>
                      <w:highlight w:val="none"/>
                      <w:lang w:val="en-US" w:eastAsia="zh-CN"/>
                    </w:rPr>
                    <w:t>2#、3#共用辅助水冷机房</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11.3</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6.71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5.4</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 w:val="21"/>
                      <w:szCs w:val="21"/>
                      <w:highlight w:val="none"/>
                      <w:lang w:val="en-US" w:eastAsia="zh-CN"/>
                    </w:rPr>
                    <w:t>1.88</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6.3</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2.14</w:t>
                  </w:r>
                  <w:r>
                    <w:rPr>
                      <w:rFonts w:hint="default" w:ascii="Times New Roman" w:hAnsi="Times New Roman" w:cs="Times New Roman"/>
                      <w:color w:val="auto"/>
                      <w:szCs w:val="21"/>
                      <w:highlight w:val="none"/>
                    </w:rPr>
                    <w:t>×10</w:t>
                  </w:r>
                  <w:r>
                    <w:rPr>
                      <w:rFonts w:hint="default" w:ascii="Times New Roman" w:hAnsi="Times New Roman" w:cs="Times New Roman"/>
                      <w:color w:val="auto"/>
                      <w:szCs w:val="21"/>
                      <w:highlight w:val="none"/>
                      <w:vertAlign w:val="superscript"/>
                    </w:rPr>
                    <w:t>-</w:t>
                  </w:r>
                  <w:r>
                    <w:rPr>
                      <w:rFonts w:hint="default" w:ascii="Times New Roman" w:hAnsi="Times New Roman" w:cs="Times New Roman"/>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27.0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color w:val="auto"/>
                      <w:szCs w:val="21"/>
                      <w:highlight w:val="none"/>
                      <w:lang w:val="en-US" w:eastAsia="zh-CN"/>
                    </w:rPr>
                    <w:t>1.01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 w:val="21"/>
                      <w:szCs w:val="21"/>
                      <w:highlight w:val="none"/>
                      <w:lang w:val="en-US" w:eastAsia="zh-CN"/>
                    </w:rPr>
                    <w:t>1.92</w:t>
                  </w:r>
                  <w:r>
                    <w:rPr>
                      <w:rFonts w:hint="default" w:ascii="Times New Roman" w:hAnsi="Times New Roman" w:cs="Times New Roman"/>
                      <w:b/>
                      <w:bCs/>
                      <w:color w:val="auto"/>
                      <w:sz w:val="21"/>
                      <w:szCs w:val="21"/>
                      <w:highlight w:val="none"/>
                    </w:rPr>
                    <w:t>×10</w:t>
                  </w:r>
                  <w:r>
                    <w:rPr>
                      <w:rFonts w:hint="default" w:ascii="Times New Roman" w:hAnsi="Times New Roman" w:cs="Times New Roman"/>
                      <w:b/>
                      <w:bCs/>
                      <w:color w:val="auto"/>
                      <w:sz w:val="21"/>
                      <w:szCs w:val="21"/>
                      <w:highlight w:val="none"/>
                      <w:vertAlign w:val="superscript"/>
                    </w:rPr>
                    <w:t>-</w:t>
                  </w:r>
                  <w:r>
                    <w:rPr>
                      <w:rFonts w:hint="default" w:ascii="Times New Roman" w:hAnsi="Times New Roman" w:cs="Times New Roman"/>
                      <w:b/>
                      <w:bCs/>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补风机房</w:t>
                  </w:r>
                </w:p>
              </w:tc>
              <w:tc>
                <w:tcPr>
                  <w:tcW w:w="585"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1/4</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18.2</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照射</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2.56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9.6</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9.08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6.1</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2.31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31.7</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7.32</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4.21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融铅室</w:t>
                  </w:r>
                </w:p>
              </w:tc>
              <w:tc>
                <w:tcPr>
                  <w:tcW w:w="585"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1/4</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28.8</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1.02</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18.6</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2.66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8"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7.9</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1.36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34.1</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6.35</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4.77</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候诊区</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1/4</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33.1</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7.79</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1.60</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14.5</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4.04</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32.3</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7.06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2.78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3#患者准备区</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26.1</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1.25</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3.18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10.8</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7.23</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27.8</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9.52</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4.98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注射抢救室</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17.0</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2.94</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9.20</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10.1</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8.38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18.7</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2.10</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1.24</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1#、2#患者准备区（1#东南部）</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11.1</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6.86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11.4</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7.06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16.4</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3.16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8.9</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9.30</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1.74</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女更衣室</w:t>
                  </w:r>
                </w:p>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（1#东南部）</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10.1</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8.36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17.8</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2.70</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27.1</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1.16</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6.5</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1.73</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8.52</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 w:val="21"/>
                      <w:szCs w:val="21"/>
                      <w:highlight w:val="none"/>
                      <w:lang w:val="en-US" w:eastAsia="zh-CN"/>
                    </w:rPr>
                    <w:t>后装患者准备区、妇科患者冲洗室、资料室、CT模拟定位室</w:t>
                  </w:r>
                  <w:r>
                    <w:rPr>
                      <w:rFonts w:hint="default" w:ascii="Times New Roman" w:hAnsi="Times New Roman" w:cs="Times New Roman"/>
                      <w:b w:val="0"/>
                      <w:bCs w:val="0"/>
                      <w:color w:val="auto"/>
                      <w:sz w:val="21"/>
                      <w:szCs w:val="21"/>
                      <w:highlight w:val="none"/>
                      <w:lang w:val="en-US" w:eastAsia="zh-CN"/>
                    </w:rPr>
                    <w:t>（后装治疗室东北部）</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17.5</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2.77</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2.84</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23.2</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1.58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5.9</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2.08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2.41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医生办公室、戊类库房、值班室、物理工作室、治疗计划室</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19.1</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2.33</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24.8</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1.50</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32.9</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7.83</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4.4</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3.74</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3.92</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服务器机房</w:t>
                  </w:r>
                </w:p>
              </w:tc>
              <w:tc>
                <w:tcPr>
                  <w:tcW w:w="58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10.1</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8.28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20.1</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2.28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30.4</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9.20</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15.7</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2.98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6.18</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highlight w:val="none"/>
                      <w:lang w:val="en-US" w:eastAsia="zh-CN"/>
                    </w:rPr>
                    <w:t>3号楼、10号楼等</w:t>
                  </w:r>
                  <w:r>
                    <w:rPr>
                      <w:rFonts w:hint="default" w:ascii="Times New Roman" w:hAnsi="Times New Roman" w:cs="Times New Roman"/>
                      <w:color w:val="auto"/>
                      <w:sz w:val="21"/>
                      <w:szCs w:val="21"/>
                      <w:highlight w:val="none"/>
                      <w:lang w:val="en-US" w:eastAsia="zh-CN"/>
                    </w:rPr>
                    <w:t>医院内其他区域</w:t>
                  </w:r>
                </w:p>
              </w:tc>
              <w:tc>
                <w:tcPr>
                  <w:tcW w:w="585"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30.0</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2.83</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36.0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1.24</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44.0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1.32</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5"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27.0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7.79</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9.03</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8号楼等</w:t>
                  </w:r>
                </w:p>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lang w:val="en-US" w:eastAsia="zh-CN"/>
                    </w:rPr>
                    <w:t>医院内其他区域</w:t>
                  </w:r>
                </w:p>
              </w:tc>
              <w:tc>
                <w:tcPr>
                  <w:tcW w:w="585"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31.0</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2.65</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32.0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1.57</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32.0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2.65</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3"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14.0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2.90</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3.05</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9号楼等</w:t>
                  </w:r>
                </w:p>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lang w:val="en-US" w:eastAsia="zh-CN"/>
                    </w:rPr>
                    <w:t>医院内其他区域</w:t>
                  </w:r>
                </w:p>
              </w:tc>
              <w:tc>
                <w:tcPr>
                  <w:tcW w:w="585"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tc>
              <w:tc>
                <w:tcPr>
                  <w:tcW w:w="576"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1/4</w:t>
                  </w: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40.0</w:t>
                  </w:r>
                </w:p>
              </w:tc>
              <w:tc>
                <w:tcPr>
                  <w:tcW w:w="5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照射</w:t>
                  </w: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1贡献值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1.59</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35.0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rPr>
                    <w:t>2贡献值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1.31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33.0</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10MV</w:t>
                  </w:r>
                  <w:r>
                    <w:rPr>
                      <w:rFonts w:hint="default" w:ascii="Times New Roman" w:hAnsi="Times New Roman" w:cs="Times New Roman"/>
                      <w:bCs/>
                      <w:color w:val="auto"/>
                      <w:szCs w:val="21"/>
                      <w:highlight w:val="none"/>
                      <w:lang w:eastAsia="zh-CN"/>
                    </w:rPr>
                    <w:t>直线加速器</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2.34</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后装机</w:t>
                  </w:r>
                  <w:r>
                    <w:rPr>
                      <w:rFonts w:hint="default" w:ascii="Times New Roman" w:hAnsi="Times New Roman" w:cs="Times New Roman"/>
                      <w:bCs/>
                      <w:color w:val="auto"/>
                      <w:szCs w:val="21"/>
                      <w:highlight w:val="none"/>
                    </w:rPr>
                    <w:t>贡献值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0" w:hRule="atLeast"/>
                <w:jc w:val="center"/>
              </w:trPr>
              <w:tc>
                <w:tcPr>
                  <w:tcW w:w="2137"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p>
              </w:tc>
              <w:tc>
                <w:tcPr>
                  <w:tcW w:w="58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7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p>
              </w:tc>
              <w:tc>
                <w:tcPr>
                  <w:tcW w:w="118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5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6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评价值</w:t>
                  </w:r>
                </w:p>
              </w:tc>
              <w:tc>
                <w:tcPr>
                  <w:tcW w:w="116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1.31</w:t>
                  </w:r>
                  <w:r>
                    <w:rPr>
                      <w:rFonts w:hint="default" w:ascii="Times New Roman" w:hAnsi="Times New Roman" w:cs="Times New Roman"/>
                      <w:bCs/>
                      <w:color w:val="auto"/>
                      <w:szCs w:val="21"/>
                      <w:highlight w:val="none"/>
                    </w:rPr>
                    <w:t>×10</w:t>
                  </w:r>
                  <w:r>
                    <w:rPr>
                      <w:rFonts w:hint="default" w:ascii="Times New Roman" w:hAnsi="Times New Roman" w:cs="Times New Roman"/>
                      <w:bCs/>
                      <w:color w:val="auto"/>
                      <w:szCs w:val="21"/>
                      <w:highlight w:val="none"/>
                      <w:vertAlign w:val="superscript"/>
                    </w:rPr>
                    <w:t>-</w:t>
                  </w:r>
                  <w:r>
                    <w:rPr>
                      <w:rFonts w:hint="default" w:ascii="Times New Roman" w:hAnsi="Times New Roman" w:cs="Times New Roman"/>
                      <w:bCs/>
                      <w:color w:val="auto"/>
                      <w:szCs w:val="21"/>
                      <w:highlight w:val="none"/>
                      <w:vertAlign w:val="superscript"/>
                      <w:lang w:val="en-US" w:eastAsia="zh-CN"/>
                    </w:rPr>
                    <w:t>5</w:t>
                  </w:r>
                </w:p>
              </w:tc>
            </w:tr>
          </w:tbl>
          <w:p>
            <w:pPr>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由上表可知，放疗</w:t>
            </w:r>
            <w:r>
              <w:rPr>
                <w:rFonts w:hint="default" w:ascii="Times New Roman" w:hAnsi="Times New Roman" w:cs="Times New Roman"/>
                <w:color w:val="auto"/>
                <w:sz w:val="24"/>
                <w:highlight w:val="none"/>
                <w:lang w:val="en-US" w:eastAsia="zh-CN"/>
              </w:rPr>
              <w:t>中心</w:t>
            </w:r>
            <w:r>
              <w:rPr>
                <w:rFonts w:hint="default" w:ascii="Times New Roman" w:hAnsi="Times New Roman" w:cs="Times New Roman"/>
                <w:color w:val="auto"/>
                <w:sz w:val="24"/>
                <w:highlight w:val="none"/>
              </w:rPr>
              <w:t>保护目</w:t>
            </w:r>
            <w:r>
              <w:rPr>
                <w:rFonts w:hint="default" w:ascii="Times New Roman" w:hAnsi="Times New Roman" w:cs="Times New Roman"/>
                <w:color w:val="auto"/>
                <w:sz w:val="24"/>
                <w:highlight w:val="none"/>
                <w:shd w:val="clear"/>
              </w:rPr>
              <w:t>标为职业人员的所受最大剂量为</w:t>
            </w:r>
            <w:r>
              <w:rPr>
                <w:rFonts w:hint="default" w:ascii="Times New Roman" w:hAnsi="Times New Roman" w:cs="Times New Roman"/>
                <w:bCs/>
                <w:color w:val="auto"/>
                <w:sz w:val="24"/>
                <w:szCs w:val="24"/>
                <w:highlight w:val="none"/>
                <w:shd w:val="clear"/>
                <w:lang w:val="en-US" w:eastAsia="zh-CN"/>
              </w:rPr>
              <w:t>1.01</w:t>
            </w:r>
            <w:r>
              <w:rPr>
                <w:rFonts w:hint="default" w:ascii="Times New Roman" w:hAnsi="Times New Roman" w:cs="Times New Roman"/>
                <w:color w:val="auto"/>
                <w:sz w:val="24"/>
                <w:szCs w:val="24"/>
                <w:highlight w:val="none"/>
                <w:shd w:val="clear"/>
              </w:rPr>
              <w:t>×10</w:t>
            </w:r>
            <w:r>
              <w:rPr>
                <w:rFonts w:hint="default" w:ascii="Times New Roman" w:hAnsi="Times New Roman" w:cs="Times New Roman"/>
                <w:color w:val="auto"/>
                <w:sz w:val="24"/>
                <w:szCs w:val="24"/>
                <w:highlight w:val="none"/>
                <w:shd w:val="clear"/>
                <w:vertAlign w:val="superscript"/>
              </w:rPr>
              <w:t>-</w:t>
            </w:r>
            <w:r>
              <w:rPr>
                <w:rFonts w:hint="default" w:ascii="Times New Roman" w:hAnsi="Times New Roman" w:cs="Times New Roman"/>
                <w:color w:val="auto"/>
                <w:sz w:val="24"/>
                <w:szCs w:val="24"/>
                <w:highlight w:val="none"/>
                <w:shd w:val="clear"/>
                <w:vertAlign w:val="superscript"/>
                <w:lang w:val="en-US" w:eastAsia="zh-CN"/>
              </w:rPr>
              <w:t>1</w:t>
            </w:r>
            <w:r>
              <w:rPr>
                <w:rFonts w:hint="default" w:ascii="Times New Roman" w:hAnsi="Times New Roman" w:cs="Times New Roman"/>
                <w:bCs/>
                <w:color w:val="auto"/>
                <w:sz w:val="24"/>
                <w:highlight w:val="none"/>
                <w:shd w:val="clear"/>
              </w:rPr>
              <w:t>mSv/a，</w:t>
            </w:r>
            <w:r>
              <w:rPr>
                <w:rFonts w:hint="default" w:ascii="Times New Roman" w:hAnsi="Times New Roman" w:cs="Times New Roman"/>
                <w:color w:val="auto"/>
                <w:sz w:val="24"/>
                <w:highlight w:val="none"/>
                <w:shd w:val="clear"/>
              </w:rPr>
              <w:t>保护目标为公众的所受最大剂量为</w:t>
            </w:r>
            <w:r>
              <w:rPr>
                <w:rFonts w:hint="default" w:ascii="Times New Roman" w:hAnsi="Times New Roman" w:cs="Times New Roman"/>
                <w:color w:val="auto"/>
                <w:sz w:val="24"/>
                <w:szCs w:val="24"/>
                <w:highlight w:val="none"/>
                <w:shd w:val="clear"/>
                <w:lang w:val="en-US" w:eastAsia="zh-CN"/>
              </w:rPr>
              <w:t>1.92</w:t>
            </w:r>
            <w:r>
              <w:rPr>
                <w:rFonts w:hint="default" w:ascii="Times New Roman" w:hAnsi="Times New Roman" w:cs="Times New Roman"/>
                <w:color w:val="auto"/>
                <w:sz w:val="24"/>
                <w:szCs w:val="24"/>
                <w:highlight w:val="none"/>
                <w:shd w:val="clear"/>
              </w:rPr>
              <w:t>×10</w:t>
            </w:r>
            <w:r>
              <w:rPr>
                <w:rFonts w:hint="default" w:ascii="Times New Roman" w:hAnsi="Times New Roman" w:cs="Times New Roman"/>
                <w:color w:val="auto"/>
                <w:sz w:val="24"/>
                <w:szCs w:val="24"/>
                <w:highlight w:val="none"/>
                <w:shd w:val="clear"/>
                <w:vertAlign w:val="superscript"/>
              </w:rPr>
              <w:t>-</w:t>
            </w:r>
            <w:r>
              <w:rPr>
                <w:rFonts w:hint="default" w:ascii="Times New Roman" w:hAnsi="Times New Roman" w:cs="Times New Roman"/>
                <w:color w:val="auto"/>
                <w:sz w:val="24"/>
                <w:szCs w:val="24"/>
                <w:highlight w:val="none"/>
                <w:shd w:val="clear"/>
                <w:vertAlign w:val="superscript"/>
                <w:lang w:val="en-US" w:eastAsia="zh-CN"/>
              </w:rPr>
              <w:t>2</w:t>
            </w:r>
            <w:r>
              <w:rPr>
                <w:rFonts w:hint="default" w:ascii="Times New Roman" w:hAnsi="Times New Roman" w:cs="Times New Roman"/>
                <w:bCs/>
                <w:color w:val="auto"/>
                <w:sz w:val="24"/>
                <w:highlight w:val="none"/>
                <w:shd w:val="clear"/>
              </w:rPr>
              <w:t>mSv</w:t>
            </w:r>
            <w:r>
              <w:rPr>
                <w:rFonts w:hint="default" w:ascii="Times New Roman" w:hAnsi="Times New Roman" w:cs="Times New Roman"/>
                <w:bCs/>
                <w:color w:val="auto"/>
                <w:sz w:val="24"/>
                <w:highlight w:val="none"/>
              </w:rPr>
              <w:t>/a</w:t>
            </w:r>
            <w:r>
              <w:rPr>
                <w:rFonts w:hint="default" w:ascii="Times New Roman" w:hAnsi="Times New Roman" w:cs="Times New Roman"/>
                <w:color w:val="auto"/>
                <w:sz w:val="24"/>
                <w:highlight w:val="none"/>
              </w:rPr>
              <w:t>，分别低于</w:t>
            </w:r>
            <w:r>
              <w:rPr>
                <w:rFonts w:hint="default" w:ascii="Times New Roman" w:hAnsi="Times New Roman" w:cs="Times New Roman"/>
                <w:bCs/>
                <w:color w:val="auto"/>
                <w:sz w:val="24"/>
                <w:highlight w:val="none"/>
              </w:rPr>
              <w:t>5.0mSv/a和0.1mSv/a的</w:t>
            </w:r>
            <w:r>
              <w:rPr>
                <w:rFonts w:hint="default" w:ascii="Times New Roman" w:hAnsi="Times New Roman" w:cs="Times New Roman"/>
                <w:color w:val="auto"/>
                <w:sz w:val="24"/>
                <w:szCs w:val="24"/>
                <w:highlight w:val="none"/>
                <w:lang w:val="en-US" w:eastAsia="zh-CN"/>
              </w:rPr>
              <w:t>剂量约束值</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远</w:t>
            </w:r>
            <w:r>
              <w:rPr>
                <w:rFonts w:hint="default" w:ascii="Times New Roman" w:hAnsi="Times New Roman" w:cs="Times New Roman"/>
                <w:color w:val="auto"/>
                <w:sz w:val="24"/>
                <w:highlight w:val="none"/>
              </w:rPr>
              <w:t>低于</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mSv和</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mSv的剂量</w:t>
            </w:r>
            <w:r>
              <w:rPr>
                <w:rFonts w:hint="default" w:ascii="Times New Roman" w:hAnsi="Times New Roman" w:cs="Times New Roman"/>
                <w:color w:val="auto"/>
                <w:sz w:val="24"/>
                <w:highlight w:val="none"/>
                <w:lang w:val="en-US" w:eastAsia="zh-CN"/>
              </w:rPr>
              <w:t>限</w:t>
            </w:r>
            <w:r>
              <w:rPr>
                <w:rFonts w:hint="default" w:ascii="Times New Roman" w:hAnsi="Times New Roman" w:cs="Times New Roman"/>
                <w:color w:val="auto"/>
                <w:sz w:val="24"/>
                <w:highlight w:val="none"/>
              </w:rPr>
              <w:t>值</w:t>
            </w:r>
            <w:r>
              <w:rPr>
                <w:rFonts w:hint="default" w:ascii="Times New Roman" w:hAnsi="Times New Roman" w:cs="Times New Roman"/>
                <w:bCs/>
                <w:color w:val="auto"/>
                <w:sz w:val="24"/>
                <w:highlight w:val="none"/>
              </w:rPr>
              <w:t>。</w:t>
            </w:r>
          </w:p>
          <w:p>
            <w:pPr>
              <w:pStyle w:val="2"/>
              <w:keepNext w:val="0"/>
              <w:keepLines w:val="0"/>
              <w:suppressLineNumbers w:val="0"/>
              <w:spacing w:before="0" w:beforeAutospacing="0" w:after="0" w:afterAutospacing="0"/>
              <w:ind w:left="0" w:right="0" w:firstLine="480"/>
              <w:rPr>
                <w:rFonts w:hint="default" w:ascii="Times New Roman" w:hAnsi="Times New Roman" w:cs="Times New Roman"/>
                <w:color w:val="auto"/>
                <w:kern w:val="2"/>
                <w:highlight w:val="none"/>
              </w:rPr>
            </w:pPr>
            <w:r>
              <w:rPr>
                <w:rFonts w:hint="default" w:ascii="Times New Roman" w:hAnsi="Times New Roman" w:cs="Times New Roman"/>
                <w:b/>
                <w:color w:val="auto"/>
                <w:kern w:val="2"/>
                <w:sz w:val="24"/>
                <w:highlight w:val="none"/>
              </w:rPr>
              <w:t>备注：上述环境保护目标所受年剂量均为附加剂量值。</w:t>
            </w:r>
          </w:p>
          <w:p>
            <w:pPr>
              <w:keepNext/>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四</w:t>
            </w:r>
            <w:r>
              <w:rPr>
                <w:rFonts w:hint="default" w:ascii="Times New Roman" w:hAnsi="Times New Roman" w:eastAsia="宋体" w:cs="Times New Roman"/>
                <w:b/>
                <w:bCs/>
                <w:color w:val="auto"/>
                <w:sz w:val="28"/>
                <w:szCs w:val="28"/>
                <w:highlight w:val="none"/>
                <w:lang w:val="en-US" w:eastAsia="zh-CN"/>
              </w:rPr>
              <w:t>、</w:t>
            </w:r>
            <w:r>
              <w:rPr>
                <w:rFonts w:hint="default" w:ascii="Times New Roman" w:hAnsi="Times New Roman" w:cs="Times New Roman"/>
                <w:b/>
                <w:bCs/>
                <w:color w:val="auto"/>
                <w:sz w:val="28"/>
                <w:szCs w:val="28"/>
                <w:highlight w:val="none"/>
                <w:lang w:val="en-US" w:eastAsia="zh-CN"/>
              </w:rPr>
              <w:t>其他环境影响</w:t>
            </w:r>
          </w:p>
          <w:p>
            <w:pPr>
              <w:keepNext/>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声环境影响分析</w:t>
            </w:r>
          </w:p>
          <w:p>
            <w:pPr>
              <w:keepNext w:val="0"/>
              <w:keepLines w:val="0"/>
              <w:suppressLineNumbers w:val="0"/>
              <w:spacing w:before="0" w:beforeAutospacing="0" w:after="0" w:afterAutospacing="0" w:line="360" w:lineRule="auto"/>
              <w:ind w:left="0" w:right="0" w:firstLine="54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本项目所用</w:t>
            </w:r>
            <w:r>
              <w:rPr>
                <w:rFonts w:hint="default" w:ascii="Times New Roman" w:hAnsi="Times New Roman" w:cs="Times New Roman"/>
                <w:color w:val="auto"/>
                <w:sz w:val="24"/>
                <w:highlight w:val="none"/>
              </w:rPr>
              <w:t>风机、</w:t>
            </w:r>
            <w:r>
              <w:rPr>
                <w:rFonts w:hint="default" w:ascii="Times New Roman" w:hAnsi="Times New Roman" w:eastAsia="宋体" w:cs="Times New Roman"/>
                <w:bCs/>
                <w:color w:val="auto"/>
                <w:kern w:val="2"/>
                <w:sz w:val="24"/>
                <w:szCs w:val="24"/>
                <w:highlight w:val="none"/>
                <w:lang w:val="en-US" w:eastAsia="zh-CN" w:bidi="ar"/>
              </w:rPr>
              <w:t>水冷机房水泵</w:t>
            </w:r>
            <w:r>
              <w:rPr>
                <w:rFonts w:hint="default" w:ascii="Times New Roman" w:hAnsi="Times New Roman" w:cs="Times New Roman"/>
                <w:bCs/>
                <w:color w:val="auto"/>
                <w:kern w:val="2"/>
                <w:sz w:val="24"/>
                <w:szCs w:val="24"/>
                <w:highlight w:val="none"/>
                <w:lang w:val="en-US" w:eastAsia="zh-CN" w:bidi="ar"/>
              </w:rPr>
              <w:t>和空调产生的</w:t>
            </w:r>
            <w:r>
              <w:rPr>
                <w:rFonts w:hint="default" w:ascii="Times New Roman" w:hAnsi="Times New Roman" w:cs="Times New Roman"/>
                <w:color w:val="auto"/>
                <w:sz w:val="24"/>
                <w:highlight w:val="none"/>
              </w:rPr>
              <w:t>噪声</w:t>
            </w:r>
            <w:r>
              <w:rPr>
                <w:rFonts w:hint="default" w:ascii="Times New Roman" w:hAnsi="Times New Roman" w:cs="Times New Roman"/>
                <w:b w:val="0"/>
                <w:bCs w:val="0"/>
                <w:color w:val="auto"/>
                <w:sz w:val="24"/>
                <w:highlight w:val="none"/>
                <w:lang w:val="en-US" w:eastAsia="zh-CN"/>
              </w:rPr>
              <w:t>，所有设备选用低噪声设备</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噪声源强</w:t>
            </w:r>
            <w:r>
              <w:rPr>
                <w:rFonts w:hint="default" w:ascii="Times New Roman" w:hAnsi="Times New Roman" w:cs="Times New Roman"/>
                <w:color w:val="auto"/>
                <w:sz w:val="24"/>
                <w:highlight w:val="none"/>
                <w:lang w:val="en-US" w:eastAsia="zh-CN"/>
              </w:rPr>
              <w:t>均低于65</w:t>
            </w:r>
            <w:r>
              <w:rPr>
                <w:rFonts w:hint="default" w:ascii="Times New Roman" w:hAnsi="Times New Roman" w:cs="Times New Roman"/>
                <w:color w:val="auto"/>
                <w:sz w:val="24"/>
                <w:highlight w:val="none"/>
              </w:rPr>
              <w:t>dB（A），</w:t>
            </w:r>
            <w:r>
              <w:rPr>
                <w:rFonts w:hint="default" w:ascii="Times New Roman" w:hAnsi="Times New Roman" w:cs="Times New Roman"/>
                <w:b w:val="0"/>
                <w:bCs w:val="0"/>
                <w:color w:val="auto"/>
                <w:sz w:val="24"/>
                <w:highlight w:val="none"/>
                <w:lang w:val="en-US" w:eastAsia="zh-CN"/>
              </w:rPr>
              <w:t>均处于室内，通过建筑墙体隔声及距离衰减后</w:t>
            </w:r>
            <w:r>
              <w:rPr>
                <w:rFonts w:hint="default" w:ascii="Times New Roman" w:hAnsi="Times New Roman" w:cs="Times New Roman"/>
                <w:color w:val="auto"/>
                <w:sz w:val="24"/>
                <w:highlight w:val="none"/>
              </w:rPr>
              <w:t>经距离衰减，</w:t>
            </w:r>
            <w:r>
              <w:rPr>
                <w:rFonts w:hint="default" w:ascii="Times New Roman" w:hAnsi="Times New Roman" w:cs="Times New Roman"/>
                <w:b w:val="0"/>
                <w:bCs w:val="0"/>
                <w:color w:val="auto"/>
                <w:sz w:val="24"/>
                <w:highlight w:val="none"/>
                <w:lang w:val="en-US" w:eastAsia="zh-CN"/>
              </w:rPr>
              <w:t>运行期间厂界噪声</w:t>
            </w:r>
            <w:r>
              <w:rPr>
                <w:rFonts w:hint="default" w:ascii="Times New Roman" w:hAnsi="Times New Roman" w:cs="Times New Roman"/>
                <w:color w:val="auto"/>
                <w:sz w:val="24"/>
                <w:highlight w:val="none"/>
              </w:rPr>
              <w:t>可满足《工业企业厂界环境噪声排放标准》（GB12348-2008）2类标准要求。</w:t>
            </w:r>
          </w:p>
          <w:p>
            <w:pPr>
              <w:keepNext/>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2、水</w:t>
            </w:r>
            <w:r>
              <w:rPr>
                <w:rFonts w:hint="default" w:ascii="Times New Roman" w:hAnsi="Times New Roman" w:eastAsia="宋体" w:cs="Times New Roman"/>
                <w:b/>
                <w:bCs/>
                <w:color w:val="auto"/>
                <w:sz w:val="24"/>
                <w:highlight w:val="none"/>
                <w:lang w:val="en-US" w:eastAsia="zh-CN"/>
              </w:rPr>
              <w:t>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本项目运行后，废水主要为辐射工作人员和患者产生的生活污水</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生活废水依托医院污水处理设施处理达标后排入市政污水管网，经污水处理厂处理达标后排放</w:t>
            </w:r>
            <w:r>
              <w:rPr>
                <w:rFonts w:hint="default" w:ascii="Times New Roman" w:hAnsi="Times New Roman" w:cs="Times New Roman"/>
                <w:b w:val="0"/>
                <w:bCs w:val="0"/>
                <w:color w:val="auto"/>
                <w:sz w:val="24"/>
                <w:highlight w:val="none"/>
                <w:lang w:val="en-US" w:eastAsia="zh-CN"/>
              </w:rPr>
              <w:t>。</w:t>
            </w:r>
          </w:p>
          <w:p>
            <w:pPr>
              <w:keepNext/>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、固体废物影响分析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本项目辐射工作人员会产生少量的生活垃圾及办公垃圾由环卫部门统一定期清运。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0" w:type="dxa"/>
          </w:tcPr>
          <w:p>
            <w:pPr>
              <w:keepNext w:val="0"/>
              <w:keepLines w:val="0"/>
              <w:suppressLineNumbers w:val="0"/>
              <w:spacing w:before="0" w:beforeAutospacing="0" w:after="0" w:afterAutospacing="0"/>
              <w:ind w:left="0" w:right="0"/>
              <w:jc w:val="both"/>
              <w:rPr>
                <w:rFonts w:hint="default" w:ascii="Times New Roman" w:hAnsi="Times New Roman" w:eastAsia="黑体" w:cs="Times New Roman"/>
                <w:b w:val="0"/>
                <w:bCs w:val="0"/>
                <w:color w:val="auto"/>
                <w:sz w:val="28"/>
                <w:szCs w:val="28"/>
                <w:highlight w:val="none"/>
              </w:rPr>
            </w:pPr>
            <w:r>
              <w:rPr>
                <w:rFonts w:hint="default" w:ascii="Times New Roman" w:hAnsi="Times New Roman" w:eastAsia="黑体" w:cs="Times New Roman"/>
                <w:b w:val="0"/>
                <w:bCs w:val="0"/>
                <w:color w:val="auto"/>
                <w:sz w:val="28"/>
                <w:szCs w:val="28"/>
                <w:highlight w:val="none"/>
              </w:rPr>
              <w:t>环境影响风险分析</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一、环境风险评价的目的</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32"/>
                <w:highlight w:val="none"/>
              </w:rPr>
            </w:pPr>
            <w:r>
              <w:rPr>
                <w:rFonts w:hint="default" w:ascii="Times New Roman" w:hAnsi="Times New Roman" w:cs="Times New Roman"/>
                <w:color w:val="auto"/>
                <w:sz w:val="24"/>
                <w:highlight w:val="none"/>
              </w:rPr>
              <w:t>环境风险评价的目的是分析和预测建设项目存在的潜在危害和有害因素，以及项目在建设、运营期间可能发生的事故（一般不包括自然灾害与人为破坏），引起有毒、有害（本项目为电离辐射）物质泄漏，所造成的环境影响程度和人身安全损害程度，并提出合理可行的防范、应急与减缓措施，以使项目事故发生率、损失和环境影响达到可以接受的水平。</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二、风险识别</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4"/>
                <w:szCs w:val="32"/>
                <w:highlight w:val="none"/>
              </w:rPr>
            </w:pPr>
            <w:r>
              <w:rPr>
                <w:rFonts w:hint="default" w:ascii="Times New Roman" w:hAnsi="Times New Roman" w:cs="Times New Roman"/>
                <w:b/>
                <w:bCs/>
                <w:color w:val="auto"/>
                <w:sz w:val="24"/>
                <w:szCs w:val="32"/>
                <w:highlight w:val="none"/>
                <w:lang w:val="en-US" w:eastAsia="zh-CN"/>
              </w:rPr>
              <w:t>1、</w:t>
            </w:r>
            <w:r>
              <w:rPr>
                <w:rFonts w:hint="default" w:ascii="Times New Roman" w:hAnsi="Times New Roman" w:eastAsia="宋体" w:cs="Times New Roman"/>
                <w:b/>
                <w:bCs/>
                <w:color w:val="auto"/>
                <w:sz w:val="24"/>
                <w:szCs w:val="32"/>
                <w:highlight w:val="none"/>
              </w:rPr>
              <w:t>直线加速器可能发生的事故</w:t>
            </w:r>
          </w:p>
          <w:p>
            <w:pPr>
              <w:keepNext w:val="0"/>
              <w:keepLines w:val="0"/>
              <w:suppressLineNumbers w:val="0"/>
              <w:spacing w:before="0" w:beforeAutospacing="0" w:after="0" w:afterAutospacing="0" w:line="360" w:lineRule="auto"/>
              <w:ind w:left="0" w:right="0" w:firstLine="570"/>
              <w:jc w:val="both"/>
              <w:rPr>
                <w:rFonts w:hint="default" w:ascii="Times New Roman" w:hAnsi="Times New Roman" w:eastAsia="宋体" w:cs="Times New Roman"/>
                <w:color w:val="auto"/>
                <w:sz w:val="24"/>
                <w:szCs w:val="32"/>
                <w:highlight w:val="none"/>
                <w:lang w:eastAsia="zh-CN"/>
              </w:rPr>
            </w:pPr>
            <w:r>
              <w:rPr>
                <w:rFonts w:hint="default" w:ascii="Times New Roman" w:hAnsi="Times New Roman" w:cs="Times New Roman"/>
                <w:b w:val="0"/>
                <w:bCs w:val="0"/>
                <w:color w:val="auto"/>
                <w:sz w:val="24"/>
                <w:szCs w:val="32"/>
                <w:highlight w:val="none"/>
                <w:lang w:val="en-US" w:eastAsia="zh-CN"/>
              </w:rPr>
              <w:t>10MV</w:t>
            </w:r>
            <w:r>
              <w:rPr>
                <w:rFonts w:hint="default" w:ascii="Times New Roman" w:hAnsi="Times New Roman" w:eastAsia="宋体" w:cs="Times New Roman"/>
                <w:color w:val="auto"/>
                <w:sz w:val="24"/>
                <w:szCs w:val="32"/>
                <w:highlight w:val="none"/>
              </w:rPr>
              <w:t>直线加速器不运行时不存在放射性事故，也不存在影响辐射环境质量的事故，只有当加速器运行期间才会产生X射线、电子</w:t>
            </w:r>
            <w:r>
              <w:rPr>
                <w:rFonts w:hint="default" w:ascii="Times New Roman" w:hAnsi="Times New Roman" w:cs="Times New Roman"/>
                <w:color w:val="auto"/>
                <w:sz w:val="24"/>
                <w:szCs w:val="32"/>
                <w:highlight w:val="none"/>
                <w:lang w:val="en-US" w:eastAsia="zh-CN"/>
              </w:rPr>
              <w:t>线</w:t>
            </w:r>
            <w:r>
              <w:rPr>
                <w:rFonts w:hint="default" w:ascii="Times New Roman" w:hAnsi="Times New Roman" w:eastAsia="宋体" w:cs="Times New Roman"/>
                <w:color w:val="auto"/>
                <w:sz w:val="24"/>
                <w:szCs w:val="32"/>
                <w:highlight w:val="none"/>
              </w:rPr>
              <w:t>等危害因素</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b w:val="0"/>
                <w:bCs w:val="0"/>
                <w:color w:val="auto"/>
                <w:sz w:val="24"/>
                <w:szCs w:val="32"/>
                <w:highlight w:val="none"/>
                <w:lang w:val="en-US" w:eastAsia="zh-CN"/>
              </w:rPr>
              <w:t>15MV</w:t>
            </w:r>
            <w:r>
              <w:rPr>
                <w:rFonts w:hint="default" w:ascii="Times New Roman" w:hAnsi="Times New Roman" w:eastAsia="宋体" w:cs="Times New Roman"/>
                <w:color w:val="auto"/>
                <w:sz w:val="24"/>
                <w:szCs w:val="32"/>
                <w:highlight w:val="none"/>
              </w:rPr>
              <w:t>直线加速器</w:t>
            </w:r>
            <w:r>
              <w:rPr>
                <w:rFonts w:hint="default" w:ascii="Times New Roman" w:hAnsi="Times New Roman" w:cs="Times New Roman"/>
                <w:color w:val="auto"/>
                <w:sz w:val="24"/>
                <w:highlight w:val="none"/>
              </w:rPr>
              <w:t>不运行时不存在</w:t>
            </w:r>
            <w:r>
              <w:rPr>
                <w:rFonts w:hint="default" w:ascii="Times New Roman" w:hAnsi="Times New Roman" w:cs="Times New Roman"/>
                <w:color w:val="auto"/>
                <w:sz w:val="24"/>
                <w:highlight w:val="none"/>
                <w:lang w:val="en-US" w:eastAsia="zh-CN"/>
              </w:rPr>
              <w:t>辐射</w:t>
            </w:r>
            <w:r>
              <w:rPr>
                <w:rFonts w:hint="default" w:ascii="Times New Roman" w:hAnsi="Times New Roman" w:cs="Times New Roman"/>
                <w:color w:val="auto"/>
                <w:sz w:val="24"/>
                <w:highlight w:val="none"/>
              </w:rPr>
              <w:t>事故，也不存在影响辐射环境质量的事故，只有当加速器运行期间才会产生X射线、电子束</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中子线、感生放射性</w:t>
            </w:r>
            <w:r>
              <w:rPr>
                <w:rFonts w:hint="default" w:ascii="Times New Roman" w:hAnsi="Times New Roman" w:cs="Times New Roman"/>
                <w:color w:val="auto"/>
                <w:sz w:val="24"/>
                <w:highlight w:val="none"/>
              </w:rPr>
              <w:t>等危害因素</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且</w:t>
            </w:r>
            <w:r>
              <w:rPr>
                <w:rFonts w:hint="default" w:ascii="Times New Roman" w:hAnsi="Times New Roman" w:cs="Times New Roman"/>
                <w:color w:val="auto"/>
                <w:sz w:val="24"/>
                <w:highlight w:val="none"/>
              </w:rPr>
              <w:t>电子束</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中子线、感生放射性</w:t>
            </w:r>
            <w:r>
              <w:rPr>
                <w:rFonts w:hint="eastAsia" w:ascii="Times New Roman" w:hAnsi="Times New Roman" w:cs="Times New Roman"/>
                <w:color w:val="auto"/>
                <w:sz w:val="24"/>
                <w:highlight w:val="none"/>
                <w:lang w:val="en-US" w:eastAsia="zh-CN"/>
              </w:rPr>
              <w:t>的影响较</w:t>
            </w:r>
            <w:r>
              <w:rPr>
                <w:rFonts w:hint="default" w:ascii="Times New Roman" w:hAnsi="Times New Roman" w:cs="Times New Roman"/>
                <w:color w:val="auto"/>
                <w:sz w:val="24"/>
                <w:highlight w:val="none"/>
              </w:rPr>
              <w:t>X射线</w:t>
            </w:r>
            <w:r>
              <w:rPr>
                <w:rFonts w:hint="eastAsia" w:ascii="Times New Roman" w:hAnsi="Times New Roman" w:cs="Times New Roman"/>
                <w:color w:val="auto"/>
                <w:sz w:val="24"/>
                <w:highlight w:val="none"/>
                <w:lang w:val="en-US" w:eastAsia="zh-CN"/>
              </w:rPr>
              <w:t>小</w:t>
            </w:r>
            <w:r>
              <w:rPr>
                <w:rFonts w:hint="default" w:ascii="Times New Roman" w:hAnsi="Times New Roman"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firstLine="570"/>
              <w:jc w:val="both"/>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最大可能的事故主要有三种：</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 xml:space="preserve">    ①医用直线加速器运行时其它无关人员误入或滞留于</w:t>
            </w:r>
            <w:r>
              <w:rPr>
                <w:rFonts w:hint="default" w:ascii="Times New Roman" w:hAnsi="Times New Roman" w:cs="Times New Roman"/>
                <w:color w:val="auto"/>
                <w:sz w:val="24"/>
                <w:szCs w:val="32"/>
                <w:highlight w:val="none"/>
                <w:lang w:eastAsia="zh-CN"/>
              </w:rPr>
              <w:t>加速器治疗室</w:t>
            </w:r>
            <w:r>
              <w:rPr>
                <w:rFonts w:hint="default" w:ascii="Times New Roman" w:hAnsi="Times New Roman" w:eastAsia="宋体" w:cs="Times New Roman"/>
                <w:color w:val="auto"/>
                <w:sz w:val="24"/>
                <w:szCs w:val="32"/>
                <w:highlight w:val="none"/>
              </w:rPr>
              <w:t xml:space="preserve">； </w:t>
            </w:r>
          </w:p>
          <w:p>
            <w:pPr>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②检修时，检修人员触动直线加速器开关，造成检修人员</w:t>
            </w:r>
            <w:r>
              <w:rPr>
                <w:rFonts w:hint="default" w:ascii="Times New Roman" w:hAnsi="Times New Roman" w:cs="Times New Roman"/>
                <w:color w:val="auto"/>
                <w:sz w:val="24"/>
                <w:szCs w:val="32"/>
                <w:highlight w:val="none"/>
                <w:lang w:val="en-US" w:eastAsia="zh-CN"/>
              </w:rPr>
              <w:t>受</w:t>
            </w:r>
            <w:r>
              <w:rPr>
                <w:rFonts w:hint="default" w:ascii="Times New Roman" w:hAnsi="Times New Roman" w:eastAsia="宋体" w:cs="Times New Roman"/>
                <w:color w:val="auto"/>
                <w:sz w:val="24"/>
                <w:szCs w:val="32"/>
                <w:highlight w:val="none"/>
              </w:rPr>
              <w:t>误照射</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引发辐射</w:t>
            </w:r>
            <w:r>
              <w:rPr>
                <w:rFonts w:hint="default" w:ascii="Times New Roman" w:hAnsi="Times New Roman" w:eastAsia="宋体" w:cs="Times New Roman"/>
                <w:color w:val="auto"/>
                <w:sz w:val="24"/>
                <w:szCs w:val="32"/>
                <w:highlight w:val="none"/>
              </w:rPr>
              <w:t>事故</w:t>
            </w:r>
            <w:r>
              <w:rPr>
                <w:rFonts w:hint="default" w:ascii="Times New Roman" w:hAnsi="Times New Roman" w:cs="Times New Roman"/>
                <w:color w:val="auto"/>
                <w:sz w:val="24"/>
                <w:szCs w:val="32"/>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sz w:val="24"/>
                <w:highlight w:val="none"/>
              </w:rPr>
              <w:t>③</w:t>
            </w:r>
            <w:r>
              <w:rPr>
                <w:rFonts w:hint="default" w:ascii="Times New Roman" w:hAnsi="Times New Roman" w:cs="Times New Roman"/>
                <w:color w:val="auto"/>
                <w:sz w:val="24"/>
                <w:highlight w:val="none"/>
              </w:rPr>
              <w:t>在医用直线加速器运行过程中通风系统出现故障，加速器仍然运行，导致臭氧累积使机房内浓度增高。</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4"/>
                <w:szCs w:val="32"/>
                <w:highlight w:val="none"/>
              </w:rPr>
            </w:pPr>
            <w:r>
              <w:rPr>
                <w:rFonts w:hint="default" w:ascii="Times New Roman" w:hAnsi="Times New Roman" w:cs="Times New Roman"/>
                <w:b/>
                <w:bCs/>
                <w:color w:val="auto"/>
                <w:sz w:val="24"/>
                <w:szCs w:val="32"/>
                <w:highlight w:val="none"/>
                <w:lang w:val="en-US" w:eastAsia="zh-CN"/>
              </w:rPr>
              <w:t>2、</w:t>
            </w:r>
            <w:r>
              <w:rPr>
                <w:rFonts w:hint="default" w:ascii="Times New Roman" w:hAnsi="Times New Roman" w:eastAsia="宋体" w:cs="Times New Roman"/>
                <w:b/>
                <w:bCs/>
                <w:color w:val="auto"/>
                <w:sz w:val="24"/>
                <w:szCs w:val="32"/>
                <w:highlight w:val="none"/>
              </w:rPr>
              <w:t>后装机可能发生的事故</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32"/>
                <w:highlight w:val="none"/>
              </w:rPr>
              <w:t xml:space="preserve">    </w:t>
            </w:r>
            <w:r>
              <w:rPr>
                <w:rFonts w:hint="default" w:ascii="Times New Roman" w:hAnsi="Times New Roman" w:cs="Times New Roman"/>
                <w:color w:val="auto"/>
                <w:sz w:val="24"/>
                <w:highlight w:val="none"/>
              </w:rPr>
              <w:t>后装机中含有放射源</w:t>
            </w:r>
            <w:r>
              <w:rPr>
                <w:rFonts w:hint="default" w:ascii="Times New Roman" w:hAnsi="Times New Roman" w:eastAsia="宋体" w:cs="Times New Roman"/>
                <w:color w:val="auto"/>
                <w:sz w:val="24"/>
                <w:highlight w:val="none"/>
                <w:vertAlign w:val="superscript"/>
              </w:rPr>
              <w:t>1</w:t>
            </w:r>
            <w:r>
              <w:rPr>
                <w:rFonts w:hint="default" w:ascii="Times New Roman" w:hAnsi="Times New Roman" w:cs="Times New Roman"/>
                <w:color w:val="auto"/>
                <w:sz w:val="24"/>
                <w:highlight w:val="none"/>
                <w:vertAlign w:val="superscript"/>
              </w:rPr>
              <w:t>92</w:t>
            </w:r>
            <w:r>
              <w:rPr>
                <w:rFonts w:hint="default" w:ascii="Times New Roman" w:hAnsi="Times New Roman" w:cs="Times New Roman"/>
                <w:color w:val="auto"/>
                <w:sz w:val="24"/>
                <w:highlight w:val="none"/>
              </w:rPr>
              <w:t>Ir，按其出厂活度划分，均属于III类放射源管理，</w:t>
            </w:r>
            <w:r>
              <w:rPr>
                <w:rFonts w:hint="default" w:ascii="Times New Roman" w:hAnsi="Times New Roman" w:eastAsia="宋体" w:cs="Times New Roman"/>
                <w:color w:val="auto"/>
                <w:sz w:val="24"/>
                <w:highlight w:val="none"/>
                <w:vertAlign w:val="superscript"/>
              </w:rPr>
              <w:t>1</w:t>
            </w:r>
            <w:r>
              <w:rPr>
                <w:rFonts w:hint="default" w:ascii="Times New Roman" w:hAnsi="Times New Roman" w:cs="Times New Roman"/>
                <w:color w:val="auto"/>
                <w:sz w:val="24"/>
                <w:highlight w:val="none"/>
                <w:vertAlign w:val="superscript"/>
              </w:rPr>
              <w:t>92</w:t>
            </w:r>
            <w:r>
              <w:rPr>
                <w:rFonts w:hint="default" w:ascii="Times New Roman" w:hAnsi="Times New Roman" w:cs="Times New Roman"/>
                <w:color w:val="auto"/>
                <w:sz w:val="24"/>
                <w:highlight w:val="none"/>
              </w:rPr>
              <w:t>Ir会释放β和γ射线等危害因素，如无正当防护也会造成放射性事故，最大可能发生的事故如下：</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eastAsia="宋体" w:cs="Times New Roman"/>
                <w:color w:val="auto"/>
                <w:sz w:val="24"/>
                <w:highlight w:val="none"/>
              </w:rPr>
              <w:t>①</w:t>
            </w:r>
            <w:r>
              <w:rPr>
                <w:rFonts w:hint="default" w:ascii="Times New Roman" w:hAnsi="Times New Roman" w:cs="Times New Roman"/>
                <w:color w:val="auto"/>
                <w:sz w:val="24"/>
                <w:highlight w:val="none"/>
              </w:rPr>
              <w:t>放射源丢失、被盗；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②</w:t>
            </w:r>
            <w:r>
              <w:rPr>
                <w:rFonts w:hint="default" w:ascii="Times New Roman" w:hAnsi="Times New Roman" w:cs="Times New Roman"/>
                <w:color w:val="auto"/>
                <w:sz w:val="24"/>
                <w:highlight w:val="none"/>
              </w:rPr>
              <w:t>人员在</w:t>
            </w:r>
            <w:r>
              <w:rPr>
                <w:rFonts w:hint="default" w:ascii="Times New Roman" w:hAnsi="Times New Roman" w:cs="Times New Roman"/>
                <w:color w:val="auto"/>
                <w:sz w:val="24"/>
                <w:highlight w:val="none"/>
                <w:lang w:val="en-US" w:eastAsia="zh-CN"/>
              </w:rPr>
              <w:t>后装治疗室</w:t>
            </w:r>
            <w:r>
              <w:rPr>
                <w:rFonts w:hint="default" w:ascii="Times New Roman" w:hAnsi="Times New Roman" w:cs="Times New Roman"/>
                <w:color w:val="auto"/>
                <w:sz w:val="24"/>
                <w:highlight w:val="none"/>
              </w:rPr>
              <w:t>误照射事故；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i w:val="0"/>
                <w:iCs w:val="0"/>
                <w:color w:val="auto"/>
                <w:sz w:val="24"/>
                <w:highlight w:val="none"/>
                <w:lang w:eastAsia="zh-CN"/>
              </w:rPr>
            </w:pPr>
            <w:r>
              <w:rPr>
                <w:rFonts w:hint="default" w:ascii="Times New Roman" w:hAnsi="Times New Roman" w:eastAsia="宋体" w:cs="Times New Roman"/>
                <w:i w:val="0"/>
                <w:iCs w:val="0"/>
                <w:color w:val="auto"/>
                <w:sz w:val="24"/>
                <w:highlight w:val="none"/>
              </w:rPr>
              <w:t>③</w:t>
            </w:r>
            <w:r>
              <w:rPr>
                <w:rFonts w:hint="default" w:ascii="Times New Roman" w:hAnsi="Times New Roman" w:eastAsia="宋体" w:cs="Times New Roman"/>
                <w:i w:val="0"/>
                <w:iCs w:val="0"/>
                <w:color w:val="auto"/>
                <w:sz w:val="24"/>
                <w:highlight w:val="none"/>
                <w:lang w:eastAsia="zh-CN"/>
              </w:rPr>
              <w:t>卡源。治疗过程中出现卡源情况，源体无法复位至屏蔽状态，造成病人受到过量照射，引发辐射事故。</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三、源项分析及事故等级分析</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32"/>
                <w:highlight w:val="none"/>
              </w:rPr>
            </w:pPr>
            <w:r>
              <w:rPr>
                <w:rFonts w:hint="default" w:ascii="Times New Roman" w:hAnsi="Times New Roman" w:cs="Times New Roman"/>
                <w:b w:val="0"/>
                <w:bCs w:val="0"/>
                <w:color w:val="auto"/>
                <w:sz w:val="24"/>
                <w:szCs w:val="32"/>
                <w:highlight w:val="none"/>
                <w:lang w:val="en-US" w:eastAsia="zh-CN"/>
              </w:rPr>
              <w:t>10MV</w:t>
            </w:r>
            <w:r>
              <w:rPr>
                <w:rFonts w:hint="default" w:ascii="Times New Roman" w:hAnsi="Times New Roman" w:eastAsia="宋体" w:cs="Times New Roman"/>
                <w:color w:val="auto"/>
                <w:sz w:val="24"/>
                <w:szCs w:val="32"/>
                <w:highlight w:val="none"/>
              </w:rPr>
              <w:t>直线加速器不运行时不存在放射性事故，也不存在影响辐射环境质量的事故，只有当加速器运行期间才会产生X射线、电子</w:t>
            </w:r>
            <w:r>
              <w:rPr>
                <w:rFonts w:hint="default" w:ascii="Times New Roman" w:hAnsi="Times New Roman" w:cs="Times New Roman"/>
                <w:color w:val="auto"/>
                <w:sz w:val="24"/>
                <w:szCs w:val="32"/>
                <w:highlight w:val="none"/>
                <w:lang w:val="en-US" w:eastAsia="zh-CN"/>
              </w:rPr>
              <w:t>线</w:t>
            </w:r>
            <w:r>
              <w:rPr>
                <w:rFonts w:hint="default" w:ascii="Times New Roman" w:hAnsi="Times New Roman" w:eastAsia="宋体" w:cs="Times New Roman"/>
                <w:color w:val="auto"/>
                <w:sz w:val="24"/>
                <w:szCs w:val="32"/>
                <w:highlight w:val="none"/>
              </w:rPr>
              <w:t>等危害因素</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b w:val="0"/>
                <w:bCs w:val="0"/>
                <w:color w:val="auto"/>
                <w:sz w:val="24"/>
                <w:szCs w:val="32"/>
                <w:highlight w:val="none"/>
                <w:lang w:val="en-US" w:eastAsia="zh-CN"/>
              </w:rPr>
              <w:t>15MV</w:t>
            </w:r>
            <w:r>
              <w:rPr>
                <w:rFonts w:hint="default" w:ascii="Times New Roman" w:hAnsi="Times New Roman" w:eastAsia="宋体" w:cs="Times New Roman"/>
                <w:color w:val="auto"/>
                <w:sz w:val="24"/>
                <w:szCs w:val="32"/>
                <w:highlight w:val="none"/>
              </w:rPr>
              <w:t>直线加速器</w:t>
            </w:r>
            <w:r>
              <w:rPr>
                <w:rFonts w:hint="default" w:ascii="Times New Roman" w:hAnsi="Times New Roman" w:cs="Times New Roman"/>
                <w:color w:val="auto"/>
                <w:sz w:val="24"/>
                <w:highlight w:val="none"/>
              </w:rPr>
              <w:t>不运行时不存在</w:t>
            </w:r>
            <w:r>
              <w:rPr>
                <w:rFonts w:hint="default" w:ascii="Times New Roman" w:hAnsi="Times New Roman" w:cs="Times New Roman"/>
                <w:color w:val="auto"/>
                <w:sz w:val="24"/>
                <w:highlight w:val="none"/>
                <w:lang w:val="en-US" w:eastAsia="zh-CN"/>
              </w:rPr>
              <w:t>辐射</w:t>
            </w:r>
            <w:r>
              <w:rPr>
                <w:rFonts w:hint="default" w:ascii="Times New Roman" w:hAnsi="Times New Roman" w:cs="Times New Roman"/>
                <w:color w:val="auto"/>
                <w:sz w:val="24"/>
                <w:highlight w:val="none"/>
              </w:rPr>
              <w:t>事故，也不存在影响辐射环境质量的事故，只有当加速器运行期间才会产生X射线、电子束</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中子线、感生放射性</w:t>
            </w:r>
            <w:r>
              <w:rPr>
                <w:rFonts w:hint="default" w:ascii="Times New Roman" w:hAnsi="Times New Roman" w:cs="Times New Roman"/>
                <w:color w:val="auto"/>
                <w:sz w:val="24"/>
                <w:highlight w:val="none"/>
              </w:rPr>
              <w:t>等危害因素</w:t>
            </w:r>
            <w:r>
              <w:rPr>
                <w:rFonts w:hint="default" w:ascii="Times New Roman" w:hAnsi="Times New Roman" w:eastAsia="宋体" w:cs="Times New Roman"/>
                <w:color w:val="auto"/>
                <w:sz w:val="24"/>
                <w:szCs w:val="32"/>
                <w:highlight w:val="none"/>
              </w:rPr>
              <w:t>，其风险因子主要为X射线。</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后装机中含有放射源</w:t>
            </w:r>
            <w:r>
              <w:rPr>
                <w:rFonts w:hint="default" w:ascii="Times New Roman" w:hAnsi="Times New Roman" w:eastAsia="宋体" w:cs="Times New Roman"/>
                <w:color w:val="auto"/>
                <w:sz w:val="24"/>
                <w:szCs w:val="32"/>
                <w:highlight w:val="none"/>
                <w:vertAlign w:val="superscript"/>
              </w:rPr>
              <w:t>192</w:t>
            </w:r>
            <w:r>
              <w:rPr>
                <w:rFonts w:hint="default" w:ascii="Times New Roman" w:hAnsi="Times New Roman" w:eastAsia="宋体" w:cs="Times New Roman"/>
                <w:color w:val="auto"/>
                <w:sz w:val="24"/>
                <w:szCs w:val="32"/>
                <w:highlight w:val="none"/>
              </w:rPr>
              <w:t>Ir，其属于Ⅲ类放射源，会产生β和γ射线以及臭氧。臭氧经通风设施换气、稀释，对大气环境基本无影响；β射线在空气中的射程较短，经放射源的内包鞘和后装机的相关设施屏蔽后，在环境辐射方面已无影响；故在后装机可能发生的风险事故中，其风险因子主要为γ射线。</w:t>
            </w:r>
          </w:p>
          <w:p>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olor w:val="auto"/>
                <w:sz w:val="24"/>
                <w:szCs w:val="32"/>
                <w:highlight w:val="none"/>
              </w:rPr>
              <w:t>按照国务院449号令第四十条关于事故的分级原则现将项目的环境风险因子、潜在危害及可能发生的事故等级列于表11-</w:t>
            </w:r>
            <w:r>
              <w:rPr>
                <w:rFonts w:hint="default" w:ascii="Times New Roman" w:hAnsi="Times New Roman" w:cs="Times New Roman"/>
                <w:color w:val="auto"/>
                <w:sz w:val="24"/>
                <w:szCs w:val="32"/>
                <w:highlight w:val="none"/>
                <w:lang w:val="en-US" w:eastAsia="zh-CN"/>
              </w:rPr>
              <w:t>26</w:t>
            </w:r>
            <w:r>
              <w:rPr>
                <w:rFonts w:hint="default" w:ascii="Times New Roman" w:hAnsi="Times New Roman" w:eastAsia="宋体" w:cs="Times New Roman"/>
                <w:color w:val="auto"/>
                <w:sz w:val="24"/>
                <w:szCs w:val="32"/>
                <w:highlight w:val="none"/>
              </w:rPr>
              <w:t>中。</w:t>
            </w:r>
          </w:p>
          <w:p>
            <w:pPr>
              <w:keepNext w:val="0"/>
              <w:keepLines w:val="0"/>
              <w:suppressLineNumbers w:val="0"/>
              <w:spacing w:before="0" w:beforeAutospacing="0" w:after="0" w:afterAutospacing="0" w:line="360" w:lineRule="auto"/>
              <w:ind w:left="0" w:right="0" w:firstLine="47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表11-</w:t>
            </w:r>
            <w:r>
              <w:rPr>
                <w:rFonts w:hint="default" w:ascii="Times New Roman" w:hAnsi="Times New Roman" w:cs="Times New Roman"/>
                <w:b/>
                <w:bCs/>
                <w:color w:val="auto"/>
                <w:sz w:val="21"/>
                <w:szCs w:val="21"/>
                <w:highlight w:val="none"/>
                <w:lang w:val="en-US" w:eastAsia="zh-CN"/>
              </w:rPr>
              <w:t>26</w:t>
            </w:r>
            <w:r>
              <w:rPr>
                <w:rFonts w:hint="default" w:ascii="Times New Roman" w:hAnsi="Times New Roman" w:cs="Times New Roman"/>
                <w:b/>
                <w:bCs/>
                <w:color w:val="auto"/>
                <w:sz w:val="21"/>
                <w:szCs w:val="21"/>
                <w:highlight w:val="none"/>
              </w:rPr>
              <w:t>　项目的环境风险因子、潜在危害及事故等级</w:t>
            </w:r>
          </w:p>
          <w:tbl>
            <w:tblPr>
              <w:tblStyle w:val="18"/>
              <w:tblW w:w="8839" w:type="dxa"/>
              <w:jc w:val="center"/>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1943"/>
              <w:gridCol w:w="6896"/>
            </w:tblGrid>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34" w:hRule="atLeast"/>
                <w:jc w:val="center"/>
              </w:trPr>
              <w:tc>
                <w:tcPr>
                  <w:tcW w:w="1943" w:type="dxa"/>
                  <w:tcBorders>
                    <w:bottom w:val="single" w:color="auto" w:sz="12" w:space="0"/>
                  </w:tcBorders>
                  <w:noWrap w:val="0"/>
                  <w:vAlign w:val="center"/>
                </w:tcPr>
                <w:p>
                  <w:pPr>
                    <w:pStyle w:val="16"/>
                    <w:keepNext w:val="0"/>
                    <w:keepLines w:val="0"/>
                    <w:suppressLineNumbers w:val="0"/>
                    <w:spacing w:before="0" w:beforeAutospacing="0" w:after="0" w:afterAutospacing="0" w:line="240" w:lineRule="auto"/>
                    <w:ind w:left="0" w:right="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事故等级</w:t>
                  </w:r>
                </w:p>
              </w:tc>
              <w:tc>
                <w:tcPr>
                  <w:tcW w:w="6896" w:type="dxa"/>
                  <w:tcBorders>
                    <w:bottom w:val="single" w:color="auto" w:sz="12" w:space="0"/>
                  </w:tcBorders>
                  <w:noWrap w:val="0"/>
                  <w:vAlign w:val="center"/>
                </w:tcPr>
                <w:p>
                  <w:pPr>
                    <w:pStyle w:val="16"/>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潜在危害</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PrEx>
              <w:trPr>
                <w:trHeight w:val="637" w:hRule="atLeast"/>
                <w:jc w:val="center"/>
              </w:trPr>
              <w:tc>
                <w:tcPr>
                  <w:tcW w:w="1943" w:type="dxa"/>
                  <w:tcBorders>
                    <w:top w:val="single" w:color="auto" w:sz="12" w:space="0"/>
                    <w:bottom w:val="single" w:color="auto" w:sz="4" w:space="0"/>
                  </w:tcBorders>
                  <w:noWrap w:val="0"/>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一般辐射事故</w:t>
                  </w:r>
                </w:p>
              </w:tc>
              <w:tc>
                <w:tcPr>
                  <w:tcW w:w="6896" w:type="dxa"/>
                  <w:tcBorders>
                    <w:top w:val="single" w:color="auto" w:sz="12" w:space="0"/>
                    <w:bottom w:val="single" w:color="auto" w:sz="4" w:space="0"/>
                  </w:tcBorders>
                  <w:noWrap w:val="0"/>
                  <w:vAlign w:val="center"/>
                </w:tcPr>
                <w:p>
                  <w:pPr>
                    <w:pStyle w:val="1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是指</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4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IV</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5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V</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类放射源丢失、被盗、失控，或者放射性同位素和射线装置失控导致人员受到超过年剂量限值的照射。</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618" w:hRule="atLeast"/>
                <w:jc w:val="center"/>
              </w:trPr>
              <w:tc>
                <w:tcPr>
                  <w:tcW w:w="1943" w:type="dxa"/>
                  <w:tcBorders>
                    <w:top w:val="single" w:color="auto" w:sz="4" w:space="0"/>
                    <w:bottom w:val="single" w:color="auto" w:sz="4" w:space="0"/>
                  </w:tcBorders>
                  <w:noWrap w:val="0"/>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较大辐射事故</w:t>
                  </w:r>
                </w:p>
              </w:tc>
              <w:tc>
                <w:tcPr>
                  <w:tcW w:w="6896" w:type="dxa"/>
                  <w:tcBorders>
                    <w:top w:val="single" w:color="auto" w:sz="4" w:space="0"/>
                    <w:bottom w:val="single" w:color="auto" w:sz="4" w:space="0"/>
                  </w:tcBorders>
                  <w:noWrap w:val="0"/>
                  <w:vAlign w:val="center"/>
                </w:tcPr>
                <w:p>
                  <w:pPr>
                    <w:pStyle w:val="1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是指</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III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类放射源丢失、被盗、失控，或者放射性同位素和射线装置失控导致9人以下（含9人）急性重度放射病、局部器官残疾。</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922" w:hRule="atLeast"/>
                <w:jc w:val="center"/>
              </w:trPr>
              <w:tc>
                <w:tcPr>
                  <w:tcW w:w="1943" w:type="dxa"/>
                  <w:tcBorders>
                    <w:top w:val="single" w:color="auto" w:sz="4" w:space="0"/>
                    <w:bottom w:val="single" w:color="auto" w:sz="4" w:space="0"/>
                  </w:tcBorders>
                  <w:noWrap w:val="0"/>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重大辐射事故</w:t>
                  </w:r>
                </w:p>
              </w:tc>
              <w:tc>
                <w:tcPr>
                  <w:tcW w:w="6896" w:type="dxa"/>
                  <w:tcBorders>
                    <w:top w:val="single" w:color="auto" w:sz="4" w:space="0"/>
                    <w:bottom w:val="single" w:color="auto" w:sz="4" w:space="0"/>
                  </w:tcBorders>
                  <w:noWrap w:val="0"/>
                  <w:vAlign w:val="center"/>
                </w:tcPr>
                <w:p>
                  <w:pPr>
                    <w:pStyle w:val="1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是指</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1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2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类放射源丢失、被盗、失控，或者放射性同位素和射线装置失控导致2人以下（含2人）急性死亡或者10人以上（含10人）急性重度放射病、局部器官残疾。</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647" w:hRule="atLeast"/>
                <w:jc w:val="center"/>
              </w:trPr>
              <w:tc>
                <w:tcPr>
                  <w:tcW w:w="1943" w:type="dxa"/>
                  <w:tcBorders>
                    <w:top w:val="single" w:color="auto" w:sz="4" w:space="0"/>
                  </w:tcBorders>
                  <w:noWrap w:val="0"/>
                  <w:vAlign w:val="center"/>
                </w:tcPr>
                <w:p>
                  <w:pPr>
                    <w:pStyle w:val="1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特别重大辐射事故</w:t>
                  </w:r>
                </w:p>
              </w:tc>
              <w:tc>
                <w:tcPr>
                  <w:tcW w:w="6896" w:type="dxa"/>
                  <w:tcBorders>
                    <w:top w:val="single" w:color="auto" w:sz="4" w:space="0"/>
                  </w:tcBorders>
                  <w:noWrap w:val="0"/>
                  <w:vAlign w:val="center"/>
                </w:tcPr>
                <w:p>
                  <w:pPr>
                    <w:pStyle w:val="1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是指</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1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2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类放射源丢失、被盗、失控造成大范围严重辐射污染后果，或者放射性同位素和射线装置失控导致3人以上（含3人）急性死亡。</w:t>
                  </w:r>
                </w:p>
              </w:tc>
            </w:tr>
          </w:tbl>
          <w:p>
            <w:pPr>
              <w:keepNext w:val="0"/>
              <w:keepLines w:val="0"/>
              <w:suppressLineNumbers w:val="0"/>
              <w:spacing w:before="0" w:beforeLines="50" w:beforeAutospacing="0" w:after="0" w:afterAutospacing="0" w:line="360" w:lineRule="auto"/>
              <w:ind w:left="0" w:right="0" w:firstLine="480" w:firstLineChars="200"/>
              <w:rPr>
                <w:rFonts w:hint="default" w:ascii="Times New Roman" w:hAnsi="Times New Roman" w:cs="Times New Roman"/>
                <w:color w:val="auto"/>
                <w:kern w:val="2"/>
                <w:sz w:val="24"/>
                <w:szCs w:val="32"/>
                <w:highlight w:val="none"/>
              </w:rPr>
            </w:pPr>
            <w:r>
              <w:rPr>
                <w:rFonts w:hint="default" w:ascii="Times New Roman" w:hAnsi="Times New Roman" w:cs="Times New Roman"/>
                <w:color w:val="auto"/>
                <w:sz w:val="24"/>
                <w:szCs w:val="32"/>
                <w:highlight w:val="none"/>
              </w:rPr>
              <w:t>根据《实用辐射安全手册》（第二版）（丛慧玲，北京：原子能出版社）急性放射病的发生率以及急性放射病的死亡率与辐射剂量的关系（表 11-</w:t>
            </w:r>
            <w:r>
              <w:rPr>
                <w:rFonts w:hint="default" w:ascii="Times New Roman" w:hAnsi="Times New Roman" w:cs="Times New Roman"/>
                <w:color w:val="auto"/>
                <w:sz w:val="24"/>
                <w:szCs w:val="32"/>
                <w:highlight w:val="none"/>
                <w:lang w:val="en-US" w:eastAsia="zh-CN"/>
              </w:rPr>
              <w:t>27</w:t>
            </w:r>
            <w:r>
              <w:rPr>
                <w:rFonts w:hint="default" w:ascii="Times New Roman" w:hAnsi="Times New Roman" w:cs="Times New Roman"/>
                <w:color w:val="auto"/>
                <w:sz w:val="24"/>
                <w:szCs w:val="32"/>
                <w:highlight w:val="none"/>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1"/>
                <w:szCs w:val="21"/>
                <w:highlight w:val="none"/>
              </w:rPr>
              <w:t>表11-</w:t>
            </w:r>
            <w:r>
              <w:rPr>
                <w:rFonts w:hint="default" w:ascii="Times New Roman" w:hAnsi="Times New Roman" w:cs="Times New Roman"/>
                <w:b/>
                <w:bCs/>
                <w:color w:val="auto"/>
                <w:sz w:val="21"/>
                <w:szCs w:val="21"/>
                <w:highlight w:val="none"/>
                <w:lang w:val="en-US" w:eastAsia="zh-CN"/>
              </w:rPr>
              <w:t>27</w:t>
            </w:r>
            <w:r>
              <w:rPr>
                <w:rFonts w:hint="default" w:ascii="Times New Roman" w:hAnsi="Times New Roman" w:cs="Times New Roman"/>
                <w:b/>
                <w:bCs/>
                <w:color w:val="auto"/>
                <w:sz w:val="21"/>
                <w:szCs w:val="21"/>
                <w:highlight w:val="none"/>
              </w:rPr>
              <w:t>　急性放射病的发生率、死亡率与辐射剂量的关系</w:t>
            </w:r>
          </w:p>
          <w:tbl>
            <w:tblPr>
              <w:tblStyle w:val="17"/>
              <w:tblW w:w="87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097"/>
              <w:gridCol w:w="2396"/>
              <w:gridCol w:w="2245"/>
              <w:gridCol w:w="20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辐射剂量/ Gy</w:t>
                  </w:r>
                </w:p>
              </w:tc>
              <w:tc>
                <w:tcPr>
                  <w:tcW w:w="2396"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急性放射病发生率/%</w:t>
                  </w:r>
                </w:p>
              </w:tc>
              <w:tc>
                <w:tcPr>
                  <w:tcW w:w="2245"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辐射剂量/ Gy</w:t>
                  </w:r>
                </w:p>
              </w:tc>
              <w:tc>
                <w:tcPr>
                  <w:tcW w:w="2036"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死亡率/%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0.70</w:t>
                  </w:r>
                </w:p>
              </w:tc>
              <w:tc>
                <w:tcPr>
                  <w:tcW w:w="2396"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245"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2036"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0.90</w:t>
                  </w:r>
                </w:p>
              </w:tc>
              <w:tc>
                <w:tcPr>
                  <w:tcW w:w="239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22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239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22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2.80</w:t>
                  </w:r>
                </w:p>
              </w:tc>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1.05</w:t>
                  </w:r>
                </w:p>
              </w:tc>
              <w:tc>
                <w:tcPr>
                  <w:tcW w:w="239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22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1.10</w:t>
                  </w:r>
                </w:p>
              </w:tc>
              <w:tc>
                <w:tcPr>
                  <w:tcW w:w="239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22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3.20</w:t>
                  </w:r>
                </w:p>
              </w:tc>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1.20</w:t>
                  </w:r>
                </w:p>
              </w:tc>
              <w:tc>
                <w:tcPr>
                  <w:tcW w:w="239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22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3.50</w:t>
                  </w:r>
                </w:p>
              </w:tc>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1.25</w:t>
                  </w:r>
                </w:p>
              </w:tc>
              <w:tc>
                <w:tcPr>
                  <w:tcW w:w="239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22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3.60</w:t>
                  </w:r>
                </w:p>
              </w:tc>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1.35</w:t>
                  </w:r>
                </w:p>
              </w:tc>
              <w:tc>
                <w:tcPr>
                  <w:tcW w:w="239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22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3.75</w:t>
                  </w:r>
                </w:p>
              </w:tc>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1.40</w:t>
                  </w:r>
                </w:p>
              </w:tc>
              <w:tc>
                <w:tcPr>
                  <w:tcW w:w="239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22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4.00</w:t>
                  </w:r>
                </w:p>
              </w:tc>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1.60</w:t>
                  </w:r>
                </w:p>
              </w:tc>
              <w:tc>
                <w:tcPr>
                  <w:tcW w:w="239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c>
                <w:tcPr>
                  <w:tcW w:w="22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4.50</w:t>
                  </w:r>
                </w:p>
              </w:tc>
              <w:tc>
                <w:tcPr>
                  <w:tcW w:w="203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7"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2396"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99</w:t>
                  </w:r>
                </w:p>
              </w:tc>
              <w:tc>
                <w:tcPr>
                  <w:tcW w:w="2245"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5.50</w:t>
                  </w:r>
                </w:p>
              </w:tc>
              <w:tc>
                <w:tcPr>
                  <w:tcW w:w="2036"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99</w:t>
                  </w:r>
                </w:p>
              </w:tc>
            </w:tr>
          </w:tbl>
          <w:p>
            <w:pPr>
              <w:keepNext w:val="0"/>
              <w:keepLines w:val="0"/>
              <w:numPr>
                <w:ilvl w:val="0"/>
                <w:numId w:val="5"/>
              </w:numPr>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后果计算</w:t>
            </w:r>
          </w:p>
          <w:p>
            <w:pPr>
              <w:pStyle w:val="31"/>
              <w:keepNext/>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10MV直线加速器事故的后果计算</w:t>
            </w:r>
          </w:p>
          <w:p>
            <w:pPr>
              <w:keepNext/>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本次评价以X射线能量较高的10MV直线加速器进行事故分析，在其治疗过程中，其它无关人员误入或滞留</w:t>
            </w:r>
            <w:r>
              <w:rPr>
                <w:rFonts w:hint="default" w:ascii="Times New Roman" w:hAnsi="Times New Roman" w:cs="Times New Roman"/>
                <w:color w:val="auto"/>
                <w:sz w:val="24"/>
                <w:szCs w:val="24"/>
                <w:highlight w:val="none"/>
                <w:lang w:eastAsia="zh-CN"/>
              </w:rPr>
              <w:t>治疗室内</w:t>
            </w:r>
            <w:r>
              <w:rPr>
                <w:rFonts w:hint="default" w:ascii="Times New Roman" w:hAnsi="Times New Roman" w:eastAsia="宋体" w:cs="Times New Roman"/>
                <w:color w:val="auto"/>
                <w:sz w:val="24"/>
                <w:szCs w:val="24"/>
                <w:highlight w:val="none"/>
              </w:rPr>
              <w:t>为例进行事故后果计算。</w:t>
            </w:r>
          </w:p>
          <w:p>
            <w:pPr>
              <w:keepNext/>
              <w:keepLines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事故情景假设</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①在对病人进行治疗时，10MV直线加速器主射束1m处剂量率为最大值</w:t>
            </w:r>
            <w:r>
              <w:rPr>
                <w:rFonts w:hint="default" w:ascii="Times New Roman" w:hAnsi="Times New Roman" w:eastAsia="宋体" w:cs="Times New Roman"/>
                <w:color w:val="auto"/>
                <w:kern w:val="2"/>
                <w:sz w:val="24"/>
                <w:szCs w:val="24"/>
                <w:highlight w:val="none"/>
                <w:lang w:val="en-US" w:eastAsia="zh-CN"/>
              </w:rPr>
              <w:t>6</w:t>
            </w:r>
            <w:r>
              <w:rPr>
                <w:rFonts w:hint="default" w:ascii="Times New Roman" w:hAnsi="Times New Roman" w:eastAsia="宋体" w:cs="Times New Roman"/>
                <w:color w:val="auto"/>
                <w:kern w:val="2"/>
                <w:sz w:val="24"/>
                <w:szCs w:val="24"/>
                <w:highlight w:val="none"/>
              </w:rPr>
              <w:t>Gy/min，假设考虑安全联锁失效，有人员误入机房，人员在无其它屏蔽的情况下处于加速器照射头射束1m处的</w:t>
            </w:r>
            <w:r>
              <w:rPr>
                <w:rFonts w:hint="default" w:ascii="Times New Roman" w:hAnsi="Times New Roman" w:cs="Times New Roman"/>
                <w:color w:val="auto"/>
                <w:kern w:val="2"/>
                <w:sz w:val="24"/>
                <w:szCs w:val="24"/>
                <w:highlight w:val="none"/>
                <w:lang w:val="en-US" w:eastAsia="zh-CN"/>
              </w:rPr>
              <w:t>非主射</w:t>
            </w:r>
            <w:r>
              <w:rPr>
                <w:rFonts w:hint="default" w:ascii="Times New Roman" w:hAnsi="Times New Roman" w:eastAsia="宋体" w:cs="Times New Roman"/>
                <w:color w:val="auto"/>
                <w:kern w:val="2"/>
                <w:sz w:val="24"/>
                <w:szCs w:val="24"/>
                <w:highlight w:val="none"/>
              </w:rPr>
              <w:t>方向</w:t>
            </w:r>
            <w:r>
              <w:rPr>
                <w:rFonts w:hint="default"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lang w:val="en-US" w:eastAsia="zh-CN"/>
              </w:rPr>
              <w:t>受到散射和漏射的影响</w:t>
            </w:r>
            <w:r>
              <w:rPr>
                <w:rFonts w:hint="default" w:ascii="Times New Roman" w:hAnsi="Times New Roman" w:eastAsia="宋体"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加速器</w:t>
            </w:r>
            <w:r>
              <w:rPr>
                <w:rFonts w:hint="default" w:ascii="Times New Roman" w:hAnsi="Times New Roman" w:eastAsia="宋体" w:cs="Times New Roman"/>
                <w:color w:val="auto"/>
                <w:kern w:val="2"/>
                <w:sz w:val="24"/>
                <w:szCs w:val="24"/>
                <w:highlight w:val="none"/>
              </w:rPr>
              <w:t>散射束</w:t>
            </w:r>
            <w:r>
              <w:rPr>
                <w:rFonts w:hint="default" w:ascii="Times New Roman" w:hAnsi="Times New Roman" w:cs="Times New Roman"/>
                <w:color w:val="auto"/>
                <w:kern w:val="2"/>
                <w:sz w:val="24"/>
                <w:szCs w:val="24"/>
                <w:highlight w:val="none"/>
                <w:lang w:val="en-US" w:eastAsia="zh-CN"/>
              </w:rPr>
              <w:t>和漏射</w:t>
            </w:r>
            <w:r>
              <w:rPr>
                <w:rFonts w:hint="default" w:ascii="Times New Roman" w:hAnsi="Times New Roman" w:eastAsia="宋体" w:cs="Times New Roman"/>
                <w:color w:val="auto"/>
                <w:kern w:val="2"/>
                <w:sz w:val="24"/>
                <w:szCs w:val="24"/>
                <w:highlight w:val="none"/>
              </w:rPr>
              <w:t>束的空气比释动能率</w:t>
            </w:r>
            <w:r>
              <w:rPr>
                <w:rFonts w:hint="default" w:ascii="Times New Roman" w:hAnsi="Times New Roman" w:cs="Times New Roman"/>
                <w:color w:val="auto"/>
                <w:kern w:val="2"/>
                <w:sz w:val="24"/>
                <w:szCs w:val="24"/>
                <w:highlight w:val="none"/>
                <w:lang w:val="en-US" w:eastAsia="zh-CN"/>
              </w:rPr>
              <w:t>均</w:t>
            </w:r>
            <w:r>
              <w:rPr>
                <w:rFonts w:hint="default" w:ascii="Times New Roman" w:hAnsi="Times New Roman" w:eastAsia="宋体" w:cs="Times New Roman"/>
                <w:color w:val="auto"/>
                <w:kern w:val="2"/>
                <w:sz w:val="24"/>
                <w:szCs w:val="24"/>
                <w:highlight w:val="none"/>
              </w:rPr>
              <w:t>取主射束方向的</w:t>
            </w:r>
            <w:r>
              <w:rPr>
                <w:rFonts w:hint="default" w:ascii="Times New Roman" w:hAnsi="Times New Roman" w:cs="Times New Roman"/>
                <w:color w:val="auto"/>
                <w:kern w:val="2"/>
                <w:sz w:val="24"/>
                <w:szCs w:val="24"/>
                <w:highlight w:val="none"/>
                <w:lang w:val="en-US" w:eastAsia="zh-CN"/>
              </w:rPr>
              <w:t>0.</w:t>
            </w:r>
            <w:r>
              <w:rPr>
                <w:rFonts w:hint="default" w:ascii="Times New Roman" w:hAnsi="Times New Roman" w:eastAsia="宋体" w:cs="Times New Roman"/>
                <w:color w:val="auto"/>
                <w:kern w:val="2"/>
                <w:sz w:val="24"/>
                <w:szCs w:val="24"/>
                <w:highlight w:val="none"/>
              </w:rPr>
              <w:t>1%，每次误入照射时间为</w:t>
            </w:r>
            <w:r>
              <w:rPr>
                <w:rFonts w:hint="default" w:ascii="Times New Roman" w:hAnsi="Times New Roman" w:cs="Times New Roman"/>
                <w:color w:val="auto"/>
                <w:kern w:val="2"/>
                <w:highlight w:val="none"/>
                <w:lang w:val="en-US" w:eastAsia="zh-CN"/>
              </w:rPr>
              <w:t>2</w:t>
            </w:r>
            <w:r>
              <w:rPr>
                <w:rFonts w:hint="default" w:ascii="Times New Roman" w:hAnsi="Times New Roman" w:eastAsia="宋体" w:cs="Times New Roman"/>
                <w:color w:val="auto"/>
                <w:kern w:val="2"/>
                <w:sz w:val="24"/>
                <w:szCs w:val="24"/>
                <w:highlight w:val="none"/>
              </w:rPr>
              <w:t>min</w:t>
            </w:r>
            <w:r>
              <w:rPr>
                <w:rFonts w:hint="default" w:ascii="Times New Roman" w:hAnsi="Times New Roman" w:cs="Times New Roman"/>
                <w:color w:val="auto"/>
                <w:kern w:val="2"/>
                <w:highlight w:val="none"/>
                <w:lang w:val="en-US" w:eastAsia="zh-CN"/>
              </w:rPr>
              <w:t>（单次照射最长时间）</w:t>
            </w:r>
            <w:r>
              <w:rPr>
                <w:rFonts w:hint="default" w:ascii="Times New Roman" w:hAnsi="Times New Roman" w:eastAsia="宋体" w:cs="Times New Roman"/>
                <w:color w:val="auto"/>
                <w:kern w:val="2"/>
                <w:sz w:val="24"/>
                <w:szCs w:val="24"/>
                <w:highlight w:val="none"/>
              </w:rPr>
              <w:t>。</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②在维修人员进行检修时</w:t>
            </w:r>
            <w:r>
              <w:rPr>
                <w:rFonts w:hint="default"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lang w:val="en-US" w:eastAsia="zh-CN"/>
              </w:rPr>
              <w:t>检修人员必须佩戴个人剂量计和剂量报警仪</w:t>
            </w:r>
            <w:r>
              <w:rPr>
                <w:rFonts w:hint="default" w:ascii="Times New Roman" w:hAnsi="Times New Roman" w:eastAsia="宋体" w:cs="Times New Roman"/>
                <w:color w:val="auto"/>
                <w:kern w:val="2"/>
                <w:sz w:val="24"/>
                <w:szCs w:val="24"/>
                <w:highlight w:val="none"/>
              </w:rPr>
              <w:t>，假设触动直线加速器开关，造成维修人员在无其它屏蔽的情况下处于加速器照射头射束</w:t>
            </w:r>
            <w:r>
              <w:rPr>
                <w:rFonts w:hint="default" w:ascii="Times New Roman" w:hAnsi="Times New Roman" w:cs="Times New Roman"/>
                <w:color w:val="auto"/>
                <w:kern w:val="2"/>
                <w:sz w:val="24"/>
                <w:szCs w:val="24"/>
                <w:highlight w:val="none"/>
                <w:lang w:val="en-US" w:eastAsia="zh-CN"/>
              </w:rPr>
              <w:t>0.5</w:t>
            </w:r>
            <w:r>
              <w:rPr>
                <w:rFonts w:hint="default" w:ascii="Times New Roman" w:hAnsi="Times New Roman" w:eastAsia="宋体" w:cs="Times New Roman"/>
                <w:color w:val="auto"/>
                <w:kern w:val="2"/>
                <w:sz w:val="24"/>
                <w:szCs w:val="24"/>
                <w:highlight w:val="none"/>
              </w:rPr>
              <w:t>m处的</w:t>
            </w:r>
            <w:r>
              <w:rPr>
                <w:rFonts w:hint="default" w:ascii="Times New Roman" w:hAnsi="Times New Roman" w:cs="Times New Roman"/>
                <w:color w:val="auto"/>
                <w:kern w:val="2"/>
                <w:sz w:val="24"/>
                <w:szCs w:val="24"/>
                <w:highlight w:val="none"/>
                <w:lang w:val="en-US" w:eastAsia="zh-CN"/>
              </w:rPr>
              <w:t>主</w:t>
            </w:r>
            <w:r>
              <w:rPr>
                <w:rFonts w:hint="default" w:ascii="Times New Roman" w:hAnsi="Times New Roman" w:eastAsia="宋体" w:cs="Times New Roman"/>
                <w:color w:val="auto"/>
                <w:kern w:val="2"/>
                <w:sz w:val="24"/>
                <w:szCs w:val="24"/>
                <w:highlight w:val="none"/>
              </w:rPr>
              <w:t>射方向，10MV直线加速器主射束1m处剂量率为最大值</w:t>
            </w:r>
            <w:r>
              <w:rPr>
                <w:rFonts w:hint="default" w:ascii="Times New Roman" w:hAnsi="Times New Roman" w:eastAsia="宋体" w:cs="Times New Roman"/>
                <w:color w:val="auto"/>
                <w:kern w:val="2"/>
                <w:sz w:val="24"/>
                <w:szCs w:val="24"/>
                <w:highlight w:val="none"/>
                <w:lang w:val="en-US" w:eastAsia="zh-CN"/>
              </w:rPr>
              <w:t>6</w:t>
            </w:r>
            <w:r>
              <w:rPr>
                <w:rFonts w:hint="default" w:ascii="Times New Roman" w:hAnsi="Times New Roman" w:eastAsia="宋体" w:cs="Times New Roman"/>
                <w:color w:val="auto"/>
                <w:kern w:val="2"/>
                <w:sz w:val="24"/>
                <w:szCs w:val="24"/>
                <w:highlight w:val="none"/>
              </w:rPr>
              <w:t>Gy/min，</w:t>
            </w:r>
            <w:r>
              <w:rPr>
                <w:rFonts w:hint="default" w:ascii="Times New Roman" w:hAnsi="Times New Roman" w:cs="Times New Roman"/>
                <w:color w:val="auto"/>
                <w:kern w:val="2"/>
                <w:sz w:val="24"/>
                <w:szCs w:val="24"/>
                <w:highlight w:val="none"/>
                <w:lang w:val="en-US" w:eastAsia="zh-CN"/>
              </w:rPr>
              <w:t>检修人员被误照射开始至听报警仪报警关闭加速器停止出束的</w:t>
            </w:r>
            <w:r>
              <w:rPr>
                <w:rFonts w:hint="default" w:ascii="Times New Roman" w:hAnsi="Times New Roman" w:eastAsia="宋体" w:cs="Times New Roman"/>
                <w:color w:val="auto"/>
                <w:kern w:val="2"/>
                <w:sz w:val="24"/>
                <w:szCs w:val="24"/>
                <w:highlight w:val="none"/>
              </w:rPr>
              <w:t>时间为</w:t>
            </w:r>
            <w:r>
              <w:rPr>
                <w:rFonts w:hint="default" w:ascii="Times New Roman" w:hAnsi="Times New Roman" w:cs="Times New Roman"/>
                <w:color w:val="auto"/>
                <w:kern w:val="2"/>
                <w:highlight w:val="none"/>
                <w:lang w:val="en-US" w:eastAsia="zh-CN"/>
              </w:rPr>
              <w:t>2</w:t>
            </w:r>
            <w:r>
              <w:rPr>
                <w:rFonts w:hint="default" w:ascii="Times New Roman" w:hAnsi="Times New Roman" w:eastAsia="宋体" w:cs="Times New Roman"/>
                <w:color w:val="auto"/>
                <w:kern w:val="2"/>
                <w:sz w:val="24"/>
                <w:szCs w:val="24"/>
                <w:highlight w:val="none"/>
              </w:rPr>
              <w:t>min。</w:t>
            </w:r>
          </w:p>
          <w:p>
            <w:pPr>
              <w:keepNext/>
              <w:keepLines w:val="0"/>
              <w:numPr>
                <w:ilvl w:val="0"/>
                <w:numId w:val="6"/>
              </w:numPr>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rPr>
              <w:t>后果计算与分析</w:t>
            </w:r>
          </w:p>
          <w:p>
            <w:pPr>
              <w:keepNext w:val="0"/>
              <w:keepLines w:val="0"/>
              <w:suppressLineNumbers w:val="0"/>
              <w:spacing w:before="9" w:beforeAutospacing="0" w:after="0" w:afterAutospacing="0" w:line="360" w:lineRule="auto"/>
              <w:ind w:left="0" w:right="61" w:firstLine="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Times New Roman" w:cs="Times New Roman"/>
                <w:b/>
                <w:bCs/>
                <w:color w:val="auto"/>
                <w:sz w:val="21"/>
                <w:szCs w:val="21"/>
                <w:highlight w:val="none"/>
              </w:rPr>
              <w:t>11-</w:t>
            </w:r>
            <w:r>
              <w:rPr>
                <w:rFonts w:hint="default" w:ascii="Times New Roman" w:hAnsi="Times New Roman" w:cs="Times New Roman"/>
                <w:b/>
                <w:bCs/>
                <w:color w:val="auto"/>
                <w:sz w:val="21"/>
                <w:szCs w:val="21"/>
                <w:highlight w:val="none"/>
                <w:lang w:val="en-US" w:eastAsia="zh-CN"/>
              </w:rPr>
              <w:t xml:space="preserve">28  </w:t>
            </w:r>
            <w:r>
              <w:rPr>
                <w:rFonts w:hint="default" w:ascii="Times New Roman" w:hAnsi="Times New Roman" w:eastAsia="宋体" w:cs="Times New Roman"/>
                <w:b/>
                <w:bCs/>
                <w:color w:val="auto"/>
                <w:kern w:val="2"/>
                <w:sz w:val="21"/>
                <w:szCs w:val="21"/>
                <w:highlight w:val="none"/>
              </w:rPr>
              <w:t>10MV</w:t>
            </w:r>
            <w:r>
              <w:rPr>
                <w:rFonts w:hint="default" w:ascii="Times New Roman" w:hAnsi="Times New Roman" w:cs="Times New Roman"/>
                <w:b/>
                <w:bCs/>
                <w:color w:val="auto"/>
                <w:sz w:val="21"/>
                <w:szCs w:val="21"/>
                <w:highlight w:val="none"/>
                <w:lang w:val="en-US" w:eastAsia="zh-CN"/>
              </w:rPr>
              <w:t>直线加速器事故状态下</w:t>
            </w:r>
            <w:r>
              <w:rPr>
                <w:rFonts w:hint="default" w:ascii="Times New Roman" w:hAnsi="Times New Roman" w:eastAsia="宋体" w:cs="Times New Roman"/>
                <w:b/>
                <w:bCs/>
                <w:color w:val="auto"/>
                <w:kern w:val="2"/>
                <w:sz w:val="21"/>
                <w:szCs w:val="21"/>
                <w:highlight w:val="none"/>
                <w:lang w:val="en-US" w:eastAsia="zh-CN"/>
              </w:rPr>
              <w:t>非主射方向不同时间、距离处有效剂量情况表</w:t>
            </w:r>
            <w:r>
              <w:rPr>
                <w:rFonts w:hint="default" w:ascii="Times New Roman" w:hAnsi="Times New Roman" w:eastAsia="宋体" w:cs="Times New Roman"/>
                <w:b/>
                <w:i w:val="0"/>
                <w:color w:val="auto"/>
                <w:kern w:val="0"/>
                <w:sz w:val="21"/>
                <w:szCs w:val="21"/>
                <w:highlight w:val="none"/>
                <w:u w:val="none"/>
                <w:lang w:val="en-US" w:eastAsia="zh-CN" w:bidi="ar"/>
              </w:rPr>
              <w:t>（</w:t>
            </w:r>
            <w:r>
              <w:rPr>
                <w:rStyle w:val="32"/>
                <w:rFonts w:hint="default" w:ascii="Times New Roman" w:hAnsi="Times New Roman" w:eastAsia="宋体" w:cs="Times New Roman"/>
                <w:color w:val="auto"/>
                <w:sz w:val="21"/>
                <w:szCs w:val="21"/>
                <w:highlight w:val="none"/>
                <w:lang w:val="en-US" w:eastAsia="zh-CN" w:bidi="ar"/>
              </w:rPr>
              <w:t>mSv</w:t>
            </w:r>
            <w:r>
              <w:rPr>
                <w:rStyle w:val="33"/>
                <w:rFonts w:hint="default" w:ascii="Times New Roman" w:hAnsi="Times New Roman" w:cs="Times New Roman"/>
                <w:color w:val="auto"/>
                <w:sz w:val="21"/>
                <w:szCs w:val="21"/>
                <w:highlight w:val="none"/>
                <w:lang w:val="en-US" w:eastAsia="zh-CN" w:bidi="ar"/>
              </w:rPr>
              <w:t>）</w:t>
            </w:r>
          </w:p>
          <w:tbl>
            <w:tblPr>
              <w:tblStyle w:val="1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136"/>
              <w:gridCol w:w="2288"/>
              <w:gridCol w:w="22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177" w:type="pc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2"/>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highlight w:val="none"/>
                      <w:vertAlign w:val="baseline"/>
                      <w:lang w:val="en-US" w:eastAsia="zh-CN"/>
                    </w:rPr>
                  </w:pPr>
                </w:p>
                <w:p>
                  <w:pPr>
                    <w:pStyle w:val="2"/>
                    <w:keepNext w:val="0"/>
                    <w:keepLines w:val="0"/>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距离（m）</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时间（s）</w:t>
                  </w:r>
                </w:p>
              </w:tc>
              <w:tc>
                <w:tcPr>
                  <w:tcW w:w="1217" w:type="pct"/>
                  <w:tcBorders>
                    <w:tl2br w:val="nil"/>
                    <w:tr2bl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kern w:val="2"/>
                      <w:sz w:val="21"/>
                      <w:szCs w:val="21"/>
                      <w:highlight w:val="none"/>
                      <w:vertAlign w:val="baseline"/>
                      <w:lang w:val="en-US" w:eastAsia="zh-CN"/>
                    </w:rPr>
                    <w:t>10</w:t>
                  </w:r>
                </w:p>
              </w:tc>
              <w:tc>
                <w:tcPr>
                  <w:tcW w:w="1304" w:type="pct"/>
                  <w:tcBorders>
                    <w:tl2br w:val="nil"/>
                    <w:tr2bl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kern w:val="2"/>
                      <w:sz w:val="21"/>
                      <w:szCs w:val="21"/>
                      <w:highlight w:val="none"/>
                      <w:vertAlign w:val="baseline"/>
                      <w:lang w:val="en-US" w:eastAsia="zh-CN"/>
                    </w:rPr>
                    <w:t>60</w:t>
                  </w:r>
                </w:p>
              </w:tc>
              <w:tc>
                <w:tcPr>
                  <w:tcW w:w="1299" w:type="pct"/>
                  <w:tcBorders>
                    <w:tl2br w:val="nil"/>
                    <w:tr2bl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066" w:type="dxa"/>
                  <w:tcBorders>
                    <w:tl2br w:val="nil"/>
                    <w:tr2bl w:val="nil"/>
                  </w:tcBorders>
                  <w:noWrap w:val="0"/>
                  <w:vAlign w:val="center"/>
                </w:tcPr>
                <w:p>
                  <w:pPr>
                    <w:pStyle w:val="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0.5</w:t>
                  </w:r>
                </w:p>
              </w:tc>
              <w:tc>
                <w:tcPr>
                  <w:tcW w:w="21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22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228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66" w:type="dxa"/>
                  <w:tcBorders>
                    <w:tl2br w:val="nil"/>
                    <w:tr2bl w:val="nil"/>
                  </w:tcBorders>
                  <w:noWrap w:val="0"/>
                  <w:vAlign w:val="center"/>
                </w:tcPr>
                <w:p>
                  <w:pPr>
                    <w:pStyle w:val="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w:t>
                  </w:r>
                </w:p>
              </w:tc>
              <w:tc>
                <w:tcPr>
                  <w:tcW w:w="21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2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228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66" w:type="dxa"/>
                  <w:tcBorders>
                    <w:tl2br w:val="nil"/>
                    <w:tr2bl w:val="nil"/>
                  </w:tcBorders>
                  <w:noWrap w:val="0"/>
                  <w:vAlign w:val="center"/>
                </w:tcPr>
                <w:p>
                  <w:pPr>
                    <w:pStyle w:val="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2</w:t>
                  </w:r>
                </w:p>
              </w:tc>
              <w:tc>
                <w:tcPr>
                  <w:tcW w:w="21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0.25</w:t>
                  </w:r>
                </w:p>
              </w:tc>
              <w:tc>
                <w:tcPr>
                  <w:tcW w:w="22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228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66" w:type="dxa"/>
                  <w:tcBorders>
                    <w:tl2br w:val="nil"/>
                    <w:tr2bl w:val="nil"/>
                  </w:tcBorders>
                  <w:noWrap w:val="0"/>
                  <w:vAlign w:val="center"/>
                </w:tcPr>
                <w:p>
                  <w:pPr>
                    <w:pStyle w:val="2"/>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5</w:t>
                  </w:r>
                </w:p>
              </w:tc>
              <w:tc>
                <w:tcPr>
                  <w:tcW w:w="21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0.04</w:t>
                  </w:r>
                </w:p>
              </w:tc>
              <w:tc>
                <w:tcPr>
                  <w:tcW w:w="22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0.24</w:t>
                  </w:r>
                </w:p>
              </w:tc>
              <w:tc>
                <w:tcPr>
                  <w:tcW w:w="228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0.48</w:t>
                  </w:r>
                </w:p>
              </w:tc>
            </w:tr>
          </w:tbl>
          <w:p>
            <w:pPr>
              <w:keepNext w:val="0"/>
              <w:keepLines w:val="0"/>
              <w:suppressLineNumbers w:val="0"/>
              <w:spacing w:before="9" w:beforeAutospacing="0" w:after="0" w:afterAutospacing="0" w:line="360" w:lineRule="auto"/>
              <w:ind w:left="0" w:right="61"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表</w:t>
            </w:r>
            <w:r>
              <w:rPr>
                <w:rFonts w:hint="default" w:ascii="Times New Roman" w:hAnsi="Times New Roman" w:eastAsia="Times New Roman" w:cs="Times New Roman"/>
                <w:b/>
                <w:bCs/>
                <w:color w:val="auto"/>
                <w:sz w:val="21"/>
                <w:szCs w:val="21"/>
                <w:highlight w:val="none"/>
              </w:rPr>
              <w:t>11-</w:t>
            </w:r>
            <w:r>
              <w:rPr>
                <w:rFonts w:hint="default" w:ascii="Times New Roman" w:hAnsi="Times New Roman" w:cs="Times New Roman"/>
                <w:b/>
                <w:bCs/>
                <w:color w:val="auto"/>
                <w:sz w:val="21"/>
                <w:szCs w:val="21"/>
                <w:highlight w:val="none"/>
                <w:lang w:val="en-US" w:eastAsia="zh-CN"/>
              </w:rPr>
              <w:t xml:space="preserve">29  </w:t>
            </w:r>
            <w:r>
              <w:rPr>
                <w:rFonts w:hint="default" w:ascii="Times New Roman" w:hAnsi="Times New Roman" w:eastAsia="宋体" w:cs="Times New Roman"/>
                <w:b/>
                <w:bCs/>
                <w:color w:val="auto"/>
                <w:kern w:val="2"/>
                <w:sz w:val="21"/>
                <w:szCs w:val="21"/>
                <w:highlight w:val="none"/>
              </w:rPr>
              <w:t>10MV</w:t>
            </w:r>
            <w:r>
              <w:rPr>
                <w:rFonts w:hint="default" w:ascii="Times New Roman" w:hAnsi="Times New Roman" w:cs="Times New Roman"/>
                <w:b/>
                <w:bCs/>
                <w:color w:val="auto"/>
                <w:sz w:val="21"/>
                <w:szCs w:val="21"/>
                <w:highlight w:val="none"/>
                <w:lang w:val="en-US" w:eastAsia="zh-CN"/>
              </w:rPr>
              <w:t>直线加速器事故状态下</w:t>
            </w:r>
            <w:r>
              <w:rPr>
                <w:rFonts w:hint="default" w:ascii="Times New Roman" w:hAnsi="Times New Roman" w:eastAsia="宋体" w:cs="Times New Roman"/>
                <w:b/>
                <w:bCs/>
                <w:color w:val="auto"/>
                <w:kern w:val="2"/>
                <w:sz w:val="21"/>
                <w:szCs w:val="21"/>
                <w:highlight w:val="none"/>
                <w:lang w:val="en-US" w:eastAsia="zh-CN"/>
              </w:rPr>
              <w:t>主射方向不同时间、距离处有效剂量情况表（mSv）</w:t>
            </w:r>
          </w:p>
          <w:tbl>
            <w:tblPr>
              <w:tblStyle w:val="1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1759"/>
              <w:gridCol w:w="1664"/>
              <w:gridCol w:w="1739"/>
              <w:gridCol w:w="15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88" w:type="pc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2"/>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highlight w:val="none"/>
                      <w:vertAlign w:val="baseline"/>
                      <w:lang w:val="en-US" w:eastAsia="zh-CN"/>
                    </w:rPr>
                  </w:pPr>
                </w:p>
                <w:p>
                  <w:pPr>
                    <w:pStyle w:val="2"/>
                    <w:keepNext w:val="0"/>
                    <w:keepLines w:val="0"/>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距离（m）</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时间（s）</w:t>
                  </w:r>
                </w:p>
              </w:tc>
              <w:tc>
                <w:tcPr>
                  <w:tcW w:w="1002" w:type="pct"/>
                  <w:tcBorders>
                    <w:tl2br w:val="nil"/>
                    <w:tr2bl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1</w:t>
                  </w:r>
                </w:p>
              </w:tc>
              <w:tc>
                <w:tcPr>
                  <w:tcW w:w="948" w:type="pct"/>
                  <w:tcBorders>
                    <w:tl2br w:val="nil"/>
                    <w:tr2bl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10</w:t>
                  </w:r>
                </w:p>
              </w:tc>
              <w:tc>
                <w:tcPr>
                  <w:tcW w:w="991" w:type="pct"/>
                  <w:tcBorders>
                    <w:tl2br w:val="nil"/>
                    <w:tr2bl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eastAsia" w:ascii="Times New Roman" w:hAnsi="Times New Roman" w:cs="Times New Roman"/>
                      <w:b/>
                      <w:bCs/>
                      <w:color w:val="auto"/>
                      <w:kern w:val="2"/>
                      <w:sz w:val="21"/>
                      <w:szCs w:val="21"/>
                      <w:highlight w:val="none"/>
                      <w:vertAlign w:val="baseline"/>
                      <w:lang w:val="en-US" w:eastAsia="zh-CN"/>
                    </w:rPr>
                    <w:t>40</w:t>
                  </w:r>
                </w:p>
              </w:tc>
              <w:tc>
                <w:tcPr>
                  <w:tcW w:w="868" w:type="pct"/>
                  <w:tcBorders>
                    <w:tl2br w:val="nil"/>
                    <w:tr2bl w:val="nil"/>
                  </w:tcBorders>
                  <w:noWrap w:val="0"/>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7" w:hRule="atLeast"/>
                <w:jc w:val="center"/>
              </w:trPr>
              <w:tc>
                <w:tcPr>
                  <w:tcW w:w="11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0.5</w:t>
                  </w:r>
                </w:p>
              </w:tc>
              <w:tc>
                <w:tcPr>
                  <w:tcW w:w="100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400</w:t>
                  </w:r>
                </w:p>
              </w:tc>
              <w:tc>
                <w:tcPr>
                  <w:tcW w:w="94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4000</w:t>
                  </w:r>
                </w:p>
              </w:tc>
              <w:tc>
                <w:tcPr>
                  <w:tcW w:w="17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eastAsia="宋体" w:cs="Times New Roman"/>
                      <w:b w:val="0"/>
                      <w:bCs w:val="0"/>
                      <w:i w:val="0"/>
                      <w:color w:val="auto"/>
                      <w:kern w:val="0"/>
                      <w:sz w:val="21"/>
                      <w:szCs w:val="21"/>
                      <w:highlight w:val="none"/>
                      <w:u w:val="none"/>
                      <w:lang w:val="en-US" w:eastAsia="zh-CN" w:bidi="ar"/>
                    </w:rPr>
                    <w:t>16</w:t>
                  </w:r>
                  <w:r>
                    <w:rPr>
                      <w:rFonts w:hint="default" w:ascii="Times New Roman" w:hAnsi="Times New Roman" w:eastAsia="宋体" w:cs="Times New Roman"/>
                      <w:b w:val="0"/>
                      <w:bCs w:val="0"/>
                      <w:i w:val="0"/>
                      <w:color w:val="auto"/>
                      <w:kern w:val="0"/>
                      <w:sz w:val="21"/>
                      <w:szCs w:val="21"/>
                      <w:highlight w:val="none"/>
                      <w:u w:val="none"/>
                      <w:lang w:val="en-US" w:eastAsia="zh-CN" w:bidi="ar"/>
                    </w:rPr>
                    <w:t>000</w:t>
                  </w:r>
                </w:p>
              </w:tc>
              <w:tc>
                <w:tcPr>
                  <w:tcW w:w="8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48000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00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94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1000</w:t>
                  </w:r>
                </w:p>
              </w:tc>
              <w:tc>
                <w:tcPr>
                  <w:tcW w:w="17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黑体" w:cs="Times New Roman"/>
                      <w:b/>
                      <w:bCs/>
                      <w:i w:val="0"/>
                      <w:color w:val="auto"/>
                      <w:kern w:val="0"/>
                      <w:sz w:val="21"/>
                      <w:szCs w:val="21"/>
                      <w:highlight w:val="none"/>
                      <w:u w:val="none"/>
                      <w:lang w:val="en-US" w:eastAsia="zh-CN" w:bidi="ar"/>
                    </w:rPr>
                    <w:t>4000</w:t>
                  </w:r>
                </w:p>
              </w:tc>
              <w:tc>
                <w:tcPr>
                  <w:tcW w:w="8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00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94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250</w:t>
                  </w:r>
                </w:p>
              </w:tc>
              <w:tc>
                <w:tcPr>
                  <w:tcW w:w="17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100</w:t>
                  </w:r>
                  <w:r>
                    <w:rPr>
                      <w:rFonts w:hint="default" w:ascii="Times New Roman" w:hAnsi="Times New Roman" w:eastAsia="宋体" w:cs="Times New Roman"/>
                      <w:i w:val="0"/>
                      <w:color w:val="auto"/>
                      <w:kern w:val="0"/>
                      <w:sz w:val="21"/>
                      <w:szCs w:val="21"/>
                      <w:highlight w:val="none"/>
                      <w:u w:val="none"/>
                      <w:lang w:val="en-US" w:eastAsia="zh-CN" w:bidi="ar"/>
                    </w:rPr>
                    <w:t>0</w:t>
                  </w:r>
                </w:p>
              </w:tc>
              <w:tc>
                <w:tcPr>
                  <w:tcW w:w="8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00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6.3</w:t>
                  </w:r>
                </w:p>
              </w:tc>
              <w:tc>
                <w:tcPr>
                  <w:tcW w:w="94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62.5</w:t>
                  </w:r>
                </w:p>
              </w:tc>
              <w:tc>
                <w:tcPr>
                  <w:tcW w:w="17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250</w:t>
                  </w:r>
                </w:p>
              </w:tc>
              <w:tc>
                <w:tcPr>
                  <w:tcW w:w="8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750 </w:t>
                  </w:r>
                </w:p>
              </w:tc>
            </w:tr>
          </w:tbl>
          <w:p>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①通过计算，在以上假设事故情景下，人员误入</w:t>
            </w:r>
            <w:r>
              <w:rPr>
                <w:rFonts w:hint="default" w:ascii="Times New Roman" w:hAnsi="Times New Roman" w:cs="Times New Roman"/>
                <w:color w:val="auto"/>
                <w:sz w:val="24"/>
                <w:szCs w:val="24"/>
                <w:highlight w:val="none"/>
                <w:lang w:val="en-US" w:eastAsia="zh-CN"/>
              </w:rPr>
              <w:t>2分钟，</w:t>
            </w:r>
            <w:r>
              <w:rPr>
                <w:rFonts w:hint="default" w:ascii="Times New Roman" w:hAnsi="Times New Roman" w:eastAsia="宋体" w:cs="Times New Roman"/>
                <w:color w:val="auto"/>
                <w:sz w:val="24"/>
                <w:szCs w:val="24"/>
                <w:highlight w:val="none"/>
              </w:rPr>
              <w:t>受到</w:t>
            </w:r>
            <w:r>
              <w:rPr>
                <w:rFonts w:hint="default" w:ascii="Times New Roman" w:hAnsi="Times New Roman" w:cs="Times New Roman"/>
                <w:color w:val="auto"/>
                <w:sz w:val="24"/>
                <w:szCs w:val="24"/>
                <w:highlight w:val="none"/>
                <w:lang w:val="en-US" w:eastAsia="zh-CN"/>
              </w:rPr>
              <w:t>直线加速器</w:t>
            </w:r>
            <w:r>
              <w:rPr>
                <w:rFonts w:hint="default" w:ascii="Times New Roman" w:hAnsi="Times New Roman" w:eastAsia="宋体" w:cs="Times New Roman"/>
                <w:color w:val="auto"/>
                <w:sz w:val="24"/>
                <w:szCs w:val="24"/>
                <w:highlight w:val="none"/>
              </w:rPr>
              <w:t>非主射方向</w:t>
            </w:r>
            <w:r>
              <w:rPr>
                <w:rFonts w:hint="default" w:ascii="Times New Roman" w:hAnsi="Times New Roman" w:cs="Times New Roman"/>
                <w:color w:val="auto"/>
                <w:sz w:val="24"/>
                <w:szCs w:val="24"/>
                <w:highlight w:val="none"/>
                <w:lang w:val="en-US" w:eastAsia="zh-CN"/>
              </w:rPr>
              <w:t>0.5m处的辐射影响，其有效</w:t>
            </w:r>
            <w:r>
              <w:rPr>
                <w:rFonts w:hint="default" w:ascii="Times New Roman" w:hAnsi="Times New Roman" w:eastAsia="宋体" w:cs="Times New Roman"/>
                <w:color w:val="auto"/>
                <w:sz w:val="24"/>
                <w:szCs w:val="24"/>
                <w:highlight w:val="none"/>
              </w:rPr>
              <w:t>剂量为</w:t>
            </w:r>
            <w:r>
              <w:rPr>
                <w:rFonts w:hint="default" w:ascii="Times New Roman" w:hAnsi="Times New Roman"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mSv，超过人员年剂量限值（20mSv），</w:t>
            </w:r>
            <w:r>
              <w:rPr>
                <w:rFonts w:hint="default" w:ascii="Times New Roman" w:hAnsi="Times New Roman" w:cs="Times New Roman"/>
                <w:color w:val="auto"/>
                <w:sz w:val="24"/>
                <w:highlight w:val="none"/>
              </w:rPr>
              <w:t>结合表11-</w:t>
            </w:r>
            <w:r>
              <w:rPr>
                <w:rFonts w:hint="default" w:ascii="Times New Roman" w:hAnsi="Times New Roman" w:cs="Times New Roman"/>
                <w:color w:val="auto"/>
                <w:sz w:val="24"/>
                <w:highlight w:val="none"/>
                <w:lang w:val="en-US" w:eastAsia="zh-CN"/>
              </w:rPr>
              <w:t>26</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表11-27，</w:t>
            </w:r>
            <w:r>
              <w:rPr>
                <w:rFonts w:hint="default" w:ascii="Times New Roman" w:hAnsi="Times New Roman" w:eastAsia="宋体" w:cs="Times New Roman"/>
                <w:color w:val="auto"/>
                <w:sz w:val="24"/>
                <w:szCs w:val="24"/>
                <w:highlight w:val="none"/>
              </w:rPr>
              <w:t>为一般辐射事故。</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②通过计算，在以上假设事故情景下，维修人员受到直线加速器主射方向</w:t>
            </w:r>
            <w:r>
              <w:rPr>
                <w:rFonts w:hint="default" w:ascii="Times New Roman" w:hAnsi="Times New Roman" w:cs="Times New Roman"/>
                <w:color w:val="auto"/>
                <w:kern w:val="2"/>
                <w:sz w:val="24"/>
                <w:szCs w:val="24"/>
                <w:highlight w:val="none"/>
                <w:lang w:val="en-US" w:eastAsia="zh-CN"/>
              </w:rPr>
              <w:t>0.5m处10秒钟的辐射影响，其有效</w:t>
            </w:r>
            <w:r>
              <w:rPr>
                <w:rFonts w:hint="default" w:ascii="Times New Roman" w:hAnsi="Times New Roman" w:eastAsia="宋体" w:cs="Times New Roman"/>
                <w:color w:val="auto"/>
                <w:kern w:val="2"/>
                <w:sz w:val="24"/>
                <w:szCs w:val="24"/>
                <w:highlight w:val="none"/>
              </w:rPr>
              <w:t>剂量为</w:t>
            </w:r>
            <w:r>
              <w:rPr>
                <w:rFonts w:hint="default" w:ascii="Times New Roman" w:hAnsi="Times New Roman"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rPr>
              <w:t>Sv/次</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在</w:t>
            </w:r>
            <w:r>
              <w:rPr>
                <w:rFonts w:hint="default" w:ascii="Times New Roman" w:hAnsi="Times New Roman" w:cs="Times New Roman"/>
                <w:color w:val="auto"/>
                <w:kern w:val="2"/>
                <w:sz w:val="24"/>
                <w:szCs w:val="24"/>
                <w:highlight w:val="none"/>
                <w:lang w:val="en-US" w:eastAsia="zh-CN"/>
              </w:rPr>
              <w:t>1m处</w:t>
            </w:r>
            <w:r>
              <w:rPr>
                <w:rFonts w:hint="default" w:ascii="Times New Roman" w:hAnsi="Times New Roman" w:eastAsia="宋体" w:cs="Times New Roman"/>
                <w:color w:val="auto"/>
                <w:kern w:val="2"/>
                <w:sz w:val="24"/>
                <w:szCs w:val="24"/>
                <w:highlight w:val="none"/>
              </w:rPr>
              <w:t>受到直线加速器主射方向</w:t>
            </w:r>
            <w:r>
              <w:rPr>
                <w:rFonts w:hint="eastAsia" w:ascii="Times New Roman" w:hAnsi="Times New Roman" w:cs="Times New Roman"/>
                <w:color w:val="auto"/>
                <w:kern w:val="2"/>
                <w:sz w:val="24"/>
                <w:szCs w:val="24"/>
                <w:highlight w:val="none"/>
                <w:lang w:val="en-US" w:eastAsia="zh-CN"/>
              </w:rPr>
              <w:t>40</w:t>
            </w:r>
            <w:r>
              <w:rPr>
                <w:rFonts w:hint="default" w:ascii="Times New Roman" w:hAnsi="Times New Roman" w:cs="Times New Roman"/>
                <w:color w:val="auto"/>
                <w:kern w:val="2"/>
                <w:sz w:val="24"/>
                <w:szCs w:val="24"/>
                <w:highlight w:val="none"/>
                <w:lang w:val="en-US" w:eastAsia="zh-CN"/>
              </w:rPr>
              <w:t>秒钟的照射，其有效</w:t>
            </w:r>
            <w:r>
              <w:rPr>
                <w:rFonts w:hint="default" w:ascii="Times New Roman" w:hAnsi="Times New Roman" w:eastAsia="宋体" w:cs="Times New Roman"/>
                <w:color w:val="auto"/>
                <w:kern w:val="2"/>
                <w:sz w:val="24"/>
                <w:szCs w:val="24"/>
                <w:highlight w:val="none"/>
              </w:rPr>
              <w:t>剂量为</w:t>
            </w:r>
            <w:r>
              <w:rPr>
                <w:rFonts w:hint="eastAsia" w:ascii="Times New Roman" w:hAnsi="Times New Roman"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rPr>
              <w:t>Sv/次</w:t>
            </w:r>
            <w:r>
              <w:rPr>
                <w:rFonts w:hint="eastAsia" w:ascii="Times New Roman" w:hAnsi="Times New Roman"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根据《职业性外照射急性放射病诊断》（GBZ104-2017）表1所述：“骨髓型急性重度放射病的受照剂量范围参考值范围为4.0~6.0Gy”，</w:t>
            </w:r>
            <w:r>
              <w:rPr>
                <w:rFonts w:hint="default" w:ascii="Times New Roman" w:hAnsi="Times New Roman" w:eastAsia="宋体" w:cs="Times New Roman"/>
                <w:color w:val="auto"/>
                <w:kern w:val="2"/>
                <w:sz w:val="24"/>
                <w:szCs w:val="24"/>
                <w:highlight w:val="none"/>
                <w:lang w:val="en-US" w:eastAsia="zh-CN"/>
              </w:rPr>
              <w:t>结合</w:t>
            </w:r>
            <w:r>
              <w:rPr>
                <w:rFonts w:hint="default" w:ascii="Times New Roman" w:hAnsi="Times New Roman" w:cs="Times New Roman"/>
                <w:color w:val="auto"/>
                <w:kern w:val="2"/>
                <w:sz w:val="24"/>
                <w:highlight w:val="none"/>
              </w:rPr>
              <w:t>表11-</w:t>
            </w:r>
            <w:r>
              <w:rPr>
                <w:rFonts w:hint="default" w:ascii="Times New Roman" w:hAnsi="Times New Roman" w:cs="Times New Roman"/>
                <w:color w:val="auto"/>
                <w:kern w:val="2"/>
                <w:sz w:val="24"/>
                <w:highlight w:val="none"/>
                <w:lang w:val="en-US" w:eastAsia="zh-CN"/>
              </w:rPr>
              <w:t>26</w:t>
            </w:r>
            <w:r>
              <w:rPr>
                <w:rFonts w:hint="default" w:ascii="Times New Roman" w:hAnsi="Times New Roman" w:cs="Times New Roman"/>
                <w:color w:val="auto"/>
                <w:kern w:val="2"/>
                <w:sz w:val="24"/>
                <w:highlight w:val="none"/>
                <w:lang w:eastAsia="zh-CN"/>
              </w:rPr>
              <w:t>、</w:t>
            </w:r>
            <w:r>
              <w:rPr>
                <w:rFonts w:hint="default" w:ascii="Times New Roman" w:hAnsi="Times New Roman" w:cs="Times New Roman"/>
                <w:color w:val="auto"/>
                <w:kern w:val="2"/>
                <w:sz w:val="24"/>
                <w:highlight w:val="none"/>
                <w:lang w:val="en-US" w:eastAsia="zh-CN"/>
              </w:rPr>
              <w:t>表11-27，</w:t>
            </w:r>
            <w:r>
              <w:rPr>
                <w:rFonts w:hint="default" w:ascii="Times New Roman" w:hAnsi="Times New Roman" w:eastAsia="宋体" w:cs="Times New Roman"/>
                <w:color w:val="auto"/>
                <w:kern w:val="2"/>
                <w:sz w:val="24"/>
                <w:szCs w:val="24"/>
                <w:highlight w:val="none"/>
                <w:lang w:val="en-US" w:eastAsia="zh-CN"/>
              </w:rPr>
              <w:t>上述事故后果</w:t>
            </w:r>
            <w:r>
              <w:rPr>
                <w:rFonts w:hint="default" w:ascii="Times New Roman" w:hAnsi="Times New Roman" w:eastAsia="宋体" w:cs="Times New Roman"/>
                <w:color w:val="auto"/>
                <w:kern w:val="2"/>
                <w:sz w:val="24"/>
                <w:szCs w:val="24"/>
                <w:highlight w:val="none"/>
              </w:rPr>
              <w:t>为</w:t>
            </w:r>
            <w:r>
              <w:rPr>
                <w:rFonts w:hint="eastAsia" w:ascii="Times New Roman" w:hAnsi="Times New Roman" w:cs="Times New Roman"/>
                <w:color w:val="auto"/>
                <w:kern w:val="2"/>
                <w:sz w:val="24"/>
                <w:szCs w:val="24"/>
                <w:highlight w:val="none"/>
                <w:lang w:val="en-US" w:eastAsia="zh-CN"/>
              </w:rPr>
              <w:t>重</w:t>
            </w:r>
            <w:r>
              <w:rPr>
                <w:rFonts w:hint="default" w:ascii="Times New Roman" w:hAnsi="Times New Roman" w:eastAsia="宋体" w:cs="Times New Roman"/>
                <w:color w:val="auto"/>
                <w:kern w:val="2"/>
                <w:sz w:val="24"/>
                <w:szCs w:val="24"/>
                <w:highlight w:val="none"/>
              </w:rPr>
              <w:t>大辐射事故</w:t>
            </w:r>
            <w:r>
              <w:rPr>
                <w:rFonts w:hint="default" w:ascii="Times New Roman" w:hAnsi="Times New Roman" w:cs="Times New Roman"/>
                <w:color w:val="auto"/>
                <w:kern w:val="2"/>
                <w:sz w:val="24"/>
                <w:highlight w:val="none"/>
              </w:rPr>
              <w:t>。</w:t>
            </w:r>
          </w:p>
          <w:p>
            <w:pPr>
              <w:pStyle w:val="31"/>
              <w:keepNext/>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MV直线加速器事故的后果计算</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本次评价以</w:t>
            </w:r>
            <w:r>
              <w:rPr>
                <w:rFonts w:hint="default" w:ascii="Times New Roman" w:hAnsi="Times New Roman" w:cs="Times New Roman"/>
                <w:color w:val="auto"/>
                <w:sz w:val="24"/>
                <w:highlight w:val="none"/>
                <w:lang w:val="en-US" w:eastAsia="zh-CN"/>
              </w:rPr>
              <w:t>X射线能量较高的</w:t>
            </w:r>
            <w:r>
              <w:rPr>
                <w:rFonts w:hint="default" w:ascii="Times New Roman" w:hAnsi="Times New Roman" w:cs="Times New Roman"/>
                <w:bCs/>
                <w:color w:val="auto"/>
                <w:sz w:val="24"/>
                <w:highlight w:val="none"/>
                <w:lang w:eastAsia="zh-CN"/>
              </w:rPr>
              <w:t>1</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lang w:eastAsia="zh-CN"/>
              </w:rPr>
              <w:t>MV</w:t>
            </w:r>
            <w:r>
              <w:rPr>
                <w:rFonts w:hint="default" w:ascii="Times New Roman" w:hAnsi="Times New Roman" w:cs="Times New Roman"/>
                <w:bCs/>
                <w:color w:val="auto"/>
                <w:sz w:val="24"/>
                <w:highlight w:val="none"/>
              </w:rPr>
              <w:t>直线加速器</w:t>
            </w:r>
            <w:r>
              <w:rPr>
                <w:rFonts w:hint="default" w:ascii="Times New Roman" w:hAnsi="Times New Roman" w:cs="Times New Roman"/>
                <w:bCs/>
                <w:color w:val="auto"/>
                <w:sz w:val="24"/>
                <w:highlight w:val="none"/>
                <w:lang w:val="en-US" w:eastAsia="zh-CN"/>
              </w:rPr>
              <w:t>进行事故分析，在其</w:t>
            </w:r>
            <w:r>
              <w:rPr>
                <w:rFonts w:hint="default" w:ascii="Times New Roman" w:hAnsi="Times New Roman" w:cs="Times New Roman"/>
                <w:bCs/>
                <w:color w:val="auto"/>
                <w:sz w:val="24"/>
                <w:highlight w:val="none"/>
              </w:rPr>
              <w:t>治疗过程中，其它无关人员误入或滞留</w:t>
            </w:r>
            <w:r>
              <w:rPr>
                <w:rFonts w:hint="default" w:ascii="Times New Roman" w:hAnsi="Times New Roman" w:cs="Times New Roman"/>
                <w:bCs/>
                <w:color w:val="auto"/>
                <w:sz w:val="24"/>
                <w:highlight w:val="none"/>
                <w:lang w:val="en-US" w:eastAsia="zh-CN"/>
              </w:rPr>
              <w:t>治疗室</w:t>
            </w:r>
            <w:r>
              <w:rPr>
                <w:rFonts w:hint="default" w:ascii="Times New Roman" w:hAnsi="Times New Roman" w:cs="Times New Roman"/>
                <w:bCs/>
                <w:color w:val="auto"/>
                <w:sz w:val="24"/>
                <w:highlight w:val="none"/>
              </w:rPr>
              <w:t>内为例进行事故后果计算。</w:t>
            </w:r>
          </w:p>
          <w:p>
            <w:pPr>
              <w:keepNext/>
              <w:keepLines w:val="0"/>
              <w:suppressLineNumbers w:val="0"/>
              <w:spacing w:before="0" w:beforeAutospacing="0" w:after="0" w:afterAutospacing="0" w:line="360" w:lineRule="auto"/>
              <w:ind w:left="0" w:right="0"/>
              <w:rPr>
                <w:rFonts w:hint="default" w:ascii="Times New Roman" w:hAnsi="Times New Roman" w:eastAsia="黑体" w:cs="Times New Roman"/>
                <w:bCs/>
                <w:color w:val="auto"/>
                <w:kern w:val="0"/>
                <w:sz w:val="24"/>
                <w:szCs w:val="24"/>
                <w:highlight w:val="none"/>
                <w:lang w:val="en-US" w:eastAsia="zh-CN" w:bidi="ar-SA"/>
              </w:rPr>
            </w:pPr>
            <w:r>
              <w:rPr>
                <w:rFonts w:hint="default" w:ascii="Times New Roman" w:hAnsi="Times New Roman" w:eastAsia="黑体" w:cs="Times New Roman"/>
                <w:bCs/>
                <w:color w:val="auto"/>
                <w:kern w:val="0"/>
                <w:sz w:val="24"/>
                <w:szCs w:val="24"/>
                <w:highlight w:val="none"/>
                <w:lang w:val="en-US" w:eastAsia="zh-CN" w:bidi="ar-SA"/>
              </w:rPr>
              <w:t>（1）事故情景假设</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①</w:t>
            </w:r>
            <w:r>
              <w:rPr>
                <w:rFonts w:hint="default" w:ascii="Times New Roman" w:hAnsi="Times New Roman" w:cs="Times New Roman"/>
                <w:color w:val="auto"/>
                <w:kern w:val="2"/>
                <w:highlight w:val="none"/>
              </w:rPr>
              <w:t>在对病人进行治疗时，</w:t>
            </w:r>
            <w:r>
              <w:rPr>
                <w:rFonts w:hint="default" w:ascii="Times New Roman" w:hAnsi="Times New Roman" w:cs="Times New Roman"/>
                <w:color w:val="auto"/>
                <w:kern w:val="2"/>
                <w:highlight w:val="none"/>
                <w:lang w:eastAsia="zh-CN"/>
              </w:rPr>
              <w:t>1</w:t>
            </w:r>
            <w:r>
              <w:rPr>
                <w:rFonts w:hint="default" w:ascii="Times New Roman" w:hAnsi="Times New Roman" w:cs="Times New Roman"/>
                <w:color w:val="auto"/>
                <w:kern w:val="2"/>
                <w:highlight w:val="none"/>
                <w:lang w:val="en-US" w:eastAsia="zh-CN"/>
              </w:rPr>
              <w:t>5</w:t>
            </w:r>
            <w:r>
              <w:rPr>
                <w:rFonts w:hint="default" w:ascii="Times New Roman" w:hAnsi="Times New Roman" w:cs="Times New Roman"/>
                <w:color w:val="auto"/>
                <w:kern w:val="2"/>
                <w:highlight w:val="none"/>
                <w:lang w:eastAsia="zh-CN"/>
              </w:rPr>
              <w:t>MV</w:t>
            </w:r>
            <w:r>
              <w:rPr>
                <w:rFonts w:hint="default" w:ascii="Times New Roman" w:hAnsi="Times New Roman" w:cs="Times New Roman"/>
                <w:color w:val="auto"/>
                <w:kern w:val="2"/>
                <w:highlight w:val="none"/>
              </w:rPr>
              <w:t>直线加速器主射束1m处剂量率为最大值</w:t>
            </w:r>
            <w:r>
              <w:rPr>
                <w:rFonts w:hint="default" w:ascii="Times New Roman" w:hAnsi="Times New Roman" w:cs="Times New Roman"/>
                <w:color w:val="auto"/>
                <w:kern w:val="2"/>
                <w:highlight w:val="none"/>
                <w:lang w:val="en-US" w:eastAsia="zh-CN"/>
              </w:rPr>
              <w:t>24</w:t>
            </w:r>
            <w:r>
              <w:rPr>
                <w:rFonts w:hint="default" w:ascii="Times New Roman" w:hAnsi="Times New Roman" w:cs="Times New Roman"/>
                <w:color w:val="auto"/>
                <w:kern w:val="2"/>
                <w:highlight w:val="none"/>
              </w:rPr>
              <w:t>Gy/min，假设考虑安全联锁失效，</w:t>
            </w:r>
            <w:r>
              <w:rPr>
                <w:rFonts w:hint="default" w:ascii="Times New Roman" w:hAnsi="Times New Roman" w:eastAsia="宋体" w:cs="Times New Roman"/>
                <w:color w:val="auto"/>
                <w:kern w:val="2"/>
                <w:sz w:val="24"/>
                <w:szCs w:val="24"/>
                <w:highlight w:val="none"/>
              </w:rPr>
              <w:t>人员在无其它屏蔽的情况下处于加速器照射头射束1m处的</w:t>
            </w:r>
            <w:r>
              <w:rPr>
                <w:rFonts w:hint="default" w:ascii="Times New Roman" w:hAnsi="Times New Roman" w:cs="Times New Roman"/>
                <w:color w:val="auto"/>
                <w:kern w:val="2"/>
                <w:sz w:val="24"/>
                <w:szCs w:val="24"/>
                <w:highlight w:val="none"/>
                <w:lang w:val="en-US" w:eastAsia="zh-CN"/>
              </w:rPr>
              <w:t>非主射</w:t>
            </w:r>
            <w:r>
              <w:rPr>
                <w:rFonts w:hint="default" w:ascii="Times New Roman" w:hAnsi="Times New Roman" w:eastAsia="宋体" w:cs="Times New Roman"/>
                <w:color w:val="auto"/>
                <w:kern w:val="2"/>
                <w:sz w:val="24"/>
                <w:szCs w:val="24"/>
                <w:highlight w:val="none"/>
              </w:rPr>
              <w:t>方向</w:t>
            </w:r>
            <w:r>
              <w:rPr>
                <w:rFonts w:hint="default"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lang w:val="en-US" w:eastAsia="zh-CN"/>
              </w:rPr>
              <w:t>受到散射和漏射的影响</w:t>
            </w:r>
            <w:r>
              <w:rPr>
                <w:rFonts w:hint="default" w:ascii="Times New Roman" w:hAnsi="Times New Roman" w:eastAsia="宋体"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加速器</w:t>
            </w:r>
            <w:r>
              <w:rPr>
                <w:rFonts w:hint="default" w:ascii="Times New Roman" w:hAnsi="Times New Roman" w:eastAsia="宋体" w:cs="Times New Roman"/>
                <w:color w:val="auto"/>
                <w:kern w:val="2"/>
                <w:sz w:val="24"/>
                <w:szCs w:val="24"/>
                <w:highlight w:val="none"/>
              </w:rPr>
              <w:t>散射束</w:t>
            </w:r>
            <w:r>
              <w:rPr>
                <w:rFonts w:hint="default" w:ascii="Times New Roman" w:hAnsi="Times New Roman" w:cs="Times New Roman"/>
                <w:color w:val="auto"/>
                <w:kern w:val="2"/>
                <w:sz w:val="24"/>
                <w:szCs w:val="24"/>
                <w:highlight w:val="none"/>
                <w:lang w:val="en-US" w:eastAsia="zh-CN"/>
              </w:rPr>
              <w:t>和漏射</w:t>
            </w:r>
            <w:r>
              <w:rPr>
                <w:rFonts w:hint="default" w:ascii="Times New Roman" w:hAnsi="Times New Roman" w:eastAsia="宋体" w:cs="Times New Roman"/>
                <w:color w:val="auto"/>
                <w:kern w:val="2"/>
                <w:sz w:val="24"/>
                <w:szCs w:val="24"/>
                <w:highlight w:val="none"/>
              </w:rPr>
              <w:t>束的空气比释动能率</w:t>
            </w:r>
            <w:r>
              <w:rPr>
                <w:rFonts w:hint="default" w:ascii="Times New Roman" w:hAnsi="Times New Roman" w:cs="Times New Roman"/>
                <w:color w:val="auto"/>
                <w:kern w:val="2"/>
                <w:sz w:val="24"/>
                <w:szCs w:val="24"/>
                <w:highlight w:val="none"/>
                <w:lang w:val="en-US" w:eastAsia="zh-CN"/>
              </w:rPr>
              <w:t>均</w:t>
            </w:r>
            <w:r>
              <w:rPr>
                <w:rFonts w:hint="default" w:ascii="Times New Roman" w:hAnsi="Times New Roman" w:eastAsia="宋体" w:cs="Times New Roman"/>
                <w:color w:val="auto"/>
                <w:kern w:val="2"/>
                <w:sz w:val="24"/>
                <w:szCs w:val="24"/>
                <w:highlight w:val="none"/>
              </w:rPr>
              <w:t>取主射束方向的</w:t>
            </w:r>
            <w:r>
              <w:rPr>
                <w:rFonts w:hint="default" w:ascii="Times New Roman" w:hAnsi="Times New Roman" w:cs="Times New Roman"/>
                <w:color w:val="auto"/>
                <w:kern w:val="2"/>
                <w:sz w:val="24"/>
                <w:szCs w:val="24"/>
                <w:highlight w:val="none"/>
                <w:lang w:val="en-US" w:eastAsia="zh-CN"/>
              </w:rPr>
              <w:t>0.</w:t>
            </w:r>
            <w:r>
              <w:rPr>
                <w:rFonts w:hint="default" w:ascii="Times New Roman" w:hAnsi="Times New Roman" w:eastAsia="宋体" w:cs="Times New Roman"/>
                <w:color w:val="auto"/>
                <w:kern w:val="2"/>
                <w:sz w:val="24"/>
                <w:szCs w:val="24"/>
                <w:highlight w:val="none"/>
              </w:rPr>
              <w:t>1%，每次误入照射时间为</w:t>
            </w:r>
            <w:r>
              <w:rPr>
                <w:rFonts w:hint="default" w:ascii="Times New Roman" w:hAnsi="Times New Roman" w:cs="Times New Roman"/>
                <w:color w:val="auto"/>
                <w:kern w:val="2"/>
                <w:highlight w:val="none"/>
                <w:lang w:val="en-US" w:eastAsia="zh-CN"/>
              </w:rPr>
              <w:t>2</w:t>
            </w:r>
            <w:r>
              <w:rPr>
                <w:rFonts w:hint="default" w:ascii="Times New Roman" w:hAnsi="Times New Roman" w:eastAsia="宋体" w:cs="Times New Roman"/>
                <w:color w:val="auto"/>
                <w:kern w:val="2"/>
                <w:sz w:val="24"/>
                <w:szCs w:val="24"/>
                <w:highlight w:val="none"/>
              </w:rPr>
              <w:t>min</w:t>
            </w:r>
            <w:r>
              <w:rPr>
                <w:rFonts w:hint="default" w:ascii="Times New Roman" w:hAnsi="Times New Roman" w:cs="Times New Roman"/>
                <w:color w:val="auto"/>
                <w:kern w:val="2"/>
                <w:highlight w:val="none"/>
                <w:lang w:val="en-US" w:eastAsia="zh-CN"/>
              </w:rPr>
              <w:t>（单次照射最长时间）</w:t>
            </w:r>
            <w:r>
              <w:rPr>
                <w:rFonts w:hint="default" w:ascii="Times New Roman" w:hAnsi="Times New Roman" w:cs="Times New Roman"/>
                <w:color w:val="auto"/>
                <w:kern w:val="2"/>
                <w:highlight w:val="none"/>
              </w:rPr>
              <w:t>。</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②</w:t>
            </w:r>
            <w:r>
              <w:rPr>
                <w:rFonts w:hint="default" w:ascii="Times New Roman" w:hAnsi="Times New Roman" w:eastAsia="宋体" w:cs="Times New Roman"/>
                <w:color w:val="auto"/>
                <w:kern w:val="2"/>
                <w:sz w:val="24"/>
                <w:szCs w:val="24"/>
                <w:highlight w:val="none"/>
              </w:rPr>
              <w:t>在维修人员进行检修时</w:t>
            </w:r>
            <w:r>
              <w:rPr>
                <w:rFonts w:hint="default"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lang w:val="en-US" w:eastAsia="zh-CN"/>
              </w:rPr>
              <w:t>检修人员必须佩戴个人剂量计和剂量报警仪</w:t>
            </w:r>
            <w:r>
              <w:rPr>
                <w:rFonts w:hint="default" w:ascii="Times New Roman" w:hAnsi="Times New Roman" w:eastAsia="宋体" w:cs="Times New Roman"/>
                <w:color w:val="auto"/>
                <w:kern w:val="2"/>
                <w:sz w:val="24"/>
                <w:szCs w:val="24"/>
                <w:highlight w:val="none"/>
              </w:rPr>
              <w:t>，假设触动直线加速器开关，造成维修人员在无其它屏蔽的情况下处于加速器照射头射束</w:t>
            </w:r>
            <w:r>
              <w:rPr>
                <w:rFonts w:hint="default" w:ascii="Times New Roman" w:hAnsi="Times New Roman" w:cs="Times New Roman"/>
                <w:color w:val="auto"/>
                <w:kern w:val="2"/>
                <w:sz w:val="24"/>
                <w:szCs w:val="24"/>
                <w:highlight w:val="none"/>
                <w:lang w:val="en-US" w:eastAsia="zh-CN"/>
              </w:rPr>
              <w:t>0.5</w:t>
            </w:r>
            <w:r>
              <w:rPr>
                <w:rFonts w:hint="default" w:ascii="Times New Roman" w:hAnsi="Times New Roman" w:eastAsia="宋体" w:cs="Times New Roman"/>
                <w:color w:val="auto"/>
                <w:kern w:val="2"/>
                <w:sz w:val="24"/>
                <w:szCs w:val="24"/>
                <w:highlight w:val="none"/>
              </w:rPr>
              <w:t>m处的</w:t>
            </w:r>
            <w:r>
              <w:rPr>
                <w:rFonts w:hint="default" w:ascii="Times New Roman" w:hAnsi="Times New Roman" w:cs="Times New Roman"/>
                <w:color w:val="auto"/>
                <w:kern w:val="2"/>
                <w:sz w:val="24"/>
                <w:szCs w:val="24"/>
                <w:highlight w:val="none"/>
                <w:lang w:val="en-US" w:eastAsia="zh-CN"/>
              </w:rPr>
              <w:t>主</w:t>
            </w:r>
            <w:r>
              <w:rPr>
                <w:rFonts w:hint="default" w:ascii="Times New Roman" w:hAnsi="Times New Roman" w:eastAsia="宋体" w:cs="Times New Roman"/>
                <w:color w:val="auto"/>
                <w:kern w:val="2"/>
                <w:sz w:val="24"/>
                <w:szCs w:val="24"/>
                <w:highlight w:val="none"/>
              </w:rPr>
              <w:t>射方向，</w:t>
            </w:r>
            <w:r>
              <w:rPr>
                <w:rFonts w:hint="default" w:ascii="Times New Roman" w:hAnsi="Times New Roman" w:cs="Times New Roman"/>
                <w:color w:val="auto"/>
                <w:kern w:val="2"/>
                <w:highlight w:val="none"/>
                <w:lang w:eastAsia="zh-CN"/>
              </w:rPr>
              <w:t>1</w:t>
            </w:r>
            <w:r>
              <w:rPr>
                <w:rFonts w:hint="default" w:ascii="Times New Roman" w:hAnsi="Times New Roman" w:cs="Times New Roman"/>
                <w:color w:val="auto"/>
                <w:kern w:val="2"/>
                <w:highlight w:val="none"/>
                <w:lang w:val="en-US" w:eastAsia="zh-CN"/>
              </w:rPr>
              <w:t>5</w:t>
            </w:r>
            <w:r>
              <w:rPr>
                <w:rFonts w:hint="default" w:ascii="Times New Roman" w:hAnsi="Times New Roman" w:cs="Times New Roman"/>
                <w:color w:val="auto"/>
                <w:kern w:val="2"/>
                <w:highlight w:val="none"/>
                <w:lang w:eastAsia="zh-CN"/>
              </w:rPr>
              <w:t>MV</w:t>
            </w:r>
            <w:r>
              <w:rPr>
                <w:rFonts w:hint="default" w:ascii="Times New Roman" w:hAnsi="Times New Roman" w:cs="Times New Roman"/>
                <w:color w:val="auto"/>
                <w:kern w:val="2"/>
                <w:highlight w:val="none"/>
              </w:rPr>
              <w:t>直线加速器主射束1m处剂量率为最大值</w:t>
            </w:r>
            <w:r>
              <w:rPr>
                <w:rFonts w:hint="default" w:ascii="Times New Roman" w:hAnsi="Times New Roman" w:cs="Times New Roman"/>
                <w:color w:val="auto"/>
                <w:kern w:val="2"/>
                <w:highlight w:val="none"/>
                <w:lang w:val="en-US" w:eastAsia="zh-CN"/>
              </w:rPr>
              <w:t>24</w:t>
            </w:r>
            <w:r>
              <w:rPr>
                <w:rFonts w:hint="default" w:ascii="Times New Roman" w:hAnsi="Times New Roman" w:cs="Times New Roman"/>
                <w:color w:val="auto"/>
                <w:kern w:val="2"/>
                <w:highlight w:val="none"/>
              </w:rPr>
              <w:t>Gy/min，每次误入照射时间为</w:t>
            </w:r>
            <w:r>
              <w:rPr>
                <w:rFonts w:hint="eastAsia" w:ascii="Times New Roman" w:hAnsi="Times New Roman" w:cs="Times New Roman"/>
                <w:color w:val="auto"/>
                <w:kern w:val="2"/>
                <w:highlight w:val="none"/>
                <w:lang w:val="en-US" w:eastAsia="zh-CN"/>
              </w:rPr>
              <w:t>40s</w:t>
            </w:r>
            <w:r>
              <w:rPr>
                <w:rFonts w:hint="default" w:ascii="Times New Roman" w:hAnsi="Times New Roman" w:cs="Times New Roman"/>
                <w:color w:val="auto"/>
                <w:kern w:val="2"/>
                <w:highlight w:val="none"/>
              </w:rPr>
              <w:t>。</w:t>
            </w:r>
          </w:p>
          <w:p>
            <w:pPr>
              <w:keepNext/>
              <w:keepLines w:val="0"/>
              <w:numPr>
                <w:ilvl w:val="0"/>
                <w:numId w:val="0"/>
              </w:numPr>
              <w:suppressLineNumbers w:val="0"/>
              <w:spacing w:before="0" w:beforeAutospacing="0" w:after="0" w:afterAutospacing="0" w:line="360" w:lineRule="auto"/>
              <w:ind w:left="0" w:right="0" w:rightChars="0"/>
              <w:rPr>
                <w:rFonts w:hint="default" w:ascii="Times New Roman" w:hAnsi="Times New Roman" w:eastAsia="黑体" w:cs="Times New Roman"/>
                <w:bCs/>
                <w:color w:val="auto"/>
                <w:kern w:val="0"/>
                <w:sz w:val="24"/>
                <w:szCs w:val="24"/>
                <w:highlight w:val="none"/>
                <w:lang w:val="en-US" w:eastAsia="zh-CN" w:bidi="ar-SA"/>
              </w:rPr>
            </w:pPr>
            <w:r>
              <w:rPr>
                <w:rFonts w:hint="default" w:ascii="Times New Roman" w:hAnsi="Times New Roman" w:eastAsia="黑体" w:cs="Times New Roman"/>
                <w:bCs/>
                <w:color w:val="auto"/>
                <w:kern w:val="0"/>
                <w:sz w:val="24"/>
                <w:szCs w:val="24"/>
                <w:highlight w:val="none"/>
                <w:lang w:val="en-US" w:eastAsia="zh-CN" w:bidi="ar-SA"/>
              </w:rPr>
              <w:t>（2）后果计算与分析</w:t>
            </w:r>
          </w:p>
          <w:p>
            <w:pPr>
              <w:keepNext w:val="0"/>
              <w:keepLines w:val="0"/>
              <w:suppressLineNumbers w:val="0"/>
              <w:spacing w:before="9" w:beforeAutospacing="0" w:after="0" w:afterAutospacing="0"/>
              <w:ind w:left="0" w:right="61" w:firstLine="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Times New Roman" w:cs="Times New Roman"/>
                <w:b/>
                <w:bCs/>
                <w:color w:val="auto"/>
                <w:sz w:val="21"/>
                <w:szCs w:val="21"/>
                <w:highlight w:val="none"/>
              </w:rPr>
              <w:t>11-</w:t>
            </w:r>
            <w:r>
              <w:rPr>
                <w:rFonts w:hint="default" w:ascii="Times New Roman" w:hAnsi="Times New Roman" w:cs="Times New Roman"/>
                <w:b/>
                <w:bCs/>
                <w:color w:val="auto"/>
                <w:sz w:val="21"/>
                <w:szCs w:val="21"/>
                <w:highlight w:val="none"/>
                <w:lang w:val="en-US" w:eastAsia="zh-CN"/>
              </w:rPr>
              <w:t>3</w:t>
            </w:r>
            <w:r>
              <w:rPr>
                <w:rFonts w:hint="eastAsia" w:ascii="Times New Roman" w:hAnsi="Times New Roman" w:cs="Times New Roman"/>
                <w:b/>
                <w:bCs/>
                <w:color w:val="auto"/>
                <w:sz w:val="21"/>
                <w:szCs w:val="21"/>
                <w:highlight w:val="none"/>
                <w:lang w:val="en-US" w:eastAsia="zh-CN"/>
              </w:rPr>
              <w:t>0</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kern w:val="2"/>
                <w:sz w:val="21"/>
                <w:szCs w:val="21"/>
                <w:highlight w:val="none"/>
              </w:rPr>
              <w:t>1</w:t>
            </w:r>
            <w:r>
              <w:rPr>
                <w:rFonts w:hint="default" w:ascii="Times New Roman" w:hAnsi="Times New Roman" w:cs="Times New Roman"/>
                <w:b/>
                <w:bCs/>
                <w:color w:val="auto"/>
                <w:kern w:val="2"/>
                <w:sz w:val="21"/>
                <w:szCs w:val="21"/>
                <w:highlight w:val="none"/>
                <w:lang w:val="en-US" w:eastAsia="zh-CN"/>
              </w:rPr>
              <w:t>5</w:t>
            </w:r>
            <w:r>
              <w:rPr>
                <w:rFonts w:hint="default" w:ascii="Times New Roman" w:hAnsi="Times New Roman" w:eastAsia="宋体" w:cs="Times New Roman"/>
                <w:b/>
                <w:bCs/>
                <w:color w:val="auto"/>
                <w:kern w:val="2"/>
                <w:sz w:val="21"/>
                <w:szCs w:val="21"/>
                <w:highlight w:val="none"/>
              </w:rPr>
              <w:t>MV</w:t>
            </w:r>
            <w:r>
              <w:rPr>
                <w:rFonts w:hint="default" w:ascii="Times New Roman" w:hAnsi="Times New Roman" w:cs="Times New Roman"/>
                <w:b/>
                <w:bCs/>
                <w:color w:val="auto"/>
                <w:sz w:val="21"/>
                <w:szCs w:val="21"/>
                <w:highlight w:val="none"/>
                <w:lang w:val="en-US" w:eastAsia="zh-CN"/>
              </w:rPr>
              <w:t>直线加速器事故状态下非主射方向不同时间、距离处有效剂量情况表</w:t>
            </w:r>
            <w:r>
              <w:rPr>
                <w:rFonts w:hint="default" w:ascii="Times New Roman" w:hAnsi="Times New Roman" w:eastAsia="宋体" w:cs="Times New Roman"/>
                <w:b/>
                <w:i w:val="0"/>
                <w:color w:val="auto"/>
                <w:kern w:val="0"/>
                <w:sz w:val="21"/>
                <w:szCs w:val="21"/>
                <w:highlight w:val="none"/>
                <w:u w:val="none"/>
                <w:lang w:val="en-US" w:eastAsia="zh-CN" w:bidi="ar"/>
              </w:rPr>
              <w:t>（</w:t>
            </w:r>
            <w:r>
              <w:rPr>
                <w:rStyle w:val="32"/>
                <w:rFonts w:hint="default" w:ascii="Times New Roman" w:hAnsi="Times New Roman" w:eastAsia="宋体" w:cs="Times New Roman"/>
                <w:color w:val="auto"/>
                <w:highlight w:val="none"/>
                <w:lang w:val="en-US" w:eastAsia="zh-CN" w:bidi="ar"/>
              </w:rPr>
              <w:t>mSv</w:t>
            </w:r>
            <w:r>
              <w:rPr>
                <w:rStyle w:val="33"/>
                <w:rFonts w:hint="default" w:ascii="Times New Roman" w:hAnsi="Times New Roman" w:cs="Times New Roman"/>
                <w:color w:val="auto"/>
                <w:highlight w:val="none"/>
                <w:lang w:val="en-US" w:eastAsia="zh-CN" w:bidi="ar"/>
              </w:rPr>
              <w:t>）</w:t>
            </w:r>
          </w:p>
          <w:tbl>
            <w:tblPr>
              <w:tblStyle w:val="18"/>
              <w:tblW w:w="8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9"/>
              <w:gridCol w:w="2030"/>
              <w:gridCol w:w="2121"/>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639"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2"/>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highlight w:val="none"/>
                      <w:vertAlign w:val="baseline"/>
                      <w:lang w:val="en-US" w:eastAsia="zh-CN"/>
                    </w:rPr>
                  </w:pPr>
                </w:p>
                <w:p>
                  <w:pPr>
                    <w:pStyle w:val="2"/>
                    <w:keepNext w:val="0"/>
                    <w:keepLines w:val="0"/>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距离（m）</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时间（s）</w:t>
                  </w:r>
                </w:p>
              </w:tc>
              <w:tc>
                <w:tcPr>
                  <w:tcW w:w="203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kern w:val="2"/>
                      <w:sz w:val="21"/>
                      <w:szCs w:val="21"/>
                      <w:highlight w:val="none"/>
                      <w:vertAlign w:val="baseline"/>
                      <w:lang w:val="en-US" w:eastAsia="zh-CN"/>
                    </w:rPr>
                    <w:t>10</w:t>
                  </w:r>
                </w:p>
              </w:tc>
              <w:tc>
                <w:tcPr>
                  <w:tcW w:w="2121"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kern w:val="2"/>
                      <w:sz w:val="21"/>
                      <w:szCs w:val="21"/>
                      <w:highlight w:val="none"/>
                      <w:vertAlign w:val="baseline"/>
                      <w:lang w:val="en-US" w:eastAsia="zh-CN"/>
                    </w:rPr>
                    <w:t>60</w:t>
                  </w:r>
                </w:p>
              </w:tc>
              <w:tc>
                <w:tcPr>
                  <w:tcW w:w="2048"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639"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0.5</w:t>
                  </w:r>
                </w:p>
              </w:tc>
              <w:tc>
                <w:tcPr>
                  <w:tcW w:w="203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16</w:t>
                  </w:r>
                </w:p>
              </w:tc>
              <w:tc>
                <w:tcPr>
                  <w:tcW w:w="2121"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96</w:t>
                  </w:r>
                </w:p>
              </w:tc>
              <w:tc>
                <w:tcPr>
                  <w:tcW w:w="2048"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639"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w:t>
                  </w:r>
                </w:p>
              </w:tc>
              <w:tc>
                <w:tcPr>
                  <w:tcW w:w="203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4</w:t>
                  </w:r>
                </w:p>
              </w:tc>
              <w:tc>
                <w:tcPr>
                  <w:tcW w:w="2121"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24</w:t>
                  </w:r>
                </w:p>
              </w:tc>
              <w:tc>
                <w:tcPr>
                  <w:tcW w:w="2048"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639"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2</w:t>
                  </w:r>
                </w:p>
              </w:tc>
              <w:tc>
                <w:tcPr>
                  <w:tcW w:w="203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0.5</w:t>
                  </w:r>
                </w:p>
              </w:tc>
              <w:tc>
                <w:tcPr>
                  <w:tcW w:w="2121"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6</w:t>
                  </w:r>
                </w:p>
              </w:tc>
              <w:tc>
                <w:tcPr>
                  <w:tcW w:w="2048"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639"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5</w:t>
                  </w:r>
                </w:p>
              </w:tc>
              <w:tc>
                <w:tcPr>
                  <w:tcW w:w="203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0.16</w:t>
                  </w:r>
                </w:p>
              </w:tc>
              <w:tc>
                <w:tcPr>
                  <w:tcW w:w="2121"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0.96</w:t>
                  </w:r>
                </w:p>
              </w:tc>
              <w:tc>
                <w:tcPr>
                  <w:tcW w:w="2048"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1.92</w:t>
                  </w:r>
                </w:p>
              </w:tc>
            </w:tr>
          </w:tbl>
          <w:p>
            <w:pPr>
              <w:keepNext w:val="0"/>
              <w:keepLines w:val="0"/>
              <w:suppressLineNumbers w:val="0"/>
              <w:spacing w:before="9" w:beforeAutospacing="0" w:after="0" w:afterAutospacing="0"/>
              <w:ind w:left="0" w:right="61"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Times New Roman" w:cs="Times New Roman"/>
                <w:b/>
                <w:bCs/>
                <w:color w:val="auto"/>
                <w:sz w:val="21"/>
                <w:szCs w:val="21"/>
                <w:highlight w:val="none"/>
              </w:rPr>
              <w:t>11-</w:t>
            </w:r>
            <w:r>
              <w:rPr>
                <w:rFonts w:hint="default" w:ascii="Times New Roman" w:hAnsi="Times New Roman" w:cs="Times New Roman"/>
                <w:b/>
                <w:bCs/>
                <w:color w:val="auto"/>
                <w:sz w:val="21"/>
                <w:szCs w:val="21"/>
                <w:highlight w:val="none"/>
                <w:lang w:val="en-US" w:eastAsia="zh-CN"/>
              </w:rPr>
              <w:t>3</w:t>
            </w:r>
            <w:r>
              <w:rPr>
                <w:rFonts w:hint="eastAsia"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kern w:val="2"/>
                <w:sz w:val="21"/>
                <w:szCs w:val="21"/>
                <w:highlight w:val="none"/>
              </w:rPr>
              <w:t>1</w:t>
            </w:r>
            <w:r>
              <w:rPr>
                <w:rFonts w:hint="default" w:ascii="Times New Roman" w:hAnsi="Times New Roman" w:cs="Times New Roman"/>
                <w:b/>
                <w:bCs/>
                <w:color w:val="auto"/>
                <w:kern w:val="2"/>
                <w:sz w:val="21"/>
                <w:szCs w:val="21"/>
                <w:highlight w:val="none"/>
                <w:lang w:val="en-US" w:eastAsia="zh-CN"/>
              </w:rPr>
              <w:t>5</w:t>
            </w:r>
            <w:r>
              <w:rPr>
                <w:rFonts w:hint="default" w:ascii="Times New Roman" w:hAnsi="Times New Roman" w:eastAsia="宋体" w:cs="Times New Roman"/>
                <w:b/>
                <w:bCs/>
                <w:color w:val="auto"/>
                <w:kern w:val="2"/>
                <w:sz w:val="21"/>
                <w:szCs w:val="21"/>
                <w:highlight w:val="none"/>
              </w:rPr>
              <w:t>MV</w:t>
            </w:r>
            <w:r>
              <w:rPr>
                <w:rFonts w:hint="default" w:ascii="Times New Roman" w:hAnsi="Times New Roman" w:cs="Times New Roman"/>
                <w:b/>
                <w:bCs/>
                <w:color w:val="auto"/>
                <w:sz w:val="21"/>
                <w:szCs w:val="21"/>
                <w:highlight w:val="none"/>
                <w:lang w:val="en-US" w:eastAsia="zh-CN"/>
              </w:rPr>
              <w:t>直线加速器事故状态下主射方向不同时间、距离处有效剂量情况表</w:t>
            </w:r>
            <w:r>
              <w:rPr>
                <w:rFonts w:hint="default" w:ascii="Times New Roman" w:hAnsi="Times New Roman" w:eastAsia="宋体" w:cs="Times New Roman"/>
                <w:b/>
                <w:i w:val="0"/>
                <w:color w:val="auto"/>
                <w:kern w:val="0"/>
                <w:sz w:val="21"/>
                <w:szCs w:val="21"/>
                <w:highlight w:val="none"/>
                <w:u w:val="none"/>
                <w:lang w:val="en-US" w:eastAsia="zh-CN" w:bidi="ar"/>
              </w:rPr>
              <w:t>（</w:t>
            </w:r>
            <w:r>
              <w:rPr>
                <w:rStyle w:val="32"/>
                <w:rFonts w:hint="default" w:ascii="Times New Roman" w:hAnsi="Times New Roman" w:eastAsia="宋体" w:cs="Times New Roman"/>
                <w:color w:val="auto"/>
                <w:highlight w:val="none"/>
                <w:lang w:val="en-US" w:eastAsia="zh-CN" w:bidi="ar"/>
              </w:rPr>
              <w:t>mSv</w:t>
            </w:r>
            <w:r>
              <w:rPr>
                <w:rStyle w:val="33"/>
                <w:rFonts w:hint="default" w:ascii="Times New Roman" w:hAnsi="Times New Roman" w:cs="Times New Roman"/>
                <w:color w:val="auto"/>
                <w:highlight w:val="none"/>
                <w:lang w:val="en-US" w:eastAsia="zh-CN" w:bidi="ar"/>
              </w:rPr>
              <w:t>）</w:t>
            </w:r>
          </w:p>
          <w:tbl>
            <w:tblPr>
              <w:tblStyle w:val="18"/>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1662"/>
              <w:gridCol w:w="1647"/>
              <w:gridCol w:w="1647"/>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42"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2"/>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kern w:val="2"/>
                      <w:sz w:val="21"/>
                      <w:szCs w:val="21"/>
                      <w:highlight w:val="none"/>
                      <w:vertAlign w:val="baseline"/>
                      <w:lang w:val="en-US" w:eastAsia="zh-CN"/>
                    </w:rPr>
                  </w:pPr>
                </w:p>
                <w:p>
                  <w:pPr>
                    <w:pStyle w:val="2"/>
                    <w:keepNext w:val="0"/>
                    <w:keepLines w:val="0"/>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距离（m）</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时间（s）</w:t>
                  </w:r>
                </w:p>
              </w:tc>
              <w:tc>
                <w:tcPr>
                  <w:tcW w:w="1662"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1</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2"/>
                      <w:sz w:val="21"/>
                      <w:szCs w:val="21"/>
                      <w:highlight w:val="none"/>
                      <w:vertAlign w:val="baseline"/>
                      <w:lang w:val="en-US" w:eastAsia="zh-CN"/>
                    </w:rPr>
                  </w:pPr>
                  <w:r>
                    <w:rPr>
                      <w:rFonts w:hint="eastAsia" w:ascii="Times New Roman" w:hAnsi="Times New Roman" w:cs="Times New Roman"/>
                      <w:b/>
                      <w:bCs/>
                      <w:color w:val="auto"/>
                      <w:kern w:val="2"/>
                      <w:sz w:val="21"/>
                      <w:szCs w:val="21"/>
                      <w:highlight w:val="none"/>
                      <w:vertAlign w:val="baseline"/>
                      <w:lang w:val="en-US" w:eastAsia="zh-CN"/>
                    </w:rPr>
                    <w:t>3</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default" w:ascii="Times New Roman" w:hAnsi="Times New Roman" w:cs="Times New Roman"/>
                      <w:b/>
                      <w:bCs/>
                      <w:color w:val="auto"/>
                      <w:kern w:val="2"/>
                      <w:sz w:val="21"/>
                      <w:szCs w:val="21"/>
                      <w:highlight w:val="none"/>
                      <w:vertAlign w:val="baseline"/>
                      <w:lang w:val="en-US" w:eastAsia="zh-CN"/>
                    </w:rPr>
                    <w:t>10</w:t>
                  </w:r>
                </w:p>
              </w:tc>
              <w:tc>
                <w:tcPr>
                  <w:tcW w:w="172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vertAlign w:val="baseline"/>
                      <w:lang w:val="en-US" w:eastAsia="zh-CN"/>
                    </w:rPr>
                  </w:pPr>
                  <w:r>
                    <w:rPr>
                      <w:rFonts w:hint="eastAsia" w:ascii="Times New Roman" w:hAnsi="Times New Roman" w:cs="Times New Roman"/>
                      <w:b/>
                      <w:bCs/>
                      <w:color w:val="auto"/>
                      <w:kern w:val="2"/>
                      <w:sz w:val="21"/>
                      <w:szCs w:val="21"/>
                      <w:highlight w:val="none"/>
                      <w:vertAlign w:val="baseline"/>
                      <w:lang w:val="en-US" w:eastAsia="zh-CN"/>
                    </w:rPr>
                    <w:t>4</w:t>
                  </w:r>
                  <w:r>
                    <w:rPr>
                      <w:rFonts w:hint="default" w:ascii="Times New Roman" w:hAnsi="Times New Roman" w:cs="Times New Roman"/>
                      <w:b/>
                      <w:bCs/>
                      <w:color w:val="auto"/>
                      <w:kern w:val="2"/>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42"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0.5</w:t>
                  </w:r>
                </w:p>
              </w:tc>
              <w:tc>
                <w:tcPr>
                  <w:tcW w:w="1662"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1600</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4800</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16000</w:t>
                  </w:r>
                </w:p>
              </w:tc>
              <w:tc>
                <w:tcPr>
                  <w:tcW w:w="172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42"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w:t>
                  </w:r>
                </w:p>
              </w:tc>
              <w:tc>
                <w:tcPr>
                  <w:tcW w:w="1662"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400</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1200</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4000</w:t>
                  </w:r>
                </w:p>
              </w:tc>
              <w:tc>
                <w:tcPr>
                  <w:tcW w:w="172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42"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2</w:t>
                  </w:r>
                </w:p>
              </w:tc>
              <w:tc>
                <w:tcPr>
                  <w:tcW w:w="1662"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100</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300</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1000</w:t>
                  </w:r>
                </w:p>
              </w:tc>
              <w:tc>
                <w:tcPr>
                  <w:tcW w:w="172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142"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4</w:t>
                  </w:r>
                </w:p>
              </w:tc>
              <w:tc>
                <w:tcPr>
                  <w:tcW w:w="1662"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25.2</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75.6</w:t>
                  </w:r>
                </w:p>
              </w:tc>
              <w:tc>
                <w:tcPr>
                  <w:tcW w:w="1647"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250</w:t>
                  </w:r>
                </w:p>
              </w:tc>
              <w:tc>
                <w:tcPr>
                  <w:tcW w:w="172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rPr>
                    <w:t>1000</w:t>
                  </w:r>
                </w:p>
              </w:tc>
            </w:tr>
          </w:tbl>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①通过计算，在以上假设事故情景下，误入</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kern w:val="2"/>
                <w:sz w:val="24"/>
                <w:szCs w:val="24"/>
                <w:highlight w:val="none"/>
              </w:rPr>
              <w:t>min</w:t>
            </w:r>
            <w:r>
              <w:rPr>
                <w:rFonts w:hint="default" w:ascii="Times New Roman" w:hAnsi="Times New Roman" w:eastAsia="宋体" w:cs="Times New Roman"/>
                <w:color w:val="auto"/>
                <w:sz w:val="24"/>
                <w:szCs w:val="24"/>
                <w:highlight w:val="none"/>
              </w:rPr>
              <w:t>人员受到</w:t>
            </w:r>
            <w:r>
              <w:rPr>
                <w:rFonts w:hint="default" w:ascii="Times New Roman" w:hAnsi="Times New Roman" w:cs="Times New Roman"/>
                <w:color w:val="auto"/>
                <w:sz w:val="24"/>
                <w:szCs w:val="24"/>
                <w:highlight w:val="none"/>
                <w:lang w:val="en-US" w:eastAsia="zh-CN"/>
              </w:rPr>
              <w:t>直线加速器</w:t>
            </w:r>
            <w:r>
              <w:rPr>
                <w:rFonts w:hint="default" w:ascii="Times New Roman" w:hAnsi="Times New Roman" w:eastAsia="宋体" w:cs="Times New Roman"/>
                <w:color w:val="auto"/>
                <w:sz w:val="24"/>
                <w:szCs w:val="24"/>
                <w:highlight w:val="none"/>
              </w:rPr>
              <w:t>非主射方向</w:t>
            </w:r>
            <w:r>
              <w:rPr>
                <w:rFonts w:hint="default" w:ascii="Times New Roman" w:hAnsi="Times New Roman" w:cs="Times New Roman"/>
                <w:color w:val="auto"/>
                <w:sz w:val="24"/>
                <w:szCs w:val="24"/>
                <w:highlight w:val="none"/>
                <w:lang w:val="en-US" w:eastAsia="zh-CN"/>
              </w:rPr>
              <w:t>1m处的辐射影响，其有效</w:t>
            </w:r>
            <w:r>
              <w:rPr>
                <w:rFonts w:hint="default" w:ascii="Times New Roman" w:hAnsi="Times New Roman" w:eastAsia="宋体" w:cs="Times New Roman"/>
                <w:color w:val="auto"/>
                <w:sz w:val="24"/>
                <w:szCs w:val="24"/>
                <w:highlight w:val="none"/>
              </w:rPr>
              <w:t>剂量为</w:t>
            </w:r>
            <w:r>
              <w:rPr>
                <w:rFonts w:hint="default" w:ascii="Times New Roman" w:hAnsi="Times New Roman" w:cs="Times New Roman"/>
                <w:b w:val="0"/>
                <w:bCs w:val="0"/>
                <w:color w:val="auto"/>
                <w:kern w:val="2"/>
                <w:sz w:val="24"/>
                <w:szCs w:val="24"/>
                <w:highlight w:val="none"/>
                <w:vertAlign w:val="baseline"/>
                <w:lang w:val="en-US" w:eastAsia="zh-CN"/>
              </w:rPr>
              <w:t xml:space="preserve">48 </w:t>
            </w:r>
            <w:r>
              <w:rPr>
                <w:rFonts w:hint="default" w:ascii="Times New Roman" w:hAnsi="Times New Roman" w:eastAsia="宋体" w:cs="Times New Roman"/>
                <w:color w:val="auto"/>
                <w:sz w:val="24"/>
                <w:szCs w:val="24"/>
                <w:highlight w:val="none"/>
              </w:rPr>
              <w:t>mSv，超过人员年剂量限值（20mSv），为一般辐射事故。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②通过计算，在以上假设事故情景下，维修人员</w:t>
            </w:r>
            <w:r>
              <w:rPr>
                <w:rFonts w:hint="eastAsia" w:ascii="Times New Roman" w:hAnsi="Times New Roman" w:eastAsia="宋体" w:cs="Times New Roman"/>
                <w:color w:val="auto"/>
                <w:kern w:val="2"/>
                <w:sz w:val="24"/>
                <w:szCs w:val="24"/>
                <w:highlight w:val="none"/>
                <w:lang w:val="en-US" w:eastAsia="zh-CN"/>
              </w:rPr>
              <w:t>在</w:t>
            </w:r>
            <w:r>
              <w:rPr>
                <w:rFonts w:hint="eastAsia" w:ascii="Times New Roman" w:hAnsi="Times New Roman" w:cs="Times New Roman"/>
                <w:color w:val="auto"/>
                <w:kern w:val="2"/>
                <w:sz w:val="24"/>
                <w:szCs w:val="24"/>
                <w:highlight w:val="none"/>
                <w:lang w:val="en-US" w:eastAsia="zh-CN"/>
              </w:rPr>
              <w:t>0.5m处</w:t>
            </w:r>
            <w:r>
              <w:rPr>
                <w:rFonts w:hint="default" w:ascii="Times New Roman" w:hAnsi="Times New Roman" w:eastAsia="宋体" w:cs="Times New Roman"/>
                <w:color w:val="auto"/>
                <w:kern w:val="2"/>
                <w:sz w:val="24"/>
                <w:szCs w:val="24"/>
                <w:highlight w:val="none"/>
              </w:rPr>
              <w:t>受到直线加速器主射方向</w:t>
            </w:r>
            <w:r>
              <w:rPr>
                <w:rFonts w:hint="eastAsia" w:ascii="Times New Roman" w:hAnsi="Times New Roman" w:cs="Times New Roman"/>
                <w:color w:val="auto"/>
                <w:kern w:val="2"/>
                <w:sz w:val="24"/>
                <w:szCs w:val="24"/>
                <w:highlight w:val="none"/>
                <w:lang w:val="en-US" w:eastAsia="zh-CN"/>
              </w:rPr>
              <w:t>3s的照射，其有效</w:t>
            </w:r>
            <w:r>
              <w:rPr>
                <w:rFonts w:hint="default" w:ascii="Times New Roman" w:hAnsi="Times New Roman" w:eastAsia="宋体" w:cs="Times New Roman"/>
                <w:color w:val="auto"/>
                <w:kern w:val="2"/>
                <w:sz w:val="24"/>
                <w:szCs w:val="24"/>
                <w:highlight w:val="none"/>
              </w:rPr>
              <w:t>剂量为</w:t>
            </w:r>
            <w:r>
              <w:rPr>
                <w:rFonts w:hint="eastAsia" w:ascii="Times New Roman" w:hAnsi="Times New Roman" w:cs="Times New Roman"/>
                <w:color w:val="auto"/>
                <w:kern w:val="2"/>
                <w:sz w:val="24"/>
                <w:szCs w:val="24"/>
                <w:highlight w:val="none"/>
                <w:lang w:val="en-US" w:eastAsia="zh-CN"/>
              </w:rPr>
              <w:t>4.8</w:t>
            </w:r>
            <w:r>
              <w:rPr>
                <w:rFonts w:hint="default" w:ascii="Times New Roman" w:hAnsi="Times New Roman" w:eastAsia="宋体" w:cs="Times New Roman"/>
                <w:color w:val="auto"/>
                <w:kern w:val="2"/>
                <w:sz w:val="24"/>
                <w:szCs w:val="24"/>
                <w:highlight w:val="none"/>
              </w:rPr>
              <w:t>Sv/次</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在</w:t>
            </w:r>
            <w:r>
              <w:rPr>
                <w:rFonts w:hint="eastAsia" w:ascii="Times New Roman" w:hAnsi="Times New Roman" w:cs="Times New Roman"/>
                <w:color w:val="auto"/>
                <w:kern w:val="2"/>
                <w:sz w:val="24"/>
                <w:szCs w:val="24"/>
                <w:highlight w:val="none"/>
                <w:lang w:val="en-US" w:eastAsia="zh-CN"/>
              </w:rPr>
              <w:t>1m处</w:t>
            </w:r>
            <w:r>
              <w:rPr>
                <w:rFonts w:hint="default" w:ascii="Times New Roman" w:hAnsi="Times New Roman" w:eastAsia="宋体" w:cs="Times New Roman"/>
                <w:color w:val="auto"/>
                <w:kern w:val="2"/>
                <w:sz w:val="24"/>
                <w:szCs w:val="24"/>
                <w:highlight w:val="none"/>
              </w:rPr>
              <w:t>受到直线加速器主射方向</w:t>
            </w:r>
            <w:r>
              <w:rPr>
                <w:rFonts w:hint="eastAsia" w:ascii="Times New Roman" w:hAnsi="Times New Roman" w:cs="Times New Roman"/>
                <w:color w:val="auto"/>
                <w:kern w:val="2"/>
                <w:sz w:val="24"/>
                <w:szCs w:val="24"/>
                <w:highlight w:val="none"/>
                <w:lang w:val="en-US" w:eastAsia="zh-CN"/>
              </w:rPr>
              <w:t>10s的照射，其有效</w:t>
            </w:r>
            <w:r>
              <w:rPr>
                <w:rFonts w:hint="default" w:ascii="Times New Roman" w:hAnsi="Times New Roman" w:eastAsia="宋体" w:cs="Times New Roman"/>
                <w:color w:val="auto"/>
                <w:kern w:val="2"/>
                <w:sz w:val="24"/>
                <w:szCs w:val="24"/>
                <w:highlight w:val="none"/>
              </w:rPr>
              <w:t>剂量为</w:t>
            </w:r>
            <w:r>
              <w:rPr>
                <w:rFonts w:hint="eastAsia" w:ascii="Times New Roman" w:hAnsi="Times New Roman"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rPr>
              <w:t>Sv/次</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根据《职业性外照射急性放射病诊断》（GBZ104-2017）表1所述：“骨髓型急性重度放射病的受照剂量范围参考值范围为4.0~6.0Gy”，</w:t>
            </w:r>
            <w:r>
              <w:rPr>
                <w:rFonts w:hint="default" w:ascii="Times New Roman" w:hAnsi="Times New Roman" w:eastAsia="宋体" w:cs="Times New Roman"/>
                <w:color w:val="auto"/>
                <w:kern w:val="2"/>
                <w:sz w:val="24"/>
                <w:szCs w:val="24"/>
                <w:highlight w:val="none"/>
                <w:lang w:val="en-US" w:eastAsia="zh-CN"/>
              </w:rPr>
              <w:t>结合</w:t>
            </w:r>
            <w:r>
              <w:rPr>
                <w:rFonts w:hint="default" w:ascii="Times New Roman" w:hAnsi="Times New Roman" w:cs="Times New Roman"/>
                <w:color w:val="auto"/>
                <w:sz w:val="24"/>
                <w:highlight w:val="none"/>
              </w:rPr>
              <w:t>表11-</w:t>
            </w:r>
            <w:r>
              <w:rPr>
                <w:rFonts w:hint="default" w:ascii="Times New Roman" w:hAnsi="Times New Roman" w:cs="Times New Roman"/>
                <w:color w:val="auto"/>
                <w:sz w:val="24"/>
                <w:highlight w:val="none"/>
                <w:lang w:val="en-US" w:eastAsia="zh-CN"/>
              </w:rPr>
              <w:t>26</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表11-27，</w:t>
            </w:r>
            <w:r>
              <w:rPr>
                <w:rFonts w:hint="eastAsia" w:ascii="Times New Roman" w:hAnsi="Times New Roman" w:eastAsia="宋体" w:cs="Times New Roman"/>
                <w:color w:val="auto"/>
                <w:kern w:val="2"/>
                <w:sz w:val="24"/>
                <w:szCs w:val="24"/>
                <w:highlight w:val="none"/>
                <w:lang w:val="en-US" w:eastAsia="zh-CN"/>
              </w:rPr>
              <w:t>上述事故后果</w:t>
            </w:r>
            <w:r>
              <w:rPr>
                <w:rFonts w:hint="default" w:ascii="Times New Roman" w:hAnsi="Times New Roman" w:eastAsia="宋体" w:cs="Times New Roman"/>
                <w:color w:val="auto"/>
                <w:kern w:val="2"/>
                <w:sz w:val="24"/>
                <w:szCs w:val="24"/>
                <w:highlight w:val="none"/>
              </w:rPr>
              <w:t>为</w:t>
            </w:r>
            <w:r>
              <w:rPr>
                <w:rFonts w:hint="eastAsia" w:ascii="Times New Roman" w:hAnsi="Times New Roman" w:cs="Times New Roman"/>
                <w:color w:val="auto"/>
                <w:kern w:val="2"/>
                <w:sz w:val="24"/>
                <w:szCs w:val="24"/>
                <w:highlight w:val="none"/>
                <w:lang w:val="en-US" w:eastAsia="zh-CN"/>
              </w:rPr>
              <w:t>较大</w:t>
            </w:r>
            <w:r>
              <w:rPr>
                <w:rFonts w:hint="default" w:ascii="Times New Roman" w:hAnsi="Times New Roman" w:eastAsia="宋体" w:cs="Times New Roman"/>
                <w:color w:val="auto"/>
                <w:kern w:val="2"/>
                <w:sz w:val="24"/>
                <w:szCs w:val="24"/>
                <w:highlight w:val="none"/>
              </w:rPr>
              <w:t>辐射事故</w:t>
            </w:r>
            <w:r>
              <w:rPr>
                <w:rFonts w:hint="default"/>
                <w:color w:val="auto"/>
                <w:sz w:val="24"/>
                <w:highlight w:val="none"/>
              </w:rPr>
              <w:t>。</w:t>
            </w:r>
          </w:p>
          <w:p>
            <w:pPr>
              <w:pStyle w:val="31"/>
              <w:keepNext/>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后装机事故的后果计算</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32"/>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32"/>
                <w:highlight w:val="none"/>
              </w:rPr>
              <w:t>放射源丢失、被盗</w:t>
            </w:r>
          </w:p>
          <w:p>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32"/>
                <w:highlight w:val="none"/>
                <w:lang w:eastAsia="zh-CN"/>
              </w:rPr>
            </w:pPr>
            <w:r>
              <w:rPr>
                <w:rFonts w:hint="default" w:ascii="Times New Roman" w:hAnsi="Times New Roman" w:cs="Times New Roman"/>
                <w:color w:val="auto"/>
                <w:kern w:val="2"/>
                <w:highlight w:val="none"/>
                <w:lang w:val="en-US" w:eastAsia="zh-CN"/>
              </w:rPr>
              <w:t>根据表11-27，</w:t>
            </w:r>
            <w:r>
              <w:rPr>
                <w:rFonts w:hint="default" w:ascii="Times New Roman" w:hAnsi="Times New Roman" w:cs="Times New Roman"/>
                <w:color w:val="auto"/>
                <w:kern w:val="2"/>
                <w:highlight w:val="none"/>
              </w:rPr>
              <w:t>Ⅲ类放射源丢失、被盗、失控</w:t>
            </w:r>
            <w:r>
              <w:rPr>
                <w:rFonts w:hint="default" w:ascii="Times New Roman" w:hAnsi="Times New Roman" w:cs="Times New Roman"/>
                <w:color w:val="auto"/>
                <w:kern w:val="2"/>
                <w:highlight w:val="none"/>
                <w:lang w:eastAsia="zh-CN"/>
              </w:rPr>
              <w:t>，</w:t>
            </w:r>
            <w:r>
              <w:rPr>
                <w:rFonts w:hint="default" w:ascii="Times New Roman" w:hAnsi="Times New Roman" w:eastAsia="宋体" w:cs="Times New Roman"/>
                <w:color w:val="auto"/>
                <w:kern w:val="2"/>
                <w:sz w:val="24"/>
                <w:szCs w:val="24"/>
                <w:highlight w:val="none"/>
              </w:rPr>
              <w:t>为较大辐射事故</w:t>
            </w:r>
            <w:r>
              <w:rPr>
                <w:rFonts w:hint="default" w:ascii="Times New Roman" w:hAnsi="Times New Roman" w:cs="Times New Roman"/>
                <w:color w:val="auto"/>
                <w:kern w:val="2"/>
                <w:sz w:val="24"/>
                <w:szCs w:val="24"/>
                <w:highlight w:val="none"/>
                <w:lang w:eastAsia="zh-CN"/>
              </w:rPr>
              <w:t>。</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1"/>
                <w:szCs w:val="21"/>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32"/>
                <w:highlight w:val="none"/>
              </w:rPr>
              <w:t>人员在</w:t>
            </w:r>
            <w:r>
              <w:rPr>
                <w:rFonts w:hint="default" w:ascii="Times New Roman" w:hAnsi="Times New Roman" w:cs="Times New Roman"/>
                <w:color w:val="auto"/>
                <w:sz w:val="24"/>
                <w:szCs w:val="32"/>
                <w:highlight w:val="none"/>
                <w:lang w:eastAsia="zh-CN"/>
              </w:rPr>
              <w:t>后装治疗室</w:t>
            </w:r>
            <w:r>
              <w:rPr>
                <w:rFonts w:hint="default" w:ascii="Times New Roman" w:hAnsi="Times New Roman" w:eastAsia="宋体" w:cs="Times New Roman"/>
                <w:color w:val="auto"/>
                <w:sz w:val="24"/>
                <w:szCs w:val="32"/>
                <w:highlight w:val="none"/>
              </w:rPr>
              <w:t>误照射事故</w:t>
            </w:r>
          </w:p>
          <w:p>
            <w:pPr>
              <w:keepNext w:val="0"/>
              <w:keepLines w:val="0"/>
              <w:suppressLineNumbers w:val="0"/>
              <w:spacing w:before="9" w:beforeAutospacing="0" w:after="0" w:afterAutospacing="0"/>
              <w:ind w:left="0" w:right="61" w:firstLine="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Times New Roman" w:cs="Times New Roman"/>
                <w:b/>
                <w:bCs/>
                <w:color w:val="auto"/>
                <w:sz w:val="21"/>
                <w:szCs w:val="21"/>
                <w:highlight w:val="none"/>
              </w:rPr>
              <w:t>11-</w:t>
            </w:r>
            <w:r>
              <w:rPr>
                <w:rFonts w:hint="default" w:ascii="Times New Roman" w:hAnsi="Times New Roman" w:cs="Times New Roman"/>
                <w:b/>
                <w:bCs/>
                <w:color w:val="auto"/>
                <w:sz w:val="21"/>
                <w:szCs w:val="21"/>
                <w:highlight w:val="none"/>
                <w:lang w:val="en-US" w:eastAsia="zh-CN"/>
              </w:rPr>
              <w:t>32 后装机事故状态下不同时间、距离处有效剂量情况表</w:t>
            </w:r>
            <w:r>
              <w:rPr>
                <w:rFonts w:hint="default" w:ascii="Times New Roman" w:hAnsi="Times New Roman" w:eastAsia="宋体" w:cs="Times New Roman"/>
                <w:b/>
                <w:i w:val="0"/>
                <w:color w:val="auto"/>
                <w:kern w:val="0"/>
                <w:sz w:val="21"/>
                <w:szCs w:val="21"/>
                <w:highlight w:val="none"/>
                <w:u w:val="none"/>
                <w:lang w:val="en-US" w:eastAsia="zh-CN" w:bidi="ar"/>
              </w:rPr>
              <w:t>（</w:t>
            </w:r>
            <w:r>
              <w:rPr>
                <w:rStyle w:val="32"/>
                <w:rFonts w:hint="default" w:ascii="Times New Roman" w:hAnsi="Times New Roman" w:eastAsia="宋体" w:cs="Times New Roman"/>
                <w:color w:val="auto"/>
                <w:highlight w:val="none"/>
                <w:lang w:val="en-US" w:eastAsia="zh-CN" w:bidi="ar"/>
              </w:rPr>
              <w:t>mSv</w:t>
            </w:r>
            <w:r>
              <w:rPr>
                <w:rStyle w:val="33"/>
                <w:rFonts w:hint="default" w:ascii="Times New Roman" w:hAnsi="Times New Roman" w:cs="Times New Roman"/>
                <w:color w:val="auto"/>
                <w:highlight w:val="none"/>
                <w:lang w:val="en-US" w:eastAsia="zh-CN" w:bidi="ar"/>
              </w:rPr>
              <w:t>）</w:t>
            </w:r>
          </w:p>
          <w:tbl>
            <w:tblPr>
              <w:tblStyle w:val="18"/>
              <w:tblW w:w="8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665"/>
              <w:gridCol w:w="1740"/>
              <w:gridCol w:w="1680"/>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65"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2"/>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val="0"/>
                      <w:bCs w:val="0"/>
                      <w:color w:val="auto"/>
                      <w:kern w:val="2"/>
                      <w:sz w:val="21"/>
                      <w:szCs w:val="21"/>
                      <w:highlight w:val="none"/>
                      <w:vertAlign w:val="baseline"/>
                      <w:lang w:val="en-US" w:eastAsia="zh-CN"/>
                    </w:rPr>
                  </w:pPr>
                </w:p>
                <w:p>
                  <w:pPr>
                    <w:pStyle w:val="2"/>
                    <w:keepNext w:val="0"/>
                    <w:keepLines w:val="0"/>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距离（m）</w:t>
                  </w:r>
                </w:p>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时间（min）</w:t>
                  </w:r>
                </w:p>
              </w:tc>
              <w:tc>
                <w:tcPr>
                  <w:tcW w:w="1665"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1</w:t>
                  </w:r>
                </w:p>
              </w:tc>
              <w:tc>
                <w:tcPr>
                  <w:tcW w:w="174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4</w:t>
                  </w:r>
                </w:p>
              </w:tc>
              <w:tc>
                <w:tcPr>
                  <w:tcW w:w="168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10</w:t>
                  </w:r>
                </w:p>
              </w:tc>
              <w:tc>
                <w:tcPr>
                  <w:tcW w:w="1524"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165"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0.5</w:t>
                  </w:r>
                </w:p>
              </w:tc>
              <w:tc>
                <w:tcPr>
                  <w:tcW w:w="1665"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2.74</w:t>
                  </w:r>
                </w:p>
              </w:tc>
              <w:tc>
                <w:tcPr>
                  <w:tcW w:w="174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rPr>
                    <w:t>11.0</w:t>
                  </w:r>
                </w:p>
              </w:tc>
              <w:tc>
                <w:tcPr>
                  <w:tcW w:w="168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27.4</w:t>
                  </w:r>
                </w:p>
              </w:tc>
              <w:tc>
                <w:tcPr>
                  <w:tcW w:w="1524"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w:t>
                  </w:r>
                </w:p>
              </w:tc>
              <w:tc>
                <w:tcPr>
                  <w:tcW w:w="1665"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0.69</w:t>
                  </w:r>
                </w:p>
              </w:tc>
              <w:tc>
                <w:tcPr>
                  <w:tcW w:w="174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2.74</w:t>
                  </w:r>
                </w:p>
              </w:tc>
              <w:tc>
                <w:tcPr>
                  <w:tcW w:w="168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6.9</w:t>
                  </w:r>
                </w:p>
              </w:tc>
              <w:tc>
                <w:tcPr>
                  <w:tcW w:w="1524"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5"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2</w:t>
                  </w:r>
                </w:p>
              </w:tc>
              <w:tc>
                <w:tcPr>
                  <w:tcW w:w="1665"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0.17</w:t>
                  </w:r>
                </w:p>
              </w:tc>
              <w:tc>
                <w:tcPr>
                  <w:tcW w:w="174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0.69</w:t>
                  </w:r>
                </w:p>
              </w:tc>
              <w:tc>
                <w:tcPr>
                  <w:tcW w:w="168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1.7</w:t>
                  </w:r>
                </w:p>
              </w:tc>
              <w:tc>
                <w:tcPr>
                  <w:tcW w:w="1524"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5</w:t>
                  </w:r>
                </w:p>
              </w:tc>
              <w:tc>
                <w:tcPr>
                  <w:tcW w:w="1665"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0.03</w:t>
                  </w:r>
                </w:p>
              </w:tc>
              <w:tc>
                <w:tcPr>
                  <w:tcW w:w="174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0.11</w:t>
                  </w:r>
                </w:p>
              </w:tc>
              <w:tc>
                <w:tcPr>
                  <w:tcW w:w="1680"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0.3</w:t>
                  </w:r>
                </w:p>
              </w:tc>
              <w:tc>
                <w:tcPr>
                  <w:tcW w:w="1524" w:type="dxa"/>
                  <w:vAlign w:val="center"/>
                </w:tcPr>
                <w:p>
                  <w:pPr>
                    <w:pStyle w:val="2"/>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cs="Times New Roman"/>
                      <w:b w:val="0"/>
                      <w:bCs w:val="0"/>
                      <w:color w:val="auto"/>
                      <w:kern w:val="2"/>
                      <w:sz w:val="21"/>
                      <w:szCs w:val="21"/>
                      <w:highlight w:val="none"/>
                      <w:vertAlign w:val="baseline"/>
                      <w:lang w:val="en-US" w:eastAsia="zh-CN"/>
                    </w:rPr>
                    <w:t>8.22</w:t>
                  </w:r>
                </w:p>
              </w:tc>
            </w:tr>
          </w:tbl>
          <w:p>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在假设事故情况下，人员</w:t>
            </w:r>
            <w:r>
              <w:rPr>
                <w:rFonts w:hint="default" w:ascii="Times New Roman" w:hAnsi="Times New Roman" w:cs="Times New Roman"/>
                <w:color w:val="auto"/>
                <w:sz w:val="24"/>
                <w:szCs w:val="24"/>
                <w:highlight w:val="none"/>
                <w:lang w:val="en-US" w:eastAsia="zh-CN"/>
              </w:rPr>
              <w:t>误入被较长时间照射，其有效剂量将</w:t>
            </w:r>
            <w:r>
              <w:rPr>
                <w:rFonts w:hint="default" w:ascii="Times New Roman" w:hAnsi="Times New Roman" w:eastAsia="宋体" w:cs="Times New Roman"/>
                <w:color w:val="auto"/>
                <w:sz w:val="24"/>
                <w:szCs w:val="24"/>
                <w:highlight w:val="none"/>
              </w:rPr>
              <w:t>超过人员年剂量限值（20mSv），为一般辐射事故。</w:t>
            </w:r>
          </w:p>
          <w:p>
            <w:pPr>
              <w:pStyle w:val="31"/>
              <w:keepNext/>
              <w:keepLines w:val="0"/>
              <w:suppressLineNumbers w:val="0"/>
              <w:spacing w:before="0" w:beforeAutospacing="0" w:after="0" w:afterAutospacing="0" w:line="360" w:lineRule="auto"/>
              <w:ind w:left="0" w:right="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卡</w:t>
            </w:r>
            <w:r>
              <w:rPr>
                <w:rFonts w:hint="default" w:ascii="Times New Roman" w:hAnsi="Times New Roman" w:cs="Times New Roman"/>
                <w:color w:val="auto"/>
                <w:highlight w:val="none"/>
                <w:lang w:eastAsia="zh-CN"/>
              </w:rPr>
              <w:t>源</w:t>
            </w:r>
          </w:p>
          <w:p>
            <w:pPr>
              <w:pStyle w:val="31"/>
              <w:keepNext/>
              <w:keepLines w:val="0"/>
              <w:suppressLineNumbers w:val="0"/>
              <w:spacing w:before="0" w:beforeAutospacing="0" w:after="0" w:afterAutospacing="0" w:line="360" w:lineRule="auto"/>
              <w:ind w:left="0" w:right="0" w:firstLine="470" w:firstLineChars="196"/>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自动回源功能装置失效，</w:t>
            </w:r>
            <w:r>
              <w:rPr>
                <w:rFonts w:hint="default" w:ascii="Times New Roman" w:hAnsi="Times New Roman" w:cs="Times New Roman"/>
                <w:color w:val="auto"/>
                <w:sz w:val="24"/>
                <w:szCs w:val="24"/>
                <w:highlight w:val="none"/>
                <w:lang w:val="en-US" w:eastAsia="zh-CN"/>
              </w:rPr>
              <w:t>维修</w:t>
            </w:r>
            <w:r>
              <w:rPr>
                <w:rFonts w:hint="default" w:ascii="Times New Roman" w:hAnsi="Times New Roman" w:cs="Times New Roman"/>
                <w:color w:val="auto"/>
                <w:sz w:val="24"/>
                <w:szCs w:val="24"/>
                <w:highlight w:val="none"/>
                <w:lang w:eastAsia="zh-CN"/>
              </w:rPr>
              <w:t>人员进入</w:t>
            </w:r>
            <w:r>
              <w:rPr>
                <w:rFonts w:hint="default" w:ascii="Times New Roman" w:hAnsi="Times New Roman" w:cs="Times New Roman"/>
                <w:color w:val="auto"/>
                <w:sz w:val="24"/>
                <w:szCs w:val="24"/>
                <w:highlight w:val="none"/>
                <w:lang w:val="en-US" w:eastAsia="zh-CN"/>
              </w:rPr>
              <w:t>后装治疗室</w:t>
            </w:r>
            <w:r>
              <w:rPr>
                <w:rFonts w:hint="default" w:ascii="Times New Roman" w:hAnsi="Times New Roman" w:cs="Times New Roman"/>
                <w:color w:val="auto"/>
                <w:sz w:val="24"/>
                <w:szCs w:val="24"/>
                <w:highlight w:val="none"/>
                <w:lang w:eastAsia="zh-CN"/>
              </w:rPr>
              <w:t>内采取手动回源措施，</w:t>
            </w:r>
            <w:r>
              <w:rPr>
                <w:rFonts w:hint="default" w:ascii="Times New Roman" w:hAnsi="Times New Roman" w:eastAsia="宋体" w:cs="Times New Roman"/>
                <w:color w:val="auto"/>
                <w:sz w:val="24"/>
                <w:szCs w:val="24"/>
                <w:highlight w:val="none"/>
              </w:rPr>
              <w:t>结合表11-</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kern w:val="2"/>
                <w:highlight w:val="none"/>
                <w:lang w:val="en-US" w:eastAsia="zh-CN"/>
              </w:rPr>
              <w:t>表11-27</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其有效剂量将</w:t>
            </w:r>
            <w:r>
              <w:rPr>
                <w:rFonts w:hint="default" w:ascii="Times New Roman" w:hAnsi="Times New Roman" w:eastAsia="宋体" w:cs="Times New Roman"/>
                <w:color w:val="auto"/>
                <w:sz w:val="24"/>
                <w:szCs w:val="24"/>
                <w:highlight w:val="none"/>
              </w:rPr>
              <w:t>超过人员年剂量限值（20mSv）</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为一般辐射事故</w:t>
            </w:r>
            <w:r>
              <w:rPr>
                <w:rFonts w:hint="default" w:ascii="Times New Roman" w:hAnsi="Times New Roman" w:cs="Times New Roman"/>
                <w:color w:val="auto"/>
                <w:sz w:val="24"/>
                <w:szCs w:val="24"/>
                <w:highlight w:val="none"/>
                <w:lang w:eastAsia="zh-CN"/>
              </w:rPr>
              <w:t>。</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五、事故情况下的环境影响分析与防范应对措施</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10MV直线加速器事故的防范应对措施</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直线加速器运行时其它无关人员误入或滞留于</w:t>
            </w:r>
            <w:r>
              <w:rPr>
                <w:rFonts w:hint="default" w:ascii="Times New Roman" w:hAnsi="Times New Roman" w:cs="Times New Roman"/>
                <w:color w:val="auto"/>
                <w:sz w:val="24"/>
                <w:szCs w:val="24"/>
                <w:highlight w:val="none"/>
                <w:lang w:eastAsia="zh-CN"/>
              </w:rPr>
              <w:t>加速器治疗室</w:t>
            </w:r>
            <w:r>
              <w:rPr>
                <w:rFonts w:hint="default" w:ascii="Times New Roman" w:hAnsi="Times New Roman" w:eastAsia="宋体" w:cs="Times New Roman"/>
                <w:color w:val="auto"/>
                <w:sz w:val="24"/>
                <w:szCs w:val="24"/>
                <w:highlight w:val="none"/>
              </w:rPr>
              <w:t>。</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应对措施：加速器自身有多种安全防护措施，如辐射启动装置与控制台上显示的辐射参数预选值联锁，选择参数前辐照不能启动；安装有两套独立的剂量监测系统，每套皆可单独终止照射；有门机安全联锁，机房门关闭后辐射才能启动。</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医务人员误操作，导致病人受超剂量照射或受其它的额外照射；</w:t>
            </w:r>
          </w:p>
          <w:p>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应对措施：加速器的控制台上有辐射类型、标称能量、照射时间、吸收剂量、治疗方式等参数的显示装置，操作人员可随时了解设备运行情况。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按照《放射性同位素与射线装置安全和防护条例》，发生辐射事故时，</w:t>
            </w:r>
            <w:r>
              <w:rPr>
                <w:rFonts w:hint="default" w:ascii="Times New Roman" w:hAnsi="Times New Roman" w:cs="Times New Roman"/>
                <w:color w:val="auto"/>
                <w:sz w:val="24"/>
                <w:highlight w:val="none"/>
                <w:lang w:val="en-US" w:eastAsia="zh-CN"/>
              </w:rPr>
              <w:t>医院</w:t>
            </w:r>
            <w:r>
              <w:rPr>
                <w:rFonts w:hint="default" w:ascii="Times New Roman" w:hAnsi="Times New Roman" w:cs="Times New Roman"/>
                <w:color w:val="auto"/>
                <w:sz w:val="24"/>
                <w:highlight w:val="none"/>
              </w:rPr>
              <w:t>应当立即启动本单位的应急方案，采取应急措施，并立即向当地生态环境主管部门</w:t>
            </w:r>
            <w:r>
              <w:rPr>
                <w:rFonts w:hint="default" w:ascii="Times New Roman" w:hAnsi="Times New Roman" w:cs="Times New Roman"/>
                <w:color w:val="auto"/>
                <w:sz w:val="24"/>
                <w:highlight w:val="none"/>
                <w:lang w:eastAsia="zh-CN"/>
              </w:rPr>
              <w:t>，生态环境主管部门接到辐射事故报告后，应当立即派人赶赴现场，进行现场调查，采取有效措施，控制并消除事故影响，同时将辐射事故信息报告本级人民政府和上级人民政府生态环境主管部门</w:t>
            </w:r>
            <w:r>
              <w:rPr>
                <w:rFonts w:hint="default" w:ascii="Times New Roman" w:hAnsi="Times New Roman" w:cs="Times New Roman"/>
                <w:color w:val="auto"/>
                <w:sz w:val="24"/>
                <w:highlight w:val="none"/>
              </w:rPr>
              <w:t>。县级以上地方人民政府及其有关部门接到辐射事故报告后，应当按照事故分级报告的规定及时将辐射事故信息报告上级人民政府及其有关部门。</w:t>
            </w:r>
          </w:p>
          <w:p>
            <w:pPr>
              <w:pStyle w:val="16"/>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sz w:val="24"/>
                <w:highlight w:val="none"/>
                <w:lang w:val="en-US" w:eastAsia="zh-CN"/>
              </w:rPr>
              <w:t>2、</w:t>
            </w:r>
            <w:r>
              <w:rPr>
                <w:rFonts w:hint="default" w:ascii="Times New Roman" w:hAnsi="Times New Roman" w:eastAsia="宋体" w:cs="Times New Roman"/>
                <w:b/>
                <w:bCs/>
                <w:color w:val="auto"/>
                <w:kern w:val="2"/>
                <w:sz w:val="24"/>
                <w:szCs w:val="24"/>
                <w:highlight w:val="none"/>
                <w:lang w:val="en-US" w:eastAsia="zh-CN" w:bidi="ar-SA"/>
              </w:rPr>
              <w:t>15MV直线加速器事故的防范应对措施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lang w:val="en-US" w:eastAsia="zh-CN"/>
              </w:rPr>
              <w:t>直线</w:t>
            </w:r>
            <w:r>
              <w:rPr>
                <w:rFonts w:hint="default" w:ascii="Times New Roman" w:hAnsi="Times New Roman" w:eastAsia="宋体" w:cs="Times New Roman"/>
                <w:color w:val="auto"/>
                <w:sz w:val="24"/>
                <w:highlight w:val="none"/>
              </w:rPr>
              <w:t>加速器运行时其它无关人员误入或滞留于加速器机房。</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应对措施：</w:t>
            </w:r>
            <w:r>
              <w:rPr>
                <w:rFonts w:hint="default" w:ascii="Times New Roman" w:hAnsi="Times New Roman" w:eastAsia="宋体" w:cs="Times New Roman"/>
                <w:color w:val="auto"/>
                <w:sz w:val="24"/>
                <w:highlight w:val="none"/>
              </w:rPr>
              <w:t>加速器自身有多种安全防护措施，如辐射启动装置与控制台上显示的辐射参数预选值联锁，选择参数前辐照不能启动；安装有两套独立的剂量监测系统，每套皆可单独终止照射；有门机安全联锁，机房门关闭后辐射才能启动。</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2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医务人员误操作，导致病人受超剂量照射或受其它的额外照射；</w:t>
            </w:r>
          </w:p>
          <w:p>
            <w:pPr>
              <w:pStyle w:val="16"/>
              <w:keepNext w:val="0"/>
              <w:keepLines w:val="0"/>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sz w:val="24"/>
                <w:highlight w:val="none"/>
              </w:rPr>
              <w:t>应对措施：</w:t>
            </w:r>
            <w:r>
              <w:rPr>
                <w:rFonts w:hint="default" w:ascii="Times New Roman" w:hAnsi="Times New Roman" w:eastAsia="宋体" w:cs="Times New Roman"/>
                <w:color w:val="auto"/>
                <w:sz w:val="24"/>
                <w:highlight w:val="none"/>
              </w:rPr>
              <w:t>加速器的控制台上有辐射类型、标称能量、照射时间、吸收剂量、治疗方式等参数的显示装置，操作人员可随时了解设备运行情况。</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后装机的事故与应对措施</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sz w:val="24"/>
                <w:highlight w:val="none"/>
              </w:rPr>
              <w:fldChar w:fldCharType="end"/>
            </w:r>
            <w:r>
              <w:rPr>
                <w:rFonts w:hint="default" w:ascii="Times New Roman" w:hAnsi="Times New Roman" w:cs="Times New Roman"/>
                <w:color w:val="auto"/>
                <w:sz w:val="24"/>
                <w:highlight w:val="none"/>
              </w:rPr>
              <w:t>放射源丢失、被盗，且放射源屏蔽体可能被人为破坏，放射源对人员造成近距离照射。一定时间内，可能导致人员急性重度放射病、局部器官残疾甚至死亡。</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应对措施：</w:t>
            </w:r>
            <w:r>
              <w:rPr>
                <w:rFonts w:hint="default" w:ascii="Times New Roman" w:hAnsi="Times New Roman" w:cs="Times New Roman"/>
                <w:color w:val="auto"/>
                <w:sz w:val="24"/>
                <w:highlight w:val="none"/>
              </w:rPr>
              <w:t>医院应该采取各种行之有效的措施，防止被盗或者丢失。特别是定期对放射源要进行核实，确保其处于指定位置，对放射源实行24小时监控。一旦发现放射源被盗或者丢失，及时向公安部门、</w:t>
            </w:r>
            <w:r>
              <w:rPr>
                <w:rFonts w:hint="eastAsia" w:ascii="Times New Roman" w:hAnsi="Times New Roman" w:cs="Times New Roman"/>
                <w:color w:val="auto"/>
                <w:sz w:val="24"/>
                <w:highlight w:val="none"/>
                <w:lang w:eastAsia="zh-CN"/>
              </w:rPr>
              <w:t>生态环境主管部门</w:t>
            </w:r>
            <w:r>
              <w:rPr>
                <w:rFonts w:hint="default" w:ascii="Times New Roman" w:hAnsi="Times New Roman" w:cs="Times New Roman"/>
                <w:color w:val="auto"/>
                <w:sz w:val="24"/>
                <w:highlight w:val="none"/>
              </w:rPr>
              <w:t>和</w:t>
            </w:r>
            <w:r>
              <w:rPr>
                <w:rFonts w:hint="eastAsia" w:ascii="Times New Roman" w:hAnsi="Times New Roman" w:cs="Times New Roman"/>
                <w:color w:val="auto"/>
                <w:sz w:val="24"/>
                <w:highlight w:val="none"/>
                <w:lang w:val="en-US" w:eastAsia="zh-CN"/>
              </w:rPr>
              <w:t>卫健委</w:t>
            </w:r>
            <w:r>
              <w:rPr>
                <w:rFonts w:hint="default" w:ascii="Times New Roman" w:hAnsi="Times New Roman" w:cs="Times New Roman"/>
                <w:color w:val="auto"/>
                <w:sz w:val="24"/>
                <w:highlight w:val="none"/>
              </w:rPr>
              <w:t>报告。</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2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rPr>
              <w:fldChar w:fldCharType="end"/>
            </w:r>
            <w:r>
              <w:rPr>
                <w:rFonts w:hint="default" w:ascii="Times New Roman" w:hAnsi="Times New Roman" w:cs="Times New Roman"/>
                <w:color w:val="auto"/>
                <w:sz w:val="24"/>
                <w:highlight w:val="none"/>
              </w:rPr>
              <w:t>人员受误照射。治疗过程中人员误入或滞留于治疗室，造成有关人员被误照射，引发辐射事故。</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应对措施：</w:t>
            </w:r>
            <w:r>
              <w:rPr>
                <w:rFonts w:hint="default" w:ascii="Times New Roman" w:hAnsi="Times New Roman" w:cs="Times New Roman"/>
                <w:color w:val="auto"/>
                <w:sz w:val="24"/>
                <w:highlight w:val="none"/>
              </w:rPr>
              <w:t>工作人员遵守相关操作规程，治疗过程中任何人员不得进入治疗室。每次开机治疗前必须确认所有人员全部撤出治疗室。一旦发生辐射事故，必须马上停机收源，对受照人员进行身体检查，确定是否有伤害，以便采取相应救护措施。</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b w:val="0"/>
                <w:color w:val="auto"/>
                <w:sz w:val="24"/>
                <w:highlight w:val="none"/>
              </w:rPr>
              <w:t>③卡源</w:t>
            </w:r>
            <w:r>
              <w:rPr>
                <w:rFonts w:hint="default" w:ascii="Times New Roman" w:hAnsi="Times New Roman" w:cs="Times New Roman"/>
                <w:b w:val="0"/>
                <w:color w:val="auto"/>
                <w:sz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治疗过程中出现卡源情况，源体无法复位至屏蔽状态，造成病人受到过量照射，引发辐射事故。</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应对措施：</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若出现卡堵源情况，首先迅速将病人撤出治疗室，医院关闭后装治疗室，专业技术人员到来前不得开启，同时派专人职守，防止无关人员进入事故现场，及时联系生产厂家或指定维修单位进行处理。专业技术人员排除事故时，应配备铅衣、铅手套、铅眼镜等防护措施和必要的剂量监测设备，并严格控制与放射源近距离操作的时间。</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 xml:space="preserve">    后装机使用的</w:t>
            </w:r>
            <w:r>
              <w:rPr>
                <w:rFonts w:hint="default" w:ascii="Times New Roman" w:hAnsi="Times New Roman" w:eastAsia="宋体" w:cs="Times New Roman"/>
                <w:color w:val="auto"/>
                <w:sz w:val="24"/>
                <w:highlight w:val="none"/>
                <w:vertAlign w:val="superscript"/>
              </w:rPr>
              <w:t>192</w:t>
            </w:r>
            <w:r>
              <w:rPr>
                <w:rFonts w:hint="default" w:ascii="Times New Roman" w:hAnsi="Times New Roman" w:eastAsia="宋体" w:cs="Times New Roman"/>
                <w:color w:val="auto"/>
                <w:sz w:val="24"/>
                <w:highlight w:val="none"/>
              </w:rPr>
              <w:t>Ir放射源为III类</w:t>
            </w:r>
            <w:r>
              <w:rPr>
                <w:rFonts w:hint="default" w:ascii="Times New Roman" w:hAnsi="Times New Roman" w:cs="Times New Roman"/>
                <w:color w:val="auto"/>
                <w:sz w:val="24"/>
                <w:highlight w:val="none"/>
              </w:rPr>
              <w:t>放射源，按照《放射性同位素与射线装置安全和防护条例》，该类放射源可能导致较大辐射事故，发生该类事故应即时上报</w:t>
            </w:r>
            <w:r>
              <w:rPr>
                <w:rFonts w:hint="default" w:ascii="Times New Roman" w:hAnsi="Times New Roman" w:cs="Times New Roman"/>
                <w:color w:val="auto"/>
                <w:sz w:val="24"/>
                <w:highlight w:val="none"/>
                <w:lang w:val="en-US" w:eastAsia="zh-CN"/>
              </w:rPr>
              <w:t>当地生态环境局</w:t>
            </w:r>
            <w:r>
              <w:rPr>
                <w:rFonts w:hint="default" w:ascii="Times New Roman" w:hAnsi="Times New Roman" w:cs="Times New Roman"/>
                <w:color w:val="auto"/>
                <w:sz w:val="24"/>
                <w:highlight w:val="none"/>
              </w:rPr>
              <w:t>和四川省生态环境厅。</w:t>
            </w:r>
          </w:p>
          <w:p>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事故综合防范应对措施</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医院在管理中必须认真执行安全操作规程和各项规章制度，强化安全管理，避免各辐射工作场所出现人员滞留事故发生；定期检查各辐射工作场所的门机联锁等辐射安全环保设施是否有效，同时应当加强控制区和监督区的管理，避免人员误入事故的发生。</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事故发生时应当立即启动事故应急程序，对于可能发生的各种事故，医院方面除在硬件上配齐、完善各种防范措施外，在软件设施上也注意了建设、补充和完善，使之在安全工作中发挥约束和规范作用，其主要内容有：</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①建立安全管理领导小组，组织管理医院的安全工作。</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②加强人员的培训，考试（核）合格、持证上岗。</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③建立岗位的安全操作规程和安全规章制度，注意检查考核，认真贯彻实施。</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④制定医院事故处理预案、完善组织、落实经费、准备物资、加强演练、时刻准备应对可能发生的各种事故和突发事件。</w:t>
            </w:r>
          </w:p>
          <w:p>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rPr>
              <w:t>以上各种事故的防范与对策措施，可减少或避免放射性事故的发生率，从而保证项目正常运营，也保障工作人员、公众的健康与安全。</w:t>
            </w:r>
          </w:p>
        </w:tc>
      </w:tr>
    </w:tbl>
    <w:p>
      <w:pPr>
        <w:rPr>
          <w:rFonts w:ascii="Times New Roman" w:hAnsi="Times New Roman"/>
          <w:b/>
          <w:bCs/>
          <w:color w:val="auto"/>
          <w:sz w:val="30"/>
          <w:szCs w:val="30"/>
        </w:rPr>
      </w:pPr>
      <w:r>
        <w:rPr>
          <w:rFonts w:ascii="Times New Roman" w:hAnsi="Times New Roman"/>
          <w:b/>
          <w:bCs/>
          <w:color w:val="auto"/>
          <w:sz w:val="30"/>
          <w:szCs w:val="30"/>
        </w:rPr>
        <w:br w:type="page"/>
      </w:r>
    </w:p>
    <w:p>
      <w:pPr>
        <w:pStyle w:val="3"/>
        <w:keepNext w:val="0"/>
        <w:keepLines w:val="0"/>
        <w:spacing w:before="0" w:after="0"/>
        <w:jc w:val="both"/>
        <w:rPr>
          <w:rFonts w:hint="default" w:ascii="Times New Roman" w:hAnsi="Times New Roman" w:eastAsia="宋体" w:cs="Times New Roman"/>
          <w:b/>
          <w:bCs w:val="0"/>
          <w:color w:val="auto"/>
          <w:kern w:val="0"/>
          <w:sz w:val="30"/>
          <w:szCs w:val="30"/>
        </w:rPr>
      </w:pPr>
      <w:bookmarkStart w:id="67" w:name="_Toc20762"/>
      <w:r>
        <w:rPr>
          <w:rFonts w:hint="default" w:ascii="Times New Roman" w:hAnsi="Times New Roman" w:eastAsia="宋体" w:cs="Times New Roman"/>
          <w:b/>
          <w:bCs w:val="0"/>
          <w:color w:val="auto"/>
          <w:kern w:val="0"/>
          <w:sz w:val="30"/>
          <w:szCs w:val="30"/>
        </w:rPr>
        <w:t>表12  辐射安全管理</w:t>
      </w:r>
      <w:bookmarkEnd w:id="67"/>
    </w:p>
    <w:tbl>
      <w:tblPr>
        <w:tblStyle w:val="17"/>
        <w:tblW w:w="9120"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0" w:type="dxa"/>
          </w:tcPr>
          <w:p>
            <w:pPr>
              <w:keepNext w:val="0"/>
              <w:keepLines w:val="0"/>
              <w:suppressLineNumbers w:val="0"/>
              <w:spacing w:before="0" w:beforeAutospacing="0" w:after="0" w:afterAutospacing="0" w:line="360" w:lineRule="auto"/>
              <w:ind w:left="0" w:right="0"/>
              <w:rPr>
                <w:rFonts w:hint="eastAsia" w:ascii="Times New Roman" w:hAnsi="Times New Roman" w:eastAsia="黑体"/>
                <w:color w:val="auto"/>
                <w:sz w:val="28"/>
                <w:szCs w:val="28"/>
                <w:lang w:val="en-US" w:eastAsia="zh-CN"/>
              </w:rPr>
            </w:pPr>
            <w:r>
              <w:rPr>
                <w:rFonts w:hint="default" w:ascii="Times New Roman" w:hAnsi="Times New Roman" w:eastAsia="黑体"/>
                <w:color w:val="auto"/>
                <w:sz w:val="28"/>
                <w:szCs w:val="28"/>
              </w:rPr>
              <w:t>辐射安全与环境保护管理</w:t>
            </w:r>
            <w:r>
              <w:rPr>
                <w:rFonts w:hint="eastAsia" w:ascii="Times New Roman" w:hAnsi="Times New Roman" w:eastAsia="黑体"/>
                <w:color w:val="auto"/>
                <w:sz w:val="28"/>
                <w:szCs w:val="28"/>
                <w:lang w:val="en-US" w:eastAsia="zh-CN"/>
              </w:rPr>
              <w:t>机构</w:t>
            </w:r>
          </w:p>
          <w:p>
            <w:pPr>
              <w:keepNext w:val="0"/>
              <w:keepLines w:val="0"/>
              <w:suppressLineNumbers w:val="0"/>
              <w:spacing w:before="0" w:beforeAutospacing="0" w:after="0" w:afterAutospacing="0" w:line="360" w:lineRule="auto"/>
              <w:ind w:left="0" w:right="0"/>
              <w:rPr>
                <w:rFonts w:hint="default" w:ascii="Times New Roman" w:hAnsi="Times New Roman"/>
                <w:b/>
                <w:bCs/>
                <w:color w:val="auto"/>
                <w:sz w:val="28"/>
                <w:szCs w:val="28"/>
              </w:rPr>
            </w:pPr>
            <w:r>
              <w:rPr>
                <w:rFonts w:hint="default" w:ascii="Times New Roman" w:hAnsi="Times New Roman"/>
                <w:b/>
                <w:bCs/>
                <w:color w:val="auto"/>
                <w:sz w:val="28"/>
                <w:szCs w:val="28"/>
              </w:rPr>
              <w:t>一、辐射防护安全和应急救援工作领导小组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成都市第五人民医院成立了管理委员会的通知</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成五院</w:t>
            </w:r>
            <w:r>
              <w:rPr>
                <w:rFonts w:hint="default" w:ascii="Times New Roman" w:hAnsi="Times New Roman" w:eastAsia="宋体" w:cs="Times New Roman"/>
                <w:color w:val="auto"/>
                <w:sz w:val="24"/>
                <w:szCs w:val="24"/>
                <w:lang w:val="en-US" w:eastAsia="zh-CN"/>
              </w:rPr>
              <w:t>发</w:t>
            </w:r>
            <w:r>
              <w:rPr>
                <w:rFonts w:hint="default" w:ascii="Times New Roman" w:hAnsi="Times New Roman" w:eastAsia="宋体" w:cs="Times New Roman"/>
                <w:color w:val="auto"/>
                <w:sz w:val="24"/>
                <w:szCs w:val="24"/>
              </w:rPr>
              <w:t>[20</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37</w:t>
            </w:r>
            <w:r>
              <w:rPr>
                <w:rFonts w:hint="default" w:ascii="Times New Roman" w:hAnsi="Times New Roman" w:eastAsia="宋体" w:cs="Times New Roman"/>
                <w:color w:val="auto"/>
                <w:sz w:val="24"/>
                <w:szCs w:val="24"/>
              </w:rPr>
              <w:t>号）</w:t>
            </w:r>
            <w:r>
              <w:rPr>
                <w:rFonts w:hint="eastAsia" w:ascii="Times New Roman" w:hAnsi="Times New Roman" w:cs="Times New Roman"/>
                <w:color w:val="auto"/>
                <w:sz w:val="24"/>
                <w:highlight w:val="none"/>
                <w:lang w:val="en-US" w:eastAsia="zh-CN"/>
              </w:rPr>
              <w:t>见附件4，</w:t>
            </w:r>
            <w:r>
              <w:rPr>
                <w:rFonts w:hint="default" w:ascii="Times New Roman" w:hAnsi="Times New Roman" w:eastAsia="宋体" w:cs="Times New Roman"/>
                <w:color w:val="auto"/>
                <w:sz w:val="24"/>
                <w:szCs w:val="24"/>
                <w:lang w:val="en-US" w:eastAsia="zh-CN"/>
              </w:rPr>
              <w:t>明确了管理人员职责。其职责包括：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lang w:val="en-US" w:eastAsia="zh-CN"/>
              </w:rPr>
              <w:t>负责</w:t>
            </w:r>
            <w:r>
              <w:rPr>
                <w:rFonts w:hint="eastAsia" w:ascii="Times New Roman" w:hAnsi="Times New Roman" w:cs="Times New Roman"/>
                <w:color w:val="auto"/>
                <w:sz w:val="24"/>
                <w:szCs w:val="24"/>
                <w:lang w:val="en-US" w:eastAsia="zh-CN"/>
              </w:rPr>
              <w:t>对</w:t>
            </w:r>
            <w:r>
              <w:rPr>
                <w:rFonts w:hint="default" w:ascii="Times New Roman" w:hAnsi="Times New Roman" w:eastAsia="宋体" w:cs="Times New Roman"/>
                <w:color w:val="auto"/>
                <w:sz w:val="24"/>
                <w:szCs w:val="24"/>
                <w:lang w:val="en-US" w:eastAsia="zh-CN"/>
              </w:rPr>
              <w:t>放射</w:t>
            </w:r>
            <w:r>
              <w:rPr>
                <w:rFonts w:hint="eastAsia" w:ascii="Times New Roman" w:hAnsi="Times New Roman" w:cs="Times New Roman"/>
                <w:color w:val="auto"/>
                <w:sz w:val="24"/>
                <w:szCs w:val="24"/>
                <w:lang w:val="en-US" w:eastAsia="zh-CN"/>
              </w:rPr>
              <w:t>诊疗工作中的</w:t>
            </w:r>
            <w:r>
              <w:rPr>
                <w:rFonts w:hint="default" w:ascii="Times New Roman" w:hAnsi="Times New Roman" w:eastAsia="宋体" w:cs="Times New Roman"/>
                <w:color w:val="auto"/>
                <w:sz w:val="24"/>
                <w:szCs w:val="24"/>
                <w:lang w:val="en-US" w:eastAsia="zh-CN"/>
              </w:rPr>
              <w:t>安全</w:t>
            </w:r>
            <w:r>
              <w:rPr>
                <w:rFonts w:hint="eastAsia" w:ascii="Times New Roman" w:hAnsi="Times New Roman" w:cs="Times New Roman"/>
                <w:color w:val="auto"/>
                <w:sz w:val="24"/>
                <w:szCs w:val="24"/>
                <w:lang w:val="en-US" w:eastAsia="zh-CN"/>
              </w:rPr>
              <w:t>隐患提出指导性的改进意见；讨论、决定放射诊疗工作的院内处理意见，收集放射治疗工作中的有关信息资料并加以记录归类。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lang w:val="en-US" w:eastAsia="zh-CN"/>
              </w:rPr>
              <w:t>负责放射</w:t>
            </w:r>
            <w:r>
              <w:rPr>
                <w:rFonts w:hint="eastAsia" w:ascii="Times New Roman" w:hAnsi="Times New Roman" w:cs="Times New Roman"/>
                <w:color w:val="auto"/>
                <w:sz w:val="24"/>
                <w:szCs w:val="24"/>
                <w:lang w:val="en-US" w:eastAsia="zh-CN"/>
              </w:rPr>
              <w:t>诊疗质量管理工作，制定放射诊疗质量管理的年度计划、总结，审定各放射诊疗科室制定的有关放射诊疗质量控制指标，评价改进意见</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lang w:val="en-US" w:eastAsia="zh-CN"/>
              </w:rPr>
              <w:t>负责全院放射防护各项管理的协调、监督、资料收集、整理、归档、报送，年度总结和计划等工作。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④</w:t>
            </w:r>
            <w:r>
              <w:rPr>
                <w:rFonts w:hint="default" w:ascii="Times New Roman" w:hAnsi="Times New Roman" w:eastAsia="宋体" w:cs="Times New Roman"/>
                <w:color w:val="auto"/>
                <w:sz w:val="24"/>
                <w:szCs w:val="24"/>
                <w:lang w:val="en-US" w:eastAsia="zh-CN"/>
              </w:rPr>
              <w:t>负责放射</w:t>
            </w:r>
            <w:r>
              <w:rPr>
                <w:rFonts w:hint="eastAsia" w:ascii="Times New Roman" w:hAnsi="Times New Roman" w:cs="Times New Roman"/>
                <w:color w:val="auto"/>
                <w:sz w:val="24"/>
                <w:szCs w:val="24"/>
                <w:lang w:val="en-US" w:eastAsia="zh-CN"/>
              </w:rPr>
              <w:t>诊疗质量管理委员会会议人员的召集，提供会议讨论资料，起草会议决议</w:t>
            </w:r>
            <w:r>
              <w:rPr>
                <w:rFonts w:hint="default" w:ascii="Times New Roman" w:hAnsi="Times New Roman" w:eastAsia="宋体" w:cs="Times New Roman"/>
                <w:color w:val="auto"/>
                <w:sz w:val="24"/>
                <w:szCs w:val="24"/>
                <w:lang w:val="en-US" w:eastAsia="zh-CN"/>
              </w:rPr>
              <w:t>。</w:t>
            </w:r>
          </w:p>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⑤</w:t>
            </w:r>
            <w:r>
              <w:rPr>
                <w:rFonts w:hint="eastAsia" w:ascii="Times New Roman" w:cs="Times New Roman"/>
                <w:color w:val="auto"/>
                <w:sz w:val="24"/>
                <w:szCs w:val="24"/>
                <w:lang w:val="en-US" w:eastAsia="zh-CN"/>
              </w:rPr>
              <w:t>讨论并决定放射诊疗新技术、新项目准入相关事项</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6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⑥</w:t>
            </w:r>
            <w:r>
              <w:rPr>
                <w:rFonts w:hint="default" w:ascii="Times New Roman" w:hAnsi="Times New Roman" w:eastAsia="宋体" w:cs="Times New Roman"/>
                <w:color w:val="auto"/>
                <w:sz w:val="24"/>
              </w:rPr>
              <w:fldChar w:fldCharType="end"/>
            </w:r>
            <w:r>
              <w:rPr>
                <w:rFonts w:hint="eastAsia" w:ascii="Times New Roman" w:hAnsi="Times New Roman" w:cs="Times New Roman"/>
                <w:color w:val="auto"/>
                <w:sz w:val="24"/>
                <w:lang w:val="en-US" w:eastAsia="zh-CN"/>
              </w:rPr>
              <w:t>提出放射诊疗质量相关教育、培训的要求，并督促落实</w:t>
            </w:r>
            <w:r>
              <w:rPr>
                <w:rFonts w:hint="default" w:ascii="Times New Roman" w:hAnsi="Times New Roman" w:eastAsia="宋体" w:cs="Times New Roman"/>
                <w:color w:val="auto"/>
                <w:sz w:val="24"/>
                <w:lang w:val="en-US" w:eastAsia="zh-CN"/>
              </w:rPr>
              <w:t>。</w:t>
            </w:r>
          </w:p>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⑦负责全院放射设备档案及设备使用安全管理。</w:t>
            </w:r>
          </w:p>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⑧</w:t>
            </w:r>
            <w:r>
              <w:rPr>
                <w:rFonts w:hint="eastAsia" w:ascii="Times New Roman" w:cs="Times New Roman"/>
                <w:color w:val="auto"/>
                <w:sz w:val="24"/>
                <w:lang w:val="en-US" w:eastAsia="zh-CN"/>
              </w:rPr>
              <w:t>放射诊疗质量管理委员会秘书负责委员会会议记录及各诊疗科室数据收集、问题反馈等</w:t>
            </w:r>
            <w:r>
              <w:rPr>
                <w:rFonts w:hint="default" w:ascii="Times New Roman" w:hAnsi="Times New Roman" w:eastAsia="宋体" w:cs="Times New Roman"/>
                <w:color w:val="auto"/>
                <w:sz w:val="24"/>
                <w:lang w:val="en-US" w:eastAsia="zh-CN"/>
              </w:rPr>
              <w:t>。</w:t>
            </w:r>
          </w:p>
          <w:p>
            <w:pPr>
              <w:keepNext/>
              <w:keepLines w:val="0"/>
              <w:suppressLineNumbers w:val="0"/>
              <w:spacing w:before="0" w:beforeAutospacing="0" w:after="0" w:afterAutospacing="0" w:line="360" w:lineRule="auto"/>
              <w:ind w:left="0" w:right="0"/>
              <w:rPr>
                <w:rFonts w:hint="default" w:ascii="Times New Roman" w:hAnsi="Times New Roman"/>
                <w:b/>
                <w:bCs/>
                <w:color w:val="auto"/>
                <w:sz w:val="28"/>
                <w:szCs w:val="28"/>
              </w:rPr>
            </w:pPr>
            <w:r>
              <w:rPr>
                <w:rFonts w:hint="default" w:ascii="Times New Roman" w:hAnsi="Times New Roman"/>
                <w:b/>
                <w:bCs/>
                <w:color w:val="auto"/>
                <w:sz w:val="28"/>
                <w:szCs w:val="28"/>
              </w:rPr>
              <w:t>二、辐射工作岗位人员配置和能力分析</w:t>
            </w:r>
          </w:p>
          <w:p>
            <w:pPr>
              <w:keepNext/>
              <w:keepLines w:val="0"/>
              <w:suppressLineNumbers w:val="0"/>
              <w:spacing w:before="0" w:beforeAutospacing="0" w:after="0" w:afterAutospacing="0" w:line="360" w:lineRule="auto"/>
              <w:ind w:left="0" w:right="0" w:firstLine="580" w:firstLineChars="242"/>
              <w:jc w:val="both"/>
              <w:rPr>
                <w:rFonts w:hint="default" w:ascii="Times New Roman" w:hAnsi="Times New Roman"/>
                <w:color w:val="auto"/>
                <w:sz w:val="24"/>
              </w:rPr>
            </w:pPr>
            <w:r>
              <w:rPr>
                <w:rFonts w:hint="default" w:ascii="Times New Roman" w:hAnsi="Times New Roman"/>
                <w:color w:val="auto"/>
                <w:sz w:val="24"/>
              </w:rPr>
              <w:t>（1）辐射工作岗位人员配置和能力现状分析</w:t>
            </w:r>
          </w:p>
          <w:p>
            <w:pPr>
              <w:keepNext w:val="0"/>
              <w:keepLines w:val="0"/>
              <w:suppressLineNumbers w:val="0"/>
              <w:autoSpaceDN w:val="0"/>
              <w:spacing w:before="0" w:beforeAutospacing="0" w:after="0" w:afterAutospacing="0" w:line="360" w:lineRule="auto"/>
              <w:ind w:left="0" w:right="0" w:firstLine="480" w:firstLineChars="200"/>
              <w:jc w:val="both"/>
              <w:rPr>
                <w:rFonts w:hint="default" w:ascii="Times New Roman" w:hAnsi="Times New Roman"/>
                <w:color w:val="auto"/>
                <w:sz w:val="24"/>
              </w:rPr>
            </w:pPr>
            <w:r>
              <w:rPr>
                <w:rFonts w:hint="eastAsia" w:ascii="宋体" w:hAnsi="宋体" w:cs="宋体"/>
                <w:color w:val="auto"/>
                <w:sz w:val="24"/>
              </w:rPr>
              <w:t>①</w:t>
            </w:r>
            <w:r>
              <w:rPr>
                <w:rFonts w:hint="eastAsia" w:ascii="Times New Roman" w:hAnsi="Times New Roman"/>
                <w:color w:val="auto"/>
                <w:sz w:val="24"/>
                <w:szCs w:val="24"/>
                <w:lang w:val="en-US" w:eastAsia="zh-CN"/>
              </w:rPr>
              <w:t>本项目</w:t>
            </w:r>
            <w:r>
              <w:rPr>
                <w:rFonts w:hint="eastAsia" w:ascii="Times New Roman" w:hAnsi="Times New Roman"/>
                <w:color w:val="auto"/>
                <w:sz w:val="24"/>
                <w:szCs w:val="24"/>
              </w:rPr>
              <w:t>拟</w:t>
            </w:r>
            <w:r>
              <w:rPr>
                <w:rFonts w:hint="default" w:ascii="Times New Roman" w:hAnsi="Times New Roman"/>
                <w:color w:val="auto"/>
                <w:sz w:val="24"/>
                <w:szCs w:val="24"/>
              </w:rPr>
              <w:t>配备辐射工作人员</w:t>
            </w:r>
            <w:r>
              <w:rPr>
                <w:rFonts w:hint="eastAsia" w:ascii="Times New Roman" w:hAnsi="Times New Roman"/>
                <w:color w:val="auto"/>
                <w:sz w:val="24"/>
                <w:szCs w:val="24"/>
                <w:lang w:val="en-US" w:eastAsia="zh-CN"/>
              </w:rPr>
              <w:t>26</w:t>
            </w:r>
            <w:r>
              <w:rPr>
                <w:rFonts w:hint="default" w:ascii="Times New Roman" w:hAnsi="Times New Roman"/>
                <w:color w:val="auto"/>
                <w:sz w:val="24"/>
                <w:szCs w:val="24"/>
              </w:rPr>
              <w:t>名，</w:t>
            </w:r>
            <w:r>
              <w:rPr>
                <w:rFonts w:hint="eastAsia" w:ascii="Times New Roman" w:hAnsi="Times New Roman" w:cs="Times New Roman"/>
                <w:color w:val="auto"/>
                <w:sz w:val="24"/>
                <w:szCs w:val="24"/>
                <w:lang w:val="en-US" w:eastAsia="zh-CN"/>
              </w:rPr>
              <w:t>均为新增辐射工作人员，</w:t>
            </w:r>
            <w:r>
              <w:rPr>
                <w:rFonts w:hint="default" w:ascii="Times New Roman" w:hAnsi="Times New Roman" w:cs="Times New Roman"/>
                <w:color w:val="auto"/>
                <w:sz w:val="24"/>
                <w:szCs w:val="24"/>
              </w:rPr>
              <w:t>根据设备数量</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承担诊疗</w:t>
            </w:r>
            <w:r>
              <w:rPr>
                <w:rFonts w:hint="eastAsia" w:ascii="Times New Roman" w:hAnsi="Times New Roman" w:cs="Times New Roman"/>
                <w:color w:val="auto"/>
                <w:sz w:val="24"/>
                <w:szCs w:val="24"/>
                <w:lang w:val="en-US" w:eastAsia="zh-CN"/>
              </w:rPr>
              <w:t>和</w:t>
            </w:r>
            <w:r>
              <w:rPr>
                <w:rFonts w:hint="default" w:ascii="Times New Roman" w:hAnsi="Times New Roman" w:cs="Times New Roman"/>
                <w:color w:val="auto"/>
                <w:sz w:val="24"/>
                <w:szCs w:val="24"/>
              </w:rPr>
              <w:t>教学科研任务</w:t>
            </w:r>
            <w:r>
              <w:rPr>
                <w:rFonts w:hint="eastAsia" w:ascii="Times New Roman" w:hAnsi="Times New Roman" w:cs="Times New Roman"/>
                <w:color w:val="auto"/>
                <w:sz w:val="24"/>
                <w:szCs w:val="24"/>
                <w:lang w:val="en-US" w:eastAsia="zh-CN"/>
              </w:rPr>
              <w:t>量</w:t>
            </w:r>
            <w:r>
              <w:rPr>
                <w:rFonts w:hint="default" w:ascii="Times New Roman" w:hAnsi="Times New Roman" w:cs="Times New Roman"/>
                <w:color w:val="auto"/>
                <w:sz w:val="24"/>
                <w:szCs w:val="24"/>
              </w:rPr>
              <w:t>等实际情况</w:t>
            </w:r>
            <w:r>
              <w:rPr>
                <w:rFonts w:hint="eastAsia" w:ascii="Times New Roman" w:hAnsi="Times New Roman" w:cs="Times New Roman"/>
                <w:color w:val="auto"/>
                <w:sz w:val="24"/>
                <w:szCs w:val="24"/>
                <w:lang w:val="en-US" w:eastAsia="zh-CN"/>
              </w:rPr>
              <w:t>逐步增加。本项目辐射工作人员专岗专责，从事本项目诊疗项目后不承担其他辐射工作</w:t>
            </w:r>
            <w:r>
              <w:rPr>
                <w:rFonts w:hint="default" w:ascii="Times New Roman" w:hAnsi="Times New Roman"/>
                <w:bCs/>
                <w:color w:val="auto"/>
                <w:sz w:val="24"/>
                <w:szCs w:val="24"/>
              </w:rPr>
              <w:t>，不存在</w:t>
            </w:r>
            <w:r>
              <w:rPr>
                <w:rFonts w:hint="eastAsia" w:ascii="Times New Roman" w:hAnsi="Times New Roman"/>
                <w:bCs/>
                <w:color w:val="auto"/>
                <w:sz w:val="24"/>
                <w:szCs w:val="24"/>
                <w:lang w:val="en-US" w:eastAsia="zh-CN"/>
              </w:rPr>
              <w:t>辐射工作人员在多辐射场所工作</w:t>
            </w:r>
            <w:r>
              <w:rPr>
                <w:rFonts w:hint="default" w:ascii="Times New Roman" w:hAnsi="Times New Roman"/>
                <w:bCs/>
                <w:color w:val="auto"/>
                <w:sz w:val="24"/>
                <w:szCs w:val="24"/>
              </w:rPr>
              <w:t>问题。</w:t>
            </w:r>
          </w:p>
          <w:p>
            <w:pPr>
              <w:keepNext w:val="0"/>
              <w:keepLines w:val="0"/>
              <w:suppressLineNumbers w:val="0"/>
              <w:autoSpaceDN w:val="0"/>
              <w:spacing w:before="0" w:beforeAutospacing="0" w:after="0" w:afterAutospacing="0" w:line="360" w:lineRule="auto"/>
              <w:ind w:left="0" w:right="0"/>
              <w:jc w:val="both"/>
              <w:rPr>
                <w:rFonts w:hint="default" w:ascii="Times New Roman" w:hAnsi="Times New Roman"/>
                <w:color w:val="auto"/>
                <w:sz w:val="24"/>
              </w:rPr>
            </w:pPr>
            <w:r>
              <w:rPr>
                <w:rFonts w:hint="default" w:ascii="Times New Roman" w:hAnsi="Times New Roman"/>
                <w:color w:val="auto"/>
                <w:sz w:val="24"/>
              </w:rPr>
              <w:t xml:space="preserve">    </w:t>
            </w:r>
            <w:r>
              <w:rPr>
                <w:rFonts w:hint="eastAsia" w:ascii="宋体" w:hAnsi="宋体" w:cs="宋体"/>
                <w:color w:val="auto"/>
                <w:sz w:val="24"/>
              </w:rPr>
              <w:t>②核素和</w:t>
            </w:r>
            <w:r>
              <w:rPr>
                <w:rFonts w:hint="default" w:ascii="Times New Roman" w:hAnsi="Times New Roman"/>
                <w:color w:val="auto"/>
                <w:sz w:val="24"/>
              </w:rPr>
              <w:t>射线操作人员均需取得射线装置操作证书，熟悉专业技术。</w:t>
            </w:r>
          </w:p>
          <w:p>
            <w:pPr>
              <w:keepNext/>
              <w:keepLines w:val="0"/>
              <w:suppressLineNumbers w:val="0"/>
              <w:spacing w:before="0" w:beforeAutospacing="0" w:after="0" w:afterAutospacing="0" w:line="360" w:lineRule="auto"/>
              <w:ind w:left="0" w:right="0" w:firstLine="480" w:firstLineChars="200"/>
              <w:jc w:val="both"/>
              <w:rPr>
                <w:rFonts w:hint="default" w:ascii="Times New Roman" w:hAnsi="Times New Roman"/>
                <w:color w:val="auto"/>
                <w:sz w:val="24"/>
              </w:rPr>
            </w:pPr>
            <w:r>
              <w:rPr>
                <w:rFonts w:hint="eastAsia" w:ascii="宋体" w:hAnsi="宋体" w:cs="宋体"/>
                <w:color w:val="auto"/>
                <w:sz w:val="24"/>
              </w:rPr>
              <w:t>③</w:t>
            </w:r>
            <w:r>
              <w:rPr>
                <w:rFonts w:hint="default" w:ascii="Times New Roman" w:hAnsi="Times New Roman"/>
                <w:color w:val="auto"/>
                <w:sz w:val="24"/>
              </w:rPr>
              <w:t>医院</w:t>
            </w:r>
            <w:r>
              <w:rPr>
                <w:rFonts w:hint="eastAsia" w:ascii="Times New Roman" w:hAnsi="Times New Roman"/>
                <w:color w:val="auto"/>
                <w:sz w:val="24"/>
              </w:rPr>
              <w:t>应定期</w:t>
            </w:r>
            <w:r>
              <w:rPr>
                <w:rFonts w:hint="default" w:ascii="Times New Roman" w:hAnsi="Times New Roman"/>
                <w:color w:val="auto"/>
                <w:sz w:val="24"/>
              </w:rPr>
              <w:t>委托</w:t>
            </w:r>
            <w:r>
              <w:rPr>
                <w:rFonts w:hint="eastAsia" w:ascii="Times New Roman" w:hAnsi="Times New Roman"/>
                <w:color w:val="auto"/>
                <w:sz w:val="24"/>
              </w:rPr>
              <w:t>有资质的单位对</w:t>
            </w:r>
            <w:r>
              <w:rPr>
                <w:rFonts w:hint="default" w:ascii="Times New Roman" w:hAnsi="Times New Roman"/>
                <w:color w:val="auto"/>
                <w:sz w:val="24"/>
              </w:rPr>
              <w:t>辐射工作人员个人剂量</w:t>
            </w:r>
            <w:r>
              <w:rPr>
                <w:rFonts w:hint="eastAsia" w:ascii="Times New Roman" w:hAnsi="Times New Roman"/>
                <w:color w:val="auto"/>
                <w:sz w:val="24"/>
              </w:rPr>
              <w:t>进行</w:t>
            </w:r>
            <w:r>
              <w:rPr>
                <w:rFonts w:hint="default" w:ascii="Times New Roman" w:hAnsi="Times New Roman"/>
                <w:color w:val="auto"/>
                <w:sz w:val="24"/>
              </w:rPr>
              <w:t>检测</w:t>
            </w:r>
            <w:r>
              <w:rPr>
                <w:rFonts w:hint="eastAsia" w:ascii="Times New Roman" w:hAnsi="Times New Roman"/>
                <w:color w:val="auto"/>
                <w:sz w:val="24"/>
              </w:rPr>
              <w:t>，且应建立</w:t>
            </w:r>
            <w:r>
              <w:rPr>
                <w:rFonts w:hint="default" w:ascii="Times New Roman" w:hAnsi="Times New Roman"/>
                <w:color w:val="auto"/>
                <w:sz w:val="24"/>
              </w:rPr>
              <w:t>辐射工作人员个人剂量档案管理。</w:t>
            </w:r>
          </w:p>
          <w:p>
            <w:pPr>
              <w:pStyle w:val="9"/>
              <w:keepNext w:val="0"/>
              <w:keepLines w:val="0"/>
              <w:suppressLineNumbers w:val="0"/>
              <w:spacing w:before="0" w:beforeAutospacing="0" w:after="0" w:afterAutospacing="0" w:line="360" w:lineRule="auto"/>
              <w:ind w:left="0" w:right="0" w:firstLine="480"/>
              <w:jc w:val="both"/>
              <w:rPr>
                <w:rFonts w:hint="default" w:ascii="Times New Roman" w:hAnsi="Times New Roman"/>
                <w:color w:val="auto"/>
                <w:sz w:val="24"/>
              </w:rPr>
            </w:pPr>
            <w:r>
              <w:rPr>
                <w:rFonts w:hint="default" w:ascii="Times New Roman" w:hAnsi="Times New Roman"/>
                <w:color w:val="auto"/>
                <w:sz w:val="24"/>
              </w:rPr>
              <w:t>（2）辐射工作人员能力培养方面还需从以下几个方面加强</w:t>
            </w:r>
          </w:p>
          <w:p>
            <w:pPr>
              <w:pStyle w:val="9"/>
              <w:keepNext w:val="0"/>
              <w:keepLines w:val="0"/>
              <w:suppressLineNumbers w:val="0"/>
              <w:spacing w:before="0" w:beforeAutospacing="0" w:after="0" w:afterAutospacing="0" w:line="360" w:lineRule="auto"/>
              <w:ind w:left="0" w:right="0" w:firstLine="0"/>
              <w:jc w:val="both"/>
              <w:rPr>
                <w:rFonts w:hint="default" w:ascii="Times New Roman" w:hAnsi="Times New Roman"/>
                <w:color w:val="auto"/>
                <w:sz w:val="24"/>
              </w:rPr>
            </w:pPr>
            <w:r>
              <w:rPr>
                <w:rFonts w:hint="default" w:ascii="Times New Roman" w:hAnsi="Times New Roman"/>
                <w:color w:val="auto"/>
                <w:sz w:val="24"/>
              </w:rPr>
              <w:t xml:space="preserve">    </w:t>
            </w:r>
            <w:r>
              <w:rPr>
                <w:rFonts w:hint="eastAsia" w:ascii="宋体" w:hAnsi="宋体" w:cs="宋体"/>
                <w:color w:val="auto"/>
                <w:sz w:val="24"/>
              </w:rPr>
              <w:t>①</w:t>
            </w:r>
            <w:r>
              <w:rPr>
                <w:rFonts w:hint="default" w:ascii="Times New Roman" w:hAnsi="Times New Roman"/>
                <w:color w:val="auto"/>
                <w:sz w:val="24"/>
              </w:rPr>
              <w:t>对放射性同位素、放射源、医用射线装置，应加强操作人员对其安全操作的培训。</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Times New Roman" w:hAnsi="Times New Roman"/>
                <w:color w:val="auto"/>
                <w:sz w:val="24"/>
              </w:rPr>
            </w:pPr>
            <w:r>
              <w:rPr>
                <w:rFonts w:hint="default" w:ascii="Times New Roman" w:hAnsi="Times New Roman"/>
                <w:color w:val="auto"/>
                <w:sz w:val="24"/>
              </w:rPr>
              <w:t xml:space="preserve">    </w:t>
            </w:r>
            <w:r>
              <w:rPr>
                <w:rFonts w:hint="eastAsia" w:ascii="宋体" w:hAnsi="宋体" w:cs="宋体"/>
                <w:color w:val="auto"/>
                <w:sz w:val="24"/>
              </w:rPr>
              <w:t>②</w:t>
            </w:r>
            <w:r>
              <w:rPr>
                <w:rFonts w:hint="eastAsia" w:ascii="Times New Roman" w:hAnsi="Times New Roman" w:cs="Times New Roman"/>
                <w:b w:val="0"/>
                <w:bCs w:val="0"/>
                <w:color w:val="auto"/>
                <w:sz w:val="24"/>
                <w:lang w:val="en-US" w:eastAsia="zh-CN"/>
              </w:rPr>
              <w:t>建设单位</w:t>
            </w:r>
            <w:r>
              <w:rPr>
                <w:rFonts w:hint="default" w:ascii="Times New Roman" w:hAnsi="Times New Roman" w:eastAsia="宋体" w:cs="Times New Roman"/>
                <w:b w:val="0"/>
                <w:bCs w:val="0"/>
                <w:color w:val="auto"/>
                <w:sz w:val="24"/>
              </w:rPr>
              <w:t>应严格执行辐射工作人员培训制度，</w:t>
            </w:r>
            <w:r>
              <w:rPr>
                <w:rFonts w:hint="default" w:ascii="Times New Roman" w:hAnsi="Times New Roman" w:cs="Times New Roman"/>
                <w:b w:val="0"/>
                <w:bCs w:val="0"/>
                <w:color w:val="auto"/>
                <w:sz w:val="24"/>
                <w:lang w:eastAsia="zh-CN"/>
              </w:rPr>
              <w:t>组织辐射工作人员及相关管理人员在国家核技术利用辐射安全与防护培训平台</w:t>
            </w:r>
            <w:r>
              <w:rPr>
                <w:rFonts w:hint="default" w:ascii="Times New Roman" w:hAnsi="Times New Roman" w:eastAsia="宋体" w:cs="Times New Roman"/>
                <w:b w:val="0"/>
                <w:bCs w:val="0"/>
                <w:color w:val="auto"/>
                <w:sz w:val="24"/>
                <w:lang w:val="en-US" w:eastAsia="zh-CN"/>
              </w:rPr>
              <w:t>（http:/fushe.mee.gov.cn）</w:t>
            </w:r>
            <w:r>
              <w:rPr>
                <w:rFonts w:hint="default" w:ascii="Times New Roman" w:hAnsi="Times New Roman" w:cs="Times New Roman"/>
                <w:b w:val="0"/>
                <w:bCs w:val="0"/>
                <w:color w:val="auto"/>
                <w:sz w:val="24"/>
                <w:lang w:eastAsia="zh-CN"/>
              </w:rPr>
              <w:t>上</w:t>
            </w:r>
            <w:r>
              <w:rPr>
                <w:rFonts w:hint="default" w:ascii="Times New Roman" w:hAnsi="Times New Roman" w:eastAsia="宋体" w:cs="Times New Roman"/>
                <w:b w:val="0"/>
                <w:bCs w:val="0"/>
                <w:color w:val="auto"/>
                <w:sz w:val="24"/>
                <w:lang w:val="en-US" w:eastAsia="zh-CN"/>
              </w:rPr>
              <w:t>参加</w:t>
            </w:r>
            <w:r>
              <w:rPr>
                <w:rFonts w:hint="default" w:ascii="Times New Roman" w:hAnsi="Times New Roman" w:eastAsia="宋体" w:cs="Times New Roman"/>
                <w:b w:val="0"/>
                <w:bCs w:val="0"/>
                <w:color w:val="auto"/>
                <w:sz w:val="24"/>
              </w:rPr>
              <w:t>辐射安全与防护</w:t>
            </w:r>
            <w:r>
              <w:rPr>
                <w:rFonts w:hint="default" w:ascii="Times New Roman" w:hAnsi="Times New Roman" w:eastAsia="宋体" w:cs="Times New Roman"/>
                <w:b w:val="0"/>
                <w:bCs w:val="0"/>
                <w:color w:val="auto"/>
                <w:sz w:val="24"/>
                <w:lang w:eastAsia="zh-CN"/>
              </w:rPr>
              <w:t>专业知识的</w:t>
            </w:r>
            <w:r>
              <w:rPr>
                <w:rFonts w:hint="default" w:ascii="Times New Roman" w:hAnsi="Times New Roman" w:eastAsia="宋体" w:cs="Times New Roman"/>
                <w:b w:val="0"/>
                <w:bCs w:val="0"/>
                <w:color w:val="auto"/>
                <w:sz w:val="24"/>
              </w:rPr>
              <w:t>学习</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考核，</w:t>
            </w:r>
            <w:r>
              <w:rPr>
                <w:rFonts w:hint="default" w:ascii="Times New Roman" w:hAnsi="Times New Roman" w:eastAsia="宋体" w:cs="Times New Roman"/>
                <w:b w:val="0"/>
                <w:bCs w:val="0"/>
                <w:color w:val="auto"/>
                <w:sz w:val="24"/>
                <w:lang w:eastAsia="zh-CN"/>
              </w:rPr>
              <w:t>考核通过</w:t>
            </w:r>
            <w:r>
              <w:rPr>
                <w:rFonts w:hint="default" w:ascii="Times New Roman" w:hAnsi="Times New Roman" w:eastAsia="宋体" w:cs="Times New Roman"/>
                <w:b w:val="0"/>
                <w:bCs w:val="0"/>
                <w:color w:val="auto"/>
                <w:sz w:val="24"/>
              </w:rPr>
              <w:t>后方</w:t>
            </w:r>
            <w:r>
              <w:rPr>
                <w:rFonts w:hint="default" w:ascii="Times New Roman" w:hAnsi="Times New Roman" w:eastAsia="宋体" w:cs="Times New Roman"/>
                <w:b w:val="0"/>
                <w:bCs w:val="0"/>
                <w:color w:val="auto"/>
                <w:sz w:val="24"/>
                <w:lang w:val="en-US" w:eastAsia="zh-CN"/>
              </w:rPr>
              <w:t>可</w:t>
            </w:r>
            <w:r>
              <w:rPr>
                <w:rFonts w:hint="default" w:ascii="Times New Roman" w:hAnsi="Times New Roman" w:eastAsia="宋体" w:cs="Times New Roman"/>
                <w:b w:val="0"/>
                <w:bCs w:val="0"/>
                <w:color w:val="auto"/>
                <w:sz w:val="24"/>
              </w:rPr>
              <w:t>上岗</w:t>
            </w:r>
            <w:r>
              <w:rPr>
                <w:rFonts w:hint="eastAsia" w:ascii="Times New Roman" w:hAnsi="Times New Roman"/>
                <w:color w:val="auto"/>
                <w:sz w:val="24"/>
                <w:lang w:eastAsia="zh-CN"/>
              </w:rPr>
              <w:t>，</w:t>
            </w:r>
            <w:r>
              <w:rPr>
                <w:rFonts w:hint="default" w:ascii="Times New Roman" w:hAnsi="Times New Roman"/>
                <w:color w:val="auto"/>
                <w:sz w:val="24"/>
              </w:rPr>
              <w:t>需</w:t>
            </w:r>
            <w:r>
              <w:rPr>
                <w:rFonts w:hint="eastAsia" w:ascii="Times New Roman" w:hAnsi="Times New Roman"/>
                <w:color w:val="auto"/>
                <w:sz w:val="24"/>
                <w:lang w:val="en-US" w:eastAsia="zh-CN"/>
              </w:rPr>
              <w:t>确保在有效期内</w:t>
            </w:r>
            <w:r>
              <w:rPr>
                <w:rFonts w:hint="default" w:ascii="Times New Roman" w:hAnsi="Times New Roman"/>
                <w:color w:val="auto"/>
                <w:sz w:val="24"/>
              </w:rPr>
              <w:t>。</w:t>
            </w:r>
          </w:p>
          <w:p>
            <w:pPr>
              <w:keepNext w:val="0"/>
              <w:keepLines w:val="0"/>
              <w:suppressLineNumbers w:val="0"/>
              <w:spacing w:before="0" w:beforeAutospacing="0" w:after="0" w:afterAutospacing="0" w:line="360" w:lineRule="auto"/>
              <w:ind w:left="0" w:right="0" w:firstLine="480"/>
              <w:jc w:val="both"/>
              <w:rPr>
                <w:rFonts w:hint="default" w:ascii="Times New Roman" w:hAnsi="Times New Roman"/>
                <w:color w:val="auto"/>
                <w:sz w:val="24"/>
              </w:rPr>
            </w:pPr>
            <w:r>
              <w:rPr>
                <w:rFonts w:hint="eastAsia" w:ascii="宋体" w:hAnsi="宋体" w:cs="宋体"/>
                <w:color w:val="auto"/>
                <w:sz w:val="24"/>
              </w:rPr>
              <w:t>③</w:t>
            </w:r>
            <w:r>
              <w:rPr>
                <w:rFonts w:hint="default" w:ascii="Times New Roman" w:hAnsi="Times New Roman"/>
                <w:color w:val="auto"/>
                <w:sz w:val="24"/>
              </w:rPr>
              <w:t>个人剂量档案管理人员应将每季度的检测结果告知辐射工作人员，如发现结果异常，将在第一时间通知相关人员，查明原因并解决发现的问题。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0" w:type="dxa"/>
          </w:tcPr>
          <w:p>
            <w:pPr>
              <w:keepNext w:val="0"/>
              <w:keepLines w:val="0"/>
              <w:suppressLineNumbers w:val="0"/>
              <w:spacing w:before="0" w:beforeAutospacing="0" w:after="0" w:afterAutospacing="0" w:line="360" w:lineRule="auto"/>
              <w:ind w:left="0" w:right="0"/>
              <w:rPr>
                <w:rFonts w:hint="default" w:ascii="Times New Roman" w:hAnsi="Times New Roman" w:eastAsia="黑体"/>
                <w:color w:val="auto"/>
                <w:sz w:val="28"/>
                <w:szCs w:val="28"/>
              </w:rPr>
            </w:pPr>
            <w:bookmarkStart w:id="68" w:name="_Toc449709635"/>
            <w:r>
              <w:rPr>
                <w:rFonts w:hint="default" w:ascii="Times New Roman" w:hAnsi="Times New Roman" w:eastAsia="黑体"/>
                <w:color w:val="auto"/>
                <w:sz w:val="28"/>
                <w:szCs w:val="28"/>
              </w:rPr>
              <w:t>辐射安全管理规章制度</w:t>
            </w:r>
            <w:bookmarkEnd w:id="68"/>
          </w:p>
          <w:p>
            <w:pPr>
              <w:keepNext w:val="0"/>
              <w:keepLines w:val="0"/>
              <w:suppressLineNumbers w:val="0"/>
              <w:spacing w:before="0" w:beforeAutospacing="0" w:after="0" w:afterAutospacing="0" w:line="360" w:lineRule="auto"/>
              <w:ind w:left="0" w:right="0"/>
              <w:jc w:val="left"/>
              <w:rPr>
                <w:rFonts w:hint="default" w:ascii="Times New Roman" w:hAnsi="Times New Roman"/>
                <w:b/>
                <w:bCs/>
                <w:color w:val="auto"/>
                <w:sz w:val="28"/>
                <w:szCs w:val="28"/>
              </w:rPr>
            </w:pPr>
            <w:r>
              <w:rPr>
                <w:rFonts w:hint="default" w:ascii="Times New Roman" w:hAnsi="Times New Roman"/>
                <w:b/>
                <w:bCs/>
                <w:color w:val="auto"/>
                <w:sz w:val="28"/>
                <w:szCs w:val="28"/>
              </w:rPr>
              <w:t>一、档案管理分类</w:t>
            </w:r>
          </w:p>
          <w:p>
            <w:pPr>
              <w:keepNext/>
              <w:keepLines w:val="0"/>
              <w:suppressLineNumbers w:val="0"/>
              <w:spacing w:before="0" w:beforeAutospacing="0" w:after="0" w:afterAutospacing="0" w:line="360" w:lineRule="auto"/>
              <w:ind w:left="0" w:right="0" w:firstLine="470" w:firstLineChars="196"/>
              <w:rPr>
                <w:rFonts w:hint="default" w:ascii="Times New Roman" w:hAnsi="Times New Roman"/>
                <w:color w:val="auto"/>
                <w:sz w:val="24"/>
              </w:rPr>
            </w:pPr>
            <w:r>
              <w:rPr>
                <w:rFonts w:hint="default" w:ascii="Times New Roman" w:hAnsi="Times New Roman" w:cs="Times New Roman"/>
                <w:color w:val="auto"/>
                <w:sz w:val="24"/>
                <w:highlight w:val="none"/>
              </w:rPr>
              <w:t>医院</w:t>
            </w:r>
            <w:r>
              <w:rPr>
                <w:rFonts w:hint="eastAsia" w:ascii="Times New Roman" w:hAnsi="Times New Roman" w:cs="Times New Roman"/>
                <w:color w:val="auto"/>
                <w:sz w:val="24"/>
                <w:highlight w:val="none"/>
                <w:lang w:val="en-US" w:eastAsia="zh-CN"/>
              </w:rPr>
              <w:t>应将</w:t>
            </w:r>
            <w:r>
              <w:rPr>
                <w:rFonts w:hint="default" w:ascii="Times New Roman" w:hAnsi="Times New Roman" w:cs="Times New Roman"/>
                <w:color w:val="auto"/>
                <w:sz w:val="24"/>
                <w:highlight w:val="none"/>
              </w:rPr>
              <w:t>相关资料进行分类归档</w:t>
            </w:r>
            <w:r>
              <w:rPr>
                <w:rFonts w:hint="eastAsia" w:ascii="Times New Roman" w:hAnsi="Times New Roman" w:cs="Times New Roman"/>
                <w:color w:val="auto"/>
                <w:sz w:val="24"/>
                <w:highlight w:val="none"/>
                <w:lang w:val="en-US" w:eastAsia="zh-CN"/>
              </w:rPr>
              <w:t>妥善</w:t>
            </w:r>
            <w:r>
              <w:rPr>
                <w:rFonts w:hint="default" w:ascii="Times New Roman" w:hAnsi="Times New Roman" w:cs="Times New Roman"/>
                <w:color w:val="auto"/>
                <w:sz w:val="24"/>
                <w:highlight w:val="none"/>
              </w:rPr>
              <w:t>放置，包括以下</w:t>
            </w:r>
            <w:r>
              <w:rPr>
                <w:rFonts w:hint="eastAsia" w:ascii="Times New Roman" w:hAnsi="Times New Roman" w:cs="Times New Roman"/>
                <w:color w:val="auto"/>
                <w:sz w:val="24"/>
                <w:highlight w:val="none"/>
                <w:lang w:val="en-US" w:eastAsia="zh-CN"/>
              </w:rPr>
              <w:t>九</w:t>
            </w:r>
            <w:r>
              <w:rPr>
                <w:rFonts w:hint="default" w:ascii="Times New Roman" w:hAnsi="Times New Roman" w:cs="Times New Roman"/>
                <w:color w:val="auto"/>
                <w:sz w:val="24"/>
                <w:highlight w:val="none"/>
              </w:rPr>
              <w:t>大类：</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制度文件</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环评资料</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许可证资料</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射线装置台账</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监测和检查记录</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个人剂量档案</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培训档案</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、“辐射应急资料</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废物处置记录</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jc w:val="left"/>
              <w:rPr>
                <w:rFonts w:hint="default" w:ascii="Times New Roman" w:hAnsi="Times New Roman" w:eastAsia="黑体"/>
                <w:color w:val="auto"/>
                <w:sz w:val="28"/>
                <w:szCs w:val="28"/>
              </w:rPr>
            </w:pPr>
            <w:r>
              <w:rPr>
                <w:rFonts w:hint="eastAsia" w:ascii="Times New Roman" w:hAnsi="Times New Roman"/>
                <w:b/>
                <w:bCs/>
                <w:color w:val="auto"/>
                <w:sz w:val="28"/>
                <w:szCs w:val="28"/>
              </w:rPr>
              <w:t>二</w:t>
            </w:r>
            <w:r>
              <w:rPr>
                <w:rFonts w:hint="default" w:ascii="Times New Roman" w:hAnsi="Times New Roman"/>
                <w:b/>
                <w:bCs/>
                <w:color w:val="auto"/>
                <w:sz w:val="28"/>
                <w:szCs w:val="28"/>
              </w:rPr>
              <w:t>、辐射安全管理规章制度</w:t>
            </w:r>
          </w:p>
          <w:p>
            <w:pPr>
              <w:keepNext/>
              <w:keepLines w:val="0"/>
              <w:suppressLineNumbers w:val="0"/>
              <w:spacing w:before="0" w:beforeAutospacing="0" w:after="0" w:afterAutospacing="0" w:line="360" w:lineRule="auto"/>
              <w:ind w:left="0" w:right="0"/>
              <w:rPr>
                <w:rFonts w:hint="default" w:ascii="Times New Roman" w:hAnsi="Times New Roman"/>
                <w:b/>
                <w:bCs/>
                <w:color w:val="auto"/>
                <w:szCs w:val="21"/>
              </w:rPr>
            </w:pPr>
            <w:r>
              <w:rPr>
                <w:rFonts w:hint="default" w:ascii="Times New Roman" w:hAnsi="Times New Roman"/>
                <w:color w:val="auto"/>
                <w:sz w:val="24"/>
              </w:rPr>
              <w:t xml:space="preserve">  根据医院实际情况，医院辐射安全管理规章制度落实情况见下表。</w:t>
            </w:r>
          </w:p>
          <w:p>
            <w:pPr>
              <w:keepNext/>
              <w:keepLines w:val="0"/>
              <w:suppressLineNumbers w:val="0"/>
              <w:spacing w:before="0" w:beforeAutospacing="0" w:after="0" w:afterAutospacing="0" w:line="360" w:lineRule="auto"/>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表12-1　本项目辐射管理制度汇总对照分析表</w:t>
            </w:r>
          </w:p>
          <w:tbl>
            <w:tblPr>
              <w:tblStyle w:val="17"/>
              <w:tblW w:w="891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0"/>
              <w:gridCol w:w="3673"/>
              <w:gridCol w:w="46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序号</w:t>
                  </w:r>
                </w:p>
              </w:tc>
              <w:tc>
                <w:tcPr>
                  <w:tcW w:w="3673"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制度名称</w:t>
                  </w:r>
                </w:p>
              </w:tc>
              <w:tc>
                <w:tcPr>
                  <w:tcW w:w="4610" w:type="dxa"/>
                  <w:tcBorders>
                    <w:top w:val="single" w:color="auto" w:sz="12"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1</w:t>
                  </w:r>
                </w:p>
              </w:tc>
              <w:tc>
                <w:tcPr>
                  <w:tcW w:w="3673"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bCs/>
                      <w:color w:val="auto"/>
                      <w:sz w:val="21"/>
                      <w:szCs w:val="21"/>
                    </w:rPr>
                    <w:t>辐射防护安全责任制度</w:t>
                  </w:r>
                </w:p>
              </w:tc>
              <w:tc>
                <w:tcPr>
                  <w:tcW w:w="4610"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r>
                    <w:rPr>
                      <w:rFonts w:hint="eastAsia" w:ascii="Times New Roman" w:hAnsi="Times New Roman"/>
                      <w:color w:val="auto"/>
                      <w:sz w:val="21"/>
                      <w:szCs w:val="21"/>
                    </w:rPr>
                    <w:t>，应包含但不限于“三废”管理制度、</w:t>
                  </w:r>
                  <w:r>
                    <w:rPr>
                      <w:rFonts w:hint="eastAsia" w:ascii="Times New Roman" w:hAnsi="Times New Roman"/>
                      <w:color w:val="auto"/>
                      <w:sz w:val="21"/>
                      <w:szCs w:val="21"/>
                      <w:lang w:val="en-US" w:eastAsia="zh-CN"/>
                    </w:rPr>
                    <w:t>直线加速器和后装治疗</w:t>
                  </w:r>
                  <w:r>
                    <w:rPr>
                      <w:rFonts w:hint="eastAsia" w:ascii="Times New Roman" w:hAnsi="Times New Roman"/>
                      <w:color w:val="auto"/>
                      <w:sz w:val="21"/>
                      <w:szCs w:val="21"/>
                    </w:rPr>
                    <w:t>中受检者、陪护人员的防护规定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2</w:t>
                  </w:r>
                </w:p>
              </w:tc>
              <w:tc>
                <w:tcPr>
                  <w:tcW w:w="367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b w:val="0"/>
                      <w:bCs w:val="0"/>
                      <w:color w:val="auto"/>
                      <w:sz w:val="21"/>
                      <w:szCs w:val="21"/>
                    </w:rPr>
                    <w:t>辐射工作人员岗位职责</w:t>
                  </w:r>
                </w:p>
              </w:tc>
              <w:tc>
                <w:tcPr>
                  <w:tcW w:w="46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r>
                    <w:rPr>
                      <w:rFonts w:hint="default" w:ascii="Times New Roman" w:hAnsi="Times New Roman"/>
                      <w:color w:val="auto"/>
                      <w:sz w:val="21"/>
                      <w:szCs w:val="21"/>
                    </w:rPr>
                    <w:t>，需悬挂于辐射工作场所墙上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3</w:t>
                  </w:r>
                </w:p>
              </w:tc>
              <w:tc>
                <w:tcPr>
                  <w:tcW w:w="367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辐射工作场所安全管理要求</w:t>
                  </w:r>
                </w:p>
              </w:tc>
              <w:tc>
                <w:tcPr>
                  <w:tcW w:w="46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r>
                    <w:rPr>
                      <w:rFonts w:hint="default" w:ascii="Times New Roman" w:hAnsi="Times New Roman"/>
                      <w:color w:val="auto"/>
                      <w:sz w:val="21"/>
                      <w:szCs w:val="21"/>
                    </w:rPr>
                    <w:t>，需悬挂于辐射工作场所墙上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4</w:t>
                  </w:r>
                </w:p>
              </w:tc>
              <w:tc>
                <w:tcPr>
                  <w:tcW w:w="367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辐射安全和防护设施维护维修制度</w:t>
                  </w:r>
                </w:p>
              </w:tc>
              <w:tc>
                <w:tcPr>
                  <w:tcW w:w="4610"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5</w:t>
                  </w:r>
                </w:p>
              </w:tc>
              <w:tc>
                <w:tcPr>
                  <w:tcW w:w="367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放射源与射线装置台账管理制度</w:t>
                  </w:r>
                </w:p>
              </w:tc>
              <w:tc>
                <w:tcPr>
                  <w:tcW w:w="46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6</w:t>
                  </w:r>
                </w:p>
              </w:tc>
              <w:tc>
                <w:tcPr>
                  <w:tcW w:w="3673"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position w:val="-3"/>
                      <w:sz w:val="21"/>
                      <w:szCs w:val="21"/>
                    </w:rPr>
                    <w:t>场所分区管理规定</w:t>
                  </w:r>
                </w:p>
              </w:tc>
              <w:tc>
                <w:tcPr>
                  <w:tcW w:w="461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r>
                    <w:rPr>
                      <w:rFonts w:hint="eastAsia" w:ascii="Times New Roman" w:hAnsi="Times New Roman"/>
                      <w:color w:val="auto"/>
                      <w:sz w:val="21"/>
                      <w:szCs w:val="21"/>
                    </w:rPr>
                    <w:t>，应包含但不限于人流、物流图，患者管理规定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7</w:t>
                  </w:r>
                </w:p>
              </w:tc>
              <w:tc>
                <w:tcPr>
                  <w:tcW w:w="3673"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position w:val="-3"/>
                      <w:sz w:val="21"/>
                      <w:szCs w:val="21"/>
                    </w:rPr>
                  </w:pPr>
                  <w:r>
                    <w:rPr>
                      <w:rFonts w:hint="eastAsia" w:ascii="Times New Roman" w:hAnsi="Times New Roman"/>
                      <w:color w:val="auto"/>
                      <w:position w:val="-3"/>
                      <w:sz w:val="21"/>
                      <w:szCs w:val="21"/>
                    </w:rPr>
                    <w:t>放射源管理规定</w:t>
                  </w:r>
                </w:p>
              </w:tc>
              <w:tc>
                <w:tcPr>
                  <w:tcW w:w="461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r>
                    <w:rPr>
                      <w:rFonts w:hint="eastAsia" w:ascii="Times New Roman" w:hAnsi="Times New Roman"/>
                      <w:color w:val="auto"/>
                      <w:sz w:val="21"/>
                      <w:szCs w:val="21"/>
                    </w:rPr>
                    <w:t>，应包含但不限于换源程序及要求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8</w:t>
                  </w:r>
                </w:p>
              </w:tc>
              <w:tc>
                <w:tcPr>
                  <w:tcW w:w="367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定期剂量检测和剂量仪的校准制度</w:t>
                  </w:r>
                </w:p>
              </w:tc>
              <w:tc>
                <w:tcPr>
                  <w:tcW w:w="46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9</w:t>
                  </w:r>
                </w:p>
              </w:tc>
              <w:tc>
                <w:tcPr>
                  <w:tcW w:w="367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辐射工作人员培训计划</w:t>
                  </w:r>
                </w:p>
              </w:tc>
              <w:tc>
                <w:tcPr>
                  <w:tcW w:w="46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需需</w:t>
                  </w:r>
                  <w:r>
                    <w:rPr>
                      <w:rFonts w:hint="eastAsia" w:ascii="Times New Roman" w:hAnsi="Times New Roman"/>
                      <w:color w:val="auto"/>
                      <w:sz w:val="21"/>
                      <w:szCs w:val="21"/>
                      <w:lang w:val="en-US" w:eastAsia="zh-CN"/>
                    </w:rPr>
                    <w:t>根据新增项目完善</w:t>
                  </w:r>
                  <w:r>
                    <w:rPr>
                      <w:rFonts w:hint="eastAsia" w:ascii="Times New Roman" w:hAnsi="Times New Roman"/>
                      <w:color w:val="auto"/>
                      <w:sz w:val="21"/>
                      <w:szCs w:val="21"/>
                    </w:rPr>
                    <w:t>，</w:t>
                  </w:r>
                  <w:r>
                    <w:rPr>
                      <w:rFonts w:hint="default" w:ascii="Times New Roman" w:hAnsi="Times New Roman"/>
                      <w:color w:val="auto"/>
                      <w:sz w:val="21"/>
                      <w:szCs w:val="21"/>
                    </w:rPr>
                    <w:t>内容应至少包括参加辐射安全与防护专业知识的学习</w:t>
                  </w:r>
                  <w:r>
                    <w:rPr>
                      <w:rFonts w:hint="eastAsia" w:ascii="Times New Roman" w:hAnsi="Times New Roman"/>
                      <w:color w:val="auto"/>
                      <w:sz w:val="21"/>
                      <w:szCs w:val="21"/>
                      <w:lang w:eastAsia="zh-CN"/>
                    </w:rPr>
                    <w:t>、</w:t>
                  </w:r>
                  <w:r>
                    <w:rPr>
                      <w:rFonts w:hint="default" w:ascii="Times New Roman" w:hAnsi="Times New Roman"/>
                      <w:color w:val="auto"/>
                      <w:sz w:val="21"/>
                      <w:szCs w:val="21"/>
                    </w:rPr>
                    <w:t>考核的要求及频次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eastAsia="zh-CN"/>
                    </w:rPr>
                  </w:pPr>
                  <w:r>
                    <w:rPr>
                      <w:rFonts w:hint="default" w:ascii="Times New Roman" w:hAnsi="Times New Roman"/>
                      <w:color w:val="auto"/>
                      <w:sz w:val="21"/>
                      <w:szCs w:val="21"/>
                    </w:rPr>
                    <w:t>1</w:t>
                  </w:r>
                  <w:r>
                    <w:rPr>
                      <w:rFonts w:hint="eastAsia" w:ascii="Times New Roman" w:hAnsi="Times New Roman"/>
                      <w:color w:val="auto"/>
                      <w:sz w:val="21"/>
                      <w:szCs w:val="21"/>
                      <w:lang w:val="en-US" w:eastAsia="zh-CN"/>
                    </w:rPr>
                    <w:t>0</w:t>
                  </w:r>
                </w:p>
              </w:tc>
              <w:tc>
                <w:tcPr>
                  <w:tcW w:w="367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辐射工作设备操作规程</w:t>
                  </w:r>
                </w:p>
              </w:tc>
              <w:tc>
                <w:tcPr>
                  <w:tcW w:w="46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r>
                    <w:rPr>
                      <w:rFonts w:hint="eastAsia" w:ascii="Times New Roman" w:hAnsi="Times New Roman"/>
                      <w:color w:val="auto"/>
                      <w:sz w:val="21"/>
                      <w:szCs w:val="21"/>
                    </w:rPr>
                    <w:t>，</w:t>
                  </w:r>
                  <w:r>
                    <w:rPr>
                      <w:rFonts w:hint="default" w:ascii="Times New Roman" w:hAnsi="Times New Roman"/>
                      <w:color w:val="auto"/>
                      <w:sz w:val="21"/>
                      <w:szCs w:val="21"/>
                    </w:rPr>
                    <w:t>挂于辐射工作场所墙上</w:t>
                  </w:r>
                  <w:r>
                    <w:rPr>
                      <w:rFonts w:hint="eastAsia" w:ascii="Times New Roman" w:hAnsi="Times New Roman"/>
                      <w:color w:val="auto"/>
                      <w:sz w:val="21"/>
                      <w:szCs w:val="21"/>
                    </w:rPr>
                    <w:t>，应包含每种射线装置的操作规程和</w:t>
                  </w:r>
                  <w:r>
                    <w:rPr>
                      <w:rFonts w:hint="default" w:ascii="Times New Roman" w:hAnsi="Times New Roman"/>
                      <w:color w:val="auto"/>
                      <w:position w:val="-3"/>
                      <w:sz w:val="21"/>
                      <w:szCs w:val="21"/>
                    </w:rPr>
                    <w:t>去污操作规程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eastAsia="zh-CN"/>
                    </w:rPr>
                  </w:pPr>
                  <w:r>
                    <w:rPr>
                      <w:rFonts w:hint="default" w:ascii="Times New Roman" w:hAnsi="Times New Roman"/>
                      <w:color w:val="auto"/>
                      <w:sz w:val="21"/>
                      <w:szCs w:val="21"/>
                    </w:rPr>
                    <w:t>1</w:t>
                  </w:r>
                  <w:r>
                    <w:rPr>
                      <w:rFonts w:hint="eastAsia" w:ascii="Times New Roman" w:hAnsi="Times New Roman"/>
                      <w:color w:val="auto"/>
                      <w:sz w:val="21"/>
                      <w:szCs w:val="21"/>
                      <w:lang w:val="en-US" w:eastAsia="zh-CN"/>
                    </w:rPr>
                    <w:t>1</w:t>
                  </w:r>
                </w:p>
              </w:tc>
              <w:tc>
                <w:tcPr>
                  <w:tcW w:w="3673"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辐射工作人员个人剂量管理制度</w:t>
                  </w:r>
                </w:p>
              </w:tc>
              <w:tc>
                <w:tcPr>
                  <w:tcW w:w="4610" w:type="dxa"/>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w:t>
                  </w:r>
                </w:p>
              </w:tc>
              <w:tc>
                <w:tcPr>
                  <w:tcW w:w="367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辐射事故处理、应急处置规章制度</w:t>
                  </w:r>
                </w:p>
              </w:tc>
              <w:tc>
                <w:tcPr>
                  <w:tcW w:w="46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r>
                    <w:rPr>
                      <w:rFonts w:hint="default" w:ascii="Times New Roman" w:hAnsi="Times New Roman"/>
                      <w:color w:val="auto"/>
                      <w:sz w:val="21"/>
                      <w:szCs w:val="21"/>
                    </w:rPr>
                    <w:t>，预案中“辐射事故应急响应程序”</w:t>
                  </w:r>
                  <w:r>
                    <w:rPr>
                      <w:rFonts w:hint="eastAsia" w:ascii="Times New Roman" w:hAnsi="Times New Roman"/>
                      <w:color w:val="auto"/>
                      <w:sz w:val="21"/>
                      <w:szCs w:val="21"/>
                    </w:rPr>
                    <w:t>应</w:t>
                  </w:r>
                  <w:r>
                    <w:rPr>
                      <w:rFonts w:hint="default" w:ascii="Times New Roman" w:hAnsi="Times New Roman"/>
                      <w:color w:val="auto"/>
                      <w:sz w:val="21"/>
                      <w:szCs w:val="21"/>
                    </w:rPr>
                    <w:t>悬挂于辐射工作场所墙上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3</w:t>
                  </w:r>
                </w:p>
              </w:tc>
              <w:tc>
                <w:tcPr>
                  <w:tcW w:w="367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辐射工作场所和环境辐射水平监测方案</w:t>
                  </w:r>
                </w:p>
              </w:tc>
              <w:tc>
                <w:tcPr>
                  <w:tcW w:w="46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r>
                    <w:rPr>
                      <w:rFonts w:hint="eastAsia" w:ascii="Times New Roman" w:hAnsi="Times New Roman"/>
                      <w:color w:val="auto"/>
                      <w:sz w:val="21"/>
                      <w:szCs w:val="21"/>
                    </w:rPr>
                    <w:t>，</w:t>
                  </w:r>
                  <w:r>
                    <w:rPr>
                      <w:rFonts w:hint="default" w:ascii="Times New Roman" w:hAnsi="Times New Roman"/>
                      <w:color w:val="auto"/>
                      <w:sz w:val="21"/>
                      <w:szCs w:val="21"/>
                    </w:rPr>
                    <w:t>监测方案参考本章辐射监测内容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4</w:t>
                  </w:r>
                </w:p>
              </w:tc>
              <w:tc>
                <w:tcPr>
                  <w:tcW w:w="3673" w:type="dxa"/>
                  <w:vAlign w:val="center"/>
                </w:tcPr>
                <w:p>
                  <w:pPr>
                    <w:keepNext/>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质量保证大纲和质量控制检测计划</w:t>
                  </w:r>
                </w:p>
              </w:tc>
              <w:tc>
                <w:tcPr>
                  <w:tcW w:w="4610" w:type="dxa"/>
                  <w:vAlign w:val="center"/>
                </w:tcPr>
                <w:p>
                  <w:pPr>
                    <w:keepNext/>
                    <w:keepLines w:val="0"/>
                    <w:suppressLineNumbers w:val="0"/>
                    <w:spacing w:before="0" w:beforeAutospacing="0" w:after="0" w:afterAutospacing="0"/>
                    <w:ind w:left="0" w:right="0"/>
                    <w:jc w:val="center"/>
                    <w:rPr>
                      <w:rFonts w:hint="default" w:ascii="Times New Roman" w:hAnsi="Times New Roman"/>
                      <w:color w:val="auto"/>
                      <w:sz w:val="21"/>
                      <w:szCs w:val="21"/>
                    </w:rPr>
                  </w:pPr>
                  <w:r>
                    <w:rPr>
                      <w:rFonts w:hint="default" w:ascii="Times New Roman" w:hAnsi="Times New Roman"/>
                      <w:color w:val="auto"/>
                      <w:sz w:val="21"/>
                      <w:szCs w:val="21"/>
                    </w:rPr>
                    <w:t>需</w:t>
                  </w:r>
                  <w:r>
                    <w:rPr>
                      <w:rFonts w:hint="eastAsia" w:ascii="Times New Roman" w:hAnsi="Times New Roman"/>
                      <w:color w:val="auto"/>
                      <w:sz w:val="21"/>
                      <w:szCs w:val="21"/>
                      <w:lang w:val="en-US" w:eastAsia="zh-CN"/>
                    </w:rPr>
                    <w:t>根据新增项目完善</w:t>
                  </w:r>
                  <w:r>
                    <w:rPr>
                      <w:rFonts w:hint="eastAsia" w:ascii="Times New Roman" w:hAnsi="Times New Roman"/>
                      <w:color w:val="auto"/>
                      <w:sz w:val="21"/>
                      <w:szCs w:val="21"/>
                    </w:rPr>
                    <w:t>，</w:t>
                  </w:r>
                  <w:r>
                    <w:rPr>
                      <w:rFonts w:hint="default" w:ascii="Times New Roman" w:hAnsi="Times New Roman"/>
                      <w:color w:val="auto"/>
                      <w:sz w:val="21"/>
                      <w:szCs w:val="21"/>
                    </w:rPr>
                    <w:t>内容应至少包括受检者非照射部位所采取的辐射防护措施</w:t>
                  </w:r>
                </w:p>
              </w:tc>
            </w:tr>
          </w:tbl>
          <w:p>
            <w:pPr>
              <w:keepNext w:val="0"/>
              <w:keepLines w:val="0"/>
              <w:suppressLineNumbers w:val="0"/>
              <w:spacing w:before="0" w:beforeAutospacing="0" w:after="0" w:afterAutospacing="0" w:line="360" w:lineRule="auto"/>
              <w:ind w:left="0" w:right="0" w:firstLine="480"/>
              <w:jc w:val="both"/>
              <w:rPr>
                <w:rFonts w:hint="default" w:ascii="Times New Roman" w:hAnsi="Times New Roman"/>
                <w:b w:val="0"/>
                <w:bCs w:val="0"/>
                <w:color w:val="auto"/>
                <w:sz w:val="24"/>
              </w:rPr>
            </w:pPr>
            <w:r>
              <w:rPr>
                <w:rFonts w:hint="eastAsia" w:ascii="Times New Roman" w:hAnsi="Times New Roman"/>
                <w:b w:val="0"/>
                <w:bCs w:val="0"/>
                <w:color w:val="auto"/>
                <w:sz w:val="24"/>
              </w:rPr>
              <w:t>根据</w:t>
            </w:r>
            <w:r>
              <w:rPr>
                <w:rFonts w:hint="eastAsia" w:ascii="Times New Roman" w:hAnsi="Times New Roman"/>
                <w:b w:val="0"/>
                <w:bCs w:val="0"/>
                <w:color w:val="auto"/>
                <w:sz w:val="24"/>
                <w:lang w:val="en-US" w:eastAsia="zh-CN"/>
              </w:rPr>
              <w:t>原</w:t>
            </w:r>
            <w:r>
              <w:rPr>
                <w:rFonts w:hint="eastAsia" w:ascii="Times New Roman" w:hAnsi="Times New Roman"/>
                <w:b w:val="0"/>
                <w:bCs w:val="0"/>
                <w:color w:val="auto"/>
                <w:sz w:val="24"/>
              </w:rPr>
              <w:t>四川</w:t>
            </w:r>
            <w:r>
              <w:rPr>
                <w:rFonts w:hint="eastAsia" w:ascii="Times New Roman" w:hAnsi="Times New Roman"/>
                <w:b w:val="0"/>
                <w:bCs w:val="0"/>
                <w:color w:val="auto"/>
                <w:sz w:val="24"/>
                <w:lang w:eastAsia="zh-CN"/>
              </w:rPr>
              <w:t>省生态环境厅</w:t>
            </w:r>
            <w:r>
              <w:rPr>
                <w:rFonts w:hint="eastAsia" w:ascii="Times New Roman" w:hAnsi="Times New Roman"/>
                <w:b w:val="0"/>
                <w:bCs w:val="0"/>
                <w:color w:val="auto"/>
                <w:sz w:val="24"/>
              </w:rPr>
              <w:t>关于印发《四川省核技术利用辐射安全监督检查大纲（2016）》要求，《辐射工作场所安全管理要求》、《辐射工作人员岗位职责》、《辐射工作设备操作规程》和《辐射事故应急响应程序》应悬挂于辐射工作场所。医院对于各项制度在日常工作中要加强检查督促，认真组织实施。上墙制度的内容应体现现场操作性和实用性，字体醒目，尺寸大小应不小于400mm×600mm。</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olor w:val="auto"/>
                <w:sz w:val="24"/>
              </w:rPr>
            </w:pPr>
            <w:r>
              <w:rPr>
                <w:rFonts w:hint="default" w:ascii="Times New Roman" w:hAnsi="Times New Roman"/>
                <w:color w:val="auto"/>
                <w:sz w:val="24"/>
              </w:rPr>
              <w:t>医院应根据规章制度内容认真组织实施，并且应根据国家发布新的相关法规内容，结合医院实际及时对各项规章制度补充修改，使之更能符合实际需要。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9120" w:type="dxa"/>
          </w:tcPr>
          <w:p>
            <w:pPr>
              <w:keepNext w:val="0"/>
              <w:keepLines w:val="0"/>
              <w:suppressLineNumbers w:val="0"/>
              <w:spacing w:before="0" w:beforeAutospacing="0" w:after="0" w:afterAutospacing="0" w:line="360" w:lineRule="auto"/>
              <w:ind w:left="0" w:right="0"/>
              <w:rPr>
                <w:rFonts w:hint="default" w:ascii="Times New Roman" w:hAnsi="Times New Roman" w:eastAsia="黑体"/>
                <w:color w:val="auto"/>
                <w:sz w:val="28"/>
                <w:szCs w:val="28"/>
              </w:rPr>
            </w:pPr>
            <w:bookmarkStart w:id="69" w:name="_Toc449709636"/>
            <w:r>
              <w:rPr>
                <w:rFonts w:hint="eastAsia" w:ascii="Times New Roman" w:hAnsi="Times New Roman" w:eastAsia="黑体"/>
                <w:color w:val="auto"/>
                <w:sz w:val="28"/>
                <w:szCs w:val="28"/>
              </w:rPr>
              <w:t>辐射监测</w:t>
            </w:r>
            <w:bookmarkEnd w:id="69"/>
          </w:p>
          <w:p>
            <w:pPr>
              <w:keepNext w:val="0"/>
              <w:keepLines w:val="0"/>
              <w:suppressLineNumbers w:val="0"/>
              <w:spacing w:before="0" w:beforeAutospacing="0" w:after="0" w:afterAutospacing="0" w:line="360" w:lineRule="auto"/>
              <w:ind w:left="0" w:right="0" w:firstLine="480"/>
              <w:jc w:val="left"/>
              <w:rPr>
                <w:rFonts w:hint="default" w:ascii="Times New Roman" w:hAnsi="Times New Roman"/>
                <w:color w:val="auto"/>
                <w:sz w:val="24"/>
              </w:rPr>
            </w:pPr>
            <w:r>
              <w:rPr>
                <w:rFonts w:hint="eastAsia" w:ascii="Times New Roman" w:hAnsi="Times New Roman"/>
                <w:color w:val="auto"/>
                <w:sz w:val="24"/>
              </w:rPr>
              <w:t>辐射监测是安全防护的一项必要措施，通过辐射剂量监测得到的数据，可以分析判断和估计电离辐射水平，防止人员受到过量的照射。根据实际情况，需建立辐射剂量监测制度，包括工作场所监测和个人剂量监测。</w:t>
            </w:r>
          </w:p>
          <w:p>
            <w:pPr>
              <w:keepNext w:val="0"/>
              <w:keepLines w:val="0"/>
              <w:suppressLineNumbers w:val="0"/>
              <w:spacing w:before="0" w:beforeAutospacing="0" w:after="0" w:afterAutospacing="0" w:line="360" w:lineRule="auto"/>
              <w:ind w:left="0" w:right="0"/>
              <w:jc w:val="left"/>
              <w:rPr>
                <w:rFonts w:hint="default" w:ascii="Times New Roman" w:hAnsi="Times New Roman"/>
                <w:b/>
                <w:bCs/>
                <w:color w:val="auto"/>
                <w:sz w:val="24"/>
                <w:szCs w:val="24"/>
              </w:rPr>
            </w:pPr>
            <w:r>
              <w:rPr>
                <w:rFonts w:hint="eastAsia" w:ascii="Times New Roman" w:hAnsi="Times New Roman"/>
                <w:b/>
                <w:bCs/>
                <w:color w:val="auto"/>
                <w:sz w:val="24"/>
                <w:szCs w:val="24"/>
                <w:lang w:val="en-US" w:eastAsia="zh-CN"/>
              </w:rPr>
              <w:t>1、</w:t>
            </w:r>
            <w:r>
              <w:rPr>
                <w:rFonts w:hint="eastAsia" w:ascii="Times New Roman" w:hAnsi="Times New Roman"/>
                <w:b/>
                <w:bCs/>
                <w:color w:val="auto"/>
                <w:sz w:val="24"/>
                <w:szCs w:val="24"/>
              </w:rPr>
              <w:t>工作场所监测</w:t>
            </w:r>
          </w:p>
          <w:p>
            <w:pPr>
              <w:keepNext w:val="0"/>
              <w:keepLines w:val="0"/>
              <w:suppressLineNumbers w:val="0"/>
              <w:spacing w:before="0" w:beforeAutospacing="0" w:after="0" w:afterAutospacing="0" w:line="360" w:lineRule="auto"/>
              <w:ind w:left="0" w:right="0" w:firstLine="480"/>
              <w:jc w:val="left"/>
              <w:rPr>
                <w:rFonts w:hint="eastAsia" w:ascii="Times New Roman" w:hAnsi="Times New Roman" w:eastAsia="宋体"/>
                <w:color w:val="auto"/>
                <w:sz w:val="24"/>
                <w:lang w:eastAsia="zh-CN"/>
              </w:rPr>
            </w:pPr>
            <w:r>
              <w:rPr>
                <w:rFonts w:hint="eastAsia" w:ascii="Times New Roman" w:hAnsi="Times New Roman"/>
                <w:color w:val="auto"/>
                <w:sz w:val="24"/>
              </w:rPr>
              <w:t>年度监测：委托有资质的单位对辐射工作场所的剂量进行监测，监测周期为1次/年；年度监测报告应作为《安全和防护状况年度评估报告》的重要组成内容一并提交给发证机关</w:t>
            </w:r>
            <w:r>
              <w:rPr>
                <w:rFonts w:hint="eastAsia" w:ascii="Times New Roman" w:hAnsi="Times New Roman"/>
                <w:color w:val="auto"/>
                <w:sz w:val="24"/>
                <w:lang w:eastAsia="zh-CN"/>
              </w:rPr>
              <w:t>。</w:t>
            </w:r>
          </w:p>
          <w:p>
            <w:pPr>
              <w:pStyle w:val="4"/>
              <w:suppressLineNumbers w:val="0"/>
              <w:spacing w:before="0" w:beforeAutospacing="0" w:after="0" w:afterAutospacing="0"/>
              <w:ind w:left="0" w:right="0"/>
              <w:rPr>
                <w:rFonts w:hint="default"/>
                <w:color w:val="auto"/>
                <w:sz w:val="24"/>
                <w:szCs w:val="24"/>
              </w:rPr>
            </w:pPr>
            <w:bookmarkStart w:id="70" w:name="_Toc4759"/>
            <w:r>
              <w:rPr>
                <w:rFonts w:hint="eastAsia"/>
                <w:color w:val="auto"/>
                <w:sz w:val="24"/>
                <w:szCs w:val="24"/>
                <w:lang w:val="en-US" w:eastAsia="zh-CN"/>
              </w:rPr>
              <w:t>2、</w:t>
            </w:r>
            <w:r>
              <w:rPr>
                <w:rFonts w:hint="default"/>
                <w:color w:val="auto"/>
                <w:sz w:val="24"/>
                <w:szCs w:val="24"/>
              </w:rPr>
              <w:t>个人监测</w:t>
            </w:r>
            <w:bookmarkEnd w:id="70"/>
          </w:p>
          <w:p>
            <w:pPr>
              <w:pStyle w:val="10"/>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kern w:val="2"/>
                <w:sz w:val="24"/>
                <w:szCs w:val="24"/>
                <w:highlight w:val="none"/>
                <w:lang w:val="en-US" w:eastAsia="zh-CN"/>
              </w:rPr>
            </w:pPr>
            <w:bookmarkStart w:id="71" w:name="_Toc7874"/>
            <w:r>
              <w:rPr>
                <w:rFonts w:hint="default" w:ascii="Times New Roman" w:hAnsi="Times New Roman"/>
                <w:color w:val="auto"/>
                <w:kern w:val="2"/>
                <w:sz w:val="24"/>
                <w:szCs w:val="24"/>
                <w:highlight w:val="none"/>
                <w:lang w:val="en-US" w:eastAsia="zh-CN"/>
              </w:rPr>
              <w:t>个人监测主要是利用个人剂量计进行外照射个人累积剂量监测，每名辐射工作人员需佩戴个人剂量</w:t>
            </w:r>
            <w:r>
              <w:rPr>
                <w:rFonts w:hint="eastAsia" w:ascii="Times New Roman" w:hAnsi="Times New Roman"/>
                <w:color w:val="auto"/>
                <w:kern w:val="2"/>
                <w:sz w:val="24"/>
                <w:szCs w:val="24"/>
                <w:highlight w:val="none"/>
                <w:lang w:val="en-US" w:eastAsia="zh-CN"/>
              </w:rPr>
              <w:t>计</w:t>
            </w:r>
            <w:r>
              <w:rPr>
                <w:rFonts w:hint="default" w:ascii="Times New Roman" w:hAnsi="Times New Roman"/>
                <w:color w:val="auto"/>
                <w:kern w:val="2"/>
                <w:sz w:val="24"/>
                <w:szCs w:val="24"/>
                <w:highlight w:val="none"/>
                <w:lang w:val="en-US" w:eastAsia="zh-CN"/>
              </w:rPr>
              <w:t>，监测周期为1次/季。</w:t>
            </w:r>
          </w:p>
          <w:p>
            <w:pPr>
              <w:pStyle w:val="1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黑体" w:cs="Times New Roman"/>
                <w:b w:val="0"/>
                <w:bCs/>
                <w:color w:val="auto"/>
                <w:kern w:val="2"/>
                <w:sz w:val="24"/>
                <w:szCs w:val="24"/>
                <w:highlight w:val="none"/>
                <w:lang w:val="en-US" w:eastAsia="zh-CN"/>
              </w:rPr>
            </w:pPr>
            <w:r>
              <w:rPr>
                <w:rFonts w:hint="default" w:ascii="Times New Roman" w:hAnsi="Times New Roman" w:eastAsia="黑体" w:cs="Times New Roman"/>
                <w:b w:val="0"/>
                <w:bCs/>
                <w:color w:val="auto"/>
                <w:kern w:val="2"/>
                <w:sz w:val="24"/>
                <w:szCs w:val="24"/>
                <w:highlight w:val="none"/>
                <w:lang w:val="en-US" w:eastAsia="zh-CN"/>
              </w:rPr>
              <w:t>（1）当单个季度个人剂量超过1.25mSv时，建设单位要对该辐射工作人员进行干预，要进一步调查明确原因，并由当事人在情况调查报告上签字确认；当全年个人剂量超过5mSv时，建设单位需进行原因调查，并最终形成正式调查报告，经本人签字确认后，上报发证机关。检测报告及有关调查报告应存档备查。</w:t>
            </w:r>
          </w:p>
          <w:p>
            <w:pPr>
              <w:pStyle w:val="1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黑体" w:cs="Times New Roman"/>
                <w:b w:val="0"/>
                <w:bCs/>
                <w:color w:val="auto"/>
                <w:kern w:val="2"/>
                <w:sz w:val="24"/>
                <w:highlight w:val="none"/>
                <w:lang w:val="en-US" w:eastAsia="zh-CN"/>
              </w:rPr>
            </w:pPr>
            <w:r>
              <w:rPr>
                <w:rFonts w:hint="default" w:ascii="Times New Roman" w:hAnsi="Times New Roman" w:eastAsia="黑体" w:cs="Times New Roman"/>
                <w:b w:val="0"/>
                <w:bCs/>
                <w:color w:val="auto"/>
                <w:kern w:val="2"/>
                <w:sz w:val="24"/>
                <w:highlight w:val="none"/>
                <w:lang w:val="en-US" w:eastAsia="zh-CN"/>
              </w:rPr>
              <w:t>（2）个人剂量检测报告（连续四个季度）应当连同年度监测报告一起作为《安全和防护状况年度评估报告》的重要组成内容一并提交给发证机关。</w:t>
            </w:r>
          </w:p>
          <w:p>
            <w:pPr>
              <w:pStyle w:val="1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黑体" w:cs="Times New Roman"/>
                <w:b w:val="0"/>
                <w:bCs/>
                <w:color w:val="auto"/>
                <w:kern w:val="2"/>
                <w:sz w:val="24"/>
                <w:szCs w:val="24"/>
                <w:highlight w:val="none"/>
                <w:lang w:val="en-US" w:eastAsia="zh-CN"/>
              </w:rPr>
            </w:pPr>
            <w:r>
              <w:rPr>
                <w:rFonts w:hint="default" w:ascii="Times New Roman" w:hAnsi="Times New Roman" w:eastAsia="黑体" w:cs="Times New Roman"/>
                <w:b w:val="0"/>
                <w:bCs/>
                <w:color w:val="auto"/>
                <w:kern w:val="2"/>
                <w:sz w:val="24"/>
                <w:szCs w:val="24"/>
                <w:highlight w:val="none"/>
                <w:lang w:val="en-US" w:eastAsia="zh-CN"/>
              </w:rPr>
              <w:t>（3）根据《职业性外照射个人监测规范》</w:t>
            </w:r>
            <w:r>
              <w:rPr>
                <w:rFonts w:hint="eastAsia" w:ascii="黑体" w:hAnsi="黑体" w:eastAsia="黑体" w:cs="黑体"/>
                <w:color w:val="auto"/>
                <w:sz w:val="24"/>
                <w:highlight w:val="none"/>
              </w:rPr>
              <w:t>（GBZ128-201</w:t>
            </w:r>
            <w:r>
              <w:rPr>
                <w:rFonts w:hint="eastAsia" w:ascii="黑体" w:hAnsi="黑体" w:eastAsia="黑体" w:cs="黑体"/>
                <w:color w:val="auto"/>
                <w:sz w:val="24"/>
                <w:highlight w:val="none"/>
                <w:lang w:val="en-US" w:eastAsia="zh-CN"/>
              </w:rPr>
              <w:t>9</w:t>
            </w:r>
            <w:r>
              <w:rPr>
                <w:rFonts w:hint="eastAsia" w:ascii="黑体" w:hAnsi="黑体" w:eastAsia="黑体" w:cs="黑体"/>
                <w:color w:val="auto"/>
                <w:sz w:val="24"/>
                <w:highlight w:val="none"/>
              </w:rPr>
              <w:t>）</w:t>
            </w:r>
            <w:r>
              <w:rPr>
                <w:rFonts w:hint="default" w:ascii="Times New Roman" w:hAnsi="Times New Roman" w:eastAsia="黑体" w:cs="Times New Roman"/>
                <w:b w:val="0"/>
                <w:bCs/>
                <w:color w:val="auto"/>
                <w:kern w:val="2"/>
                <w:sz w:val="24"/>
                <w:szCs w:val="24"/>
                <w:highlight w:val="none"/>
                <w:lang w:val="en-US" w:eastAsia="zh-CN"/>
              </w:rPr>
              <w:t>，就本项目而言，辐射主要来自前方，剂量计应佩戴在人体躯干前方中部位置，一般左胸前；对于工作中穿戴铅衣（如放射科操作）的情况，通常应根据佩带在铅衣里面躯干上的剂量计估算工作人员的实际有效剂量，当受照剂量可能超过调查水平时（如介入操作），则还需要在铅衣外面衣领上另外佩带一个剂量计，以估算人体未被屏蔽部分的剂量。</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黑体" w:cs="Times New Roman"/>
                <w:b w:val="0"/>
                <w:bCs/>
                <w:color w:val="auto"/>
                <w:kern w:val="2"/>
                <w:sz w:val="24"/>
                <w:szCs w:val="24"/>
                <w:highlight w:val="none"/>
                <w:lang w:val="en-US" w:eastAsia="zh-CN"/>
              </w:rPr>
            </w:pPr>
            <w:r>
              <w:rPr>
                <w:rFonts w:hint="default" w:ascii="Times New Roman" w:hAnsi="Times New Roman" w:eastAsia="黑体" w:cs="Times New Roman"/>
                <w:b w:val="0"/>
                <w:bCs/>
                <w:color w:val="auto"/>
                <w:kern w:val="2"/>
                <w:sz w:val="24"/>
                <w:szCs w:val="24"/>
                <w:highlight w:val="none"/>
                <w:lang w:val="en-US" w:eastAsia="zh-CN"/>
              </w:rPr>
              <w:t>（4）辐射工作人员个人剂量档案内容应当包括个人基本信息、工作岗位、剂量监测结果等材料。医院应当将个人剂量档案保存终身。</w:t>
            </w:r>
          </w:p>
          <w:p>
            <w:pPr>
              <w:pStyle w:val="4"/>
              <w:suppressLineNumbers w:val="0"/>
              <w:spacing w:before="0" w:beforeAutospacing="0" w:after="0" w:afterAutospacing="0" w:line="360" w:lineRule="auto"/>
              <w:ind w:left="0" w:right="0"/>
              <w:rPr>
                <w:rFonts w:hint="eastAsia"/>
                <w:color w:val="auto"/>
                <w:sz w:val="24"/>
                <w:szCs w:val="24"/>
                <w:lang w:val="en-US" w:eastAsia="zh-CN"/>
              </w:rPr>
            </w:pPr>
            <w:r>
              <w:rPr>
                <w:rFonts w:hint="eastAsia"/>
                <w:color w:val="auto"/>
                <w:sz w:val="24"/>
                <w:szCs w:val="24"/>
                <w:lang w:val="en-US" w:eastAsia="zh-CN"/>
              </w:rPr>
              <w:t>3、医院自我监测</w:t>
            </w:r>
            <w:bookmarkEnd w:id="71"/>
          </w:p>
          <w:p>
            <w:pPr>
              <w:pStyle w:val="10"/>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eastAsia" w:ascii="Times New Roman" w:hAnsi="Times New Roman"/>
                <w:color w:val="auto"/>
                <w:sz w:val="24"/>
              </w:rPr>
              <w:t>医院</w:t>
            </w:r>
            <w:r>
              <w:rPr>
                <w:rFonts w:hint="default" w:ascii="Times New Roman" w:hAnsi="Times New Roman"/>
                <w:color w:val="auto"/>
                <w:sz w:val="24"/>
              </w:rPr>
              <w:t>定期自行开展辐射监测（也可委托有资质的单位进行自行监测），制定各工作场所的定期监测制度，监测数据应存档备案。</w:t>
            </w:r>
          </w:p>
          <w:p>
            <w:pPr>
              <w:pStyle w:val="4"/>
              <w:suppressLineNumbers w:val="0"/>
              <w:spacing w:before="0" w:beforeAutospacing="0" w:after="0" w:afterAutospacing="0" w:line="360" w:lineRule="auto"/>
              <w:ind w:left="0" w:right="0"/>
              <w:rPr>
                <w:rFonts w:hint="default"/>
                <w:color w:val="auto"/>
                <w:sz w:val="24"/>
                <w:szCs w:val="24"/>
              </w:rPr>
            </w:pPr>
            <w:bookmarkStart w:id="72" w:name="_Toc3529"/>
            <w:r>
              <w:rPr>
                <w:rFonts w:hint="eastAsia"/>
                <w:color w:val="auto"/>
                <w:sz w:val="24"/>
                <w:szCs w:val="24"/>
                <w:lang w:val="en-US" w:eastAsia="zh-CN"/>
              </w:rPr>
              <w:t>4</w:t>
            </w:r>
            <w:r>
              <w:rPr>
                <w:rFonts w:hint="default"/>
                <w:color w:val="auto"/>
                <w:sz w:val="24"/>
                <w:szCs w:val="24"/>
              </w:rPr>
              <w:t>、监测内容和要求</w:t>
            </w:r>
            <w:bookmarkEnd w:id="72"/>
          </w:p>
          <w:p>
            <w:pPr>
              <w:pStyle w:val="34"/>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kern w:val="0"/>
                <w:sz w:val="24"/>
              </w:rPr>
            </w:pPr>
            <w:r>
              <w:rPr>
                <w:rFonts w:hint="default" w:ascii="Times New Roman" w:hAnsi="Times New Roman"/>
                <w:color w:val="auto"/>
                <w:kern w:val="0"/>
                <w:sz w:val="24"/>
              </w:rPr>
              <w:t>（1）监测内容：X</w:t>
            </w:r>
            <w:r>
              <w:rPr>
                <w:rFonts w:hint="eastAsia" w:ascii="Times New Roman" w:hAnsi="Times New Roman"/>
                <w:color w:val="auto"/>
                <w:kern w:val="0"/>
                <w:sz w:val="24"/>
              </w:rPr>
              <w:t>、</w:t>
            </w:r>
            <w:r>
              <w:rPr>
                <w:rFonts w:hint="default" w:ascii="Times New Roman" w:hAnsi="Times New Roman"/>
                <w:color w:val="auto"/>
                <w:kern w:val="0"/>
                <w:sz w:val="24"/>
              </w:rPr>
              <w:t>γ射线</w:t>
            </w:r>
            <w:r>
              <w:rPr>
                <w:rFonts w:hint="eastAsia" w:ascii="Times New Roman" w:hAnsi="Times New Roman"/>
                <w:color w:val="auto"/>
                <w:kern w:val="0"/>
                <w:sz w:val="24"/>
                <w:lang w:eastAsia="zh-CN"/>
              </w:rPr>
              <w:t>、</w:t>
            </w:r>
            <w:r>
              <w:rPr>
                <w:rFonts w:hint="eastAsia" w:ascii="Times New Roman" w:hAnsi="Times New Roman" w:cs="Times New Roman"/>
                <w:color w:val="auto"/>
                <w:kern w:val="0"/>
                <w:sz w:val="24"/>
                <w:szCs w:val="24"/>
                <w:highlight w:val="none"/>
                <w:lang w:val="en-US" w:eastAsia="zh-CN"/>
              </w:rPr>
              <w:t>中子</w:t>
            </w:r>
            <w:r>
              <w:rPr>
                <w:rFonts w:hint="default" w:ascii="Times New Roman" w:hAnsi="Times New Roman"/>
                <w:color w:val="auto"/>
                <w:kern w:val="0"/>
                <w:sz w:val="24"/>
              </w:rPr>
              <w:t>。</w:t>
            </w:r>
          </w:p>
          <w:p>
            <w:pPr>
              <w:keepNext w:val="0"/>
              <w:keepLines w:val="0"/>
              <w:widowControl/>
              <w:suppressLineNumbers w:val="0"/>
              <w:snapToGrid w:val="0"/>
              <w:spacing w:before="0" w:beforeAutospacing="0" w:after="0" w:afterAutospacing="0" w:line="360" w:lineRule="auto"/>
              <w:ind w:left="0" w:right="0" w:firstLine="480" w:firstLineChars="200"/>
              <w:rPr>
                <w:rFonts w:hint="default" w:ascii="Times New Roman" w:hAnsi="Times New Roman"/>
                <w:color w:val="auto"/>
                <w:kern w:val="0"/>
                <w:sz w:val="24"/>
              </w:rPr>
            </w:pPr>
            <w:r>
              <w:rPr>
                <w:rFonts w:hint="default" w:ascii="Times New Roman" w:hAnsi="Times New Roman"/>
                <w:color w:val="auto"/>
                <w:sz w:val="24"/>
              </w:rPr>
              <w:t>（2）监测布点及数据管理：本项目监测布点应参考环评提出的监测计划（表12-</w:t>
            </w:r>
            <w:r>
              <w:rPr>
                <w:rFonts w:hint="eastAsia" w:ascii="Times New Roman" w:hAnsi="Times New Roman"/>
                <w:color w:val="auto"/>
                <w:sz w:val="24"/>
                <w:lang w:val="en-US" w:eastAsia="zh-CN"/>
              </w:rPr>
              <w:t>2</w:t>
            </w:r>
            <w:r>
              <w:rPr>
                <w:rFonts w:hint="default" w:ascii="Times New Roman" w:hAnsi="Times New Roman"/>
                <w:color w:val="auto"/>
                <w:sz w:val="24"/>
              </w:rPr>
              <w:t>）或验收监测布点方案。监测数据应记录完善，并将数据实时汇总，建立监测数据台账。</w:t>
            </w:r>
          </w:p>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b/>
                <w:bCs/>
                <w:color w:val="auto"/>
                <w:sz w:val="24"/>
              </w:rPr>
            </w:pPr>
            <w:r>
              <w:rPr>
                <w:rFonts w:hint="default" w:ascii="Times New Roman" w:hAnsi="Times New Roman"/>
                <w:b/>
                <w:bCs/>
                <w:color w:val="auto"/>
                <w:sz w:val="21"/>
                <w:szCs w:val="21"/>
              </w:rPr>
              <w:t>表12-</w:t>
            </w:r>
            <w:r>
              <w:rPr>
                <w:rFonts w:hint="eastAsia" w:ascii="Times New Roman" w:hAnsi="Times New Roman"/>
                <w:b/>
                <w:bCs/>
                <w:color w:val="auto"/>
                <w:sz w:val="21"/>
                <w:szCs w:val="21"/>
                <w:lang w:val="en-US" w:eastAsia="zh-CN"/>
              </w:rPr>
              <w:t>2</w:t>
            </w:r>
            <w:r>
              <w:rPr>
                <w:rFonts w:hint="default" w:ascii="Times New Roman" w:hAnsi="Times New Roman"/>
                <w:b/>
                <w:bCs/>
                <w:color w:val="auto"/>
                <w:sz w:val="21"/>
                <w:szCs w:val="21"/>
              </w:rPr>
              <w:t>　本项目监测布点方案表</w:t>
            </w:r>
          </w:p>
          <w:tbl>
            <w:tblPr>
              <w:tblStyle w:val="17"/>
              <w:tblW w:w="89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1345"/>
              <w:gridCol w:w="5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824" w:type="dxa"/>
                  <w:tcBorders>
                    <w:bottom w:val="single" w:color="auto" w:sz="12" w:space="0"/>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b/>
                      <w:bCs/>
                      <w:color w:val="auto"/>
                      <w:szCs w:val="21"/>
                    </w:rPr>
                  </w:pPr>
                  <w:r>
                    <w:rPr>
                      <w:rFonts w:hint="default" w:ascii="Times New Roman" w:hAnsi="Times New Roman"/>
                      <w:b/>
                      <w:bCs/>
                      <w:color w:val="auto"/>
                      <w:szCs w:val="21"/>
                    </w:rPr>
                    <w:t>场所或设备</w:t>
                  </w:r>
                </w:p>
              </w:tc>
              <w:tc>
                <w:tcPr>
                  <w:tcW w:w="1345" w:type="dxa"/>
                  <w:tcBorders>
                    <w:bottom w:val="single" w:color="auto" w:sz="12" w:space="0"/>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b/>
                      <w:bCs/>
                      <w:color w:val="auto"/>
                      <w:szCs w:val="21"/>
                    </w:rPr>
                  </w:pPr>
                  <w:r>
                    <w:rPr>
                      <w:rFonts w:hint="default" w:ascii="Times New Roman" w:hAnsi="Times New Roman"/>
                      <w:b/>
                      <w:bCs/>
                      <w:color w:val="auto"/>
                      <w:szCs w:val="21"/>
                    </w:rPr>
                    <w:t>监测内容</w:t>
                  </w:r>
                </w:p>
              </w:tc>
              <w:tc>
                <w:tcPr>
                  <w:tcW w:w="5751" w:type="dxa"/>
                  <w:tcBorders>
                    <w:bottom w:val="single" w:color="auto" w:sz="12" w:space="0"/>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b/>
                      <w:bCs/>
                      <w:color w:val="auto"/>
                      <w:szCs w:val="21"/>
                    </w:rPr>
                  </w:pPr>
                  <w:r>
                    <w:rPr>
                      <w:rFonts w:hint="default" w:ascii="Times New Roman" w:hAnsi="Times New Roman"/>
                      <w:b/>
                      <w:bCs/>
                      <w:color w:val="auto"/>
                      <w:szCs w:val="21"/>
                    </w:rPr>
                    <w:t>监测布点位置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824" w:type="dxa"/>
                  <w:tcBorders>
                    <w:top w:val="single" w:color="auto" w:sz="12" w:space="0"/>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lang w:val="en-US" w:eastAsia="zh-CN"/>
                    </w:rPr>
                    <w:t>2台10MV</w:t>
                  </w:r>
                  <w:r>
                    <w:rPr>
                      <w:rFonts w:hint="default" w:ascii="Times New Roman" w:hAnsi="Times New Roman"/>
                      <w:color w:val="auto"/>
                      <w:szCs w:val="21"/>
                    </w:rPr>
                    <w:t>直线加速器</w:t>
                  </w:r>
                </w:p>
              </w:tc>
              <w:tc>
                <w:tcPr>
                  <w:tcW w:w="1345" w:type="dxa"/>
                  <w:tcBorders>
                    <w:top w:val="single" w:color="auto" w:sz="12" w:space="0"/>
                    <w:bottom w:val="single" w:color="auto" w:sz="12" w:space="0"/>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X射线</w:t>
                  </w:r>
                </w:p>
              </w:tc>
              <w:tc>
                <w:tcPr>
                  <w:tcW w:w="5751" w:type="dxa"/>
                  <w:tcBorders>
                    <w:top w:val="single" w:color="auto" w:sz="12" w:space="0"/>
                    <w:bottom w:val="single" w:color="auto" w:sz="12" w:space="0"/>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default" w:ascii="Times New Roman" w:hAnsi="Times New Roman"/>
                      <w:color w:val="auto"/>
                      <w:sz w:val="21"/>
                      <w:szCs w:val="21"/>
                      <w:highlight w:val="none"/>
                      <w:lang w:val="en-US" w:eastAsia="zh-CN"/>
                    </w:rPr>
                    <w:t>墙体四周外侧、操作人员操作位、防护门外、迷道内墙外</w:t>
                  </w:r>
                  <w:r>
                    <w:rPr>
                      <w:rFonts w:hint="eastAsia" w:ascii="Times New Roman" w:hAnsi="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治疗室正上方和正下方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824" w:type="dxa"/>
                  <w:vMerge w:val="restart"/>
                  <w:tcBorders>
                    <w:top w:val="single" w:color="auto" w:sz="12" w:space="0"/>
                    <w:right w:val="single" w:color="auto" w:sz="4" w:space="0"/>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1台15MV</w:t>
                  </w:r>
                  <w:r>
                    <w:rPr>
                      <w:rFonts w:hint="default" w:ascii="Times New Roman" w:hAnsi="Times New Roman"/>
                      <w:color w:val="auto"/>
                      <w:szCs w:val="21"/>
                    </w:rPr>
                    <w:t>直线加速器</w:t>
                  </w:r>
                </w:p>
              </w:tc>
              <w:tc>
                <w:tcPr>
                  <w:tcW w:w="1345" w:type="dxa"/>
                  <w:tcBorders>
                    <w:top w:val="single" w:color="auto" w:sz="12" w:space="0"/>
                    <w:left w:val="single" w:color="auto" w:sz="4" w:space="0"/>
                    <w:bottom w:val="single" w:color="auto" w:sz="4" w:space="0"/>
                  </w:tcBorders>
                  <w:vAlign w:val="center"/>
                </w:tcPr>
                <w:p>
                  <w:pPr>
                    <w:keepNext/>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s="Times New Roman"/>
                      <w:color w:val="auto"/>
                      <w:sz w:val="21"/>
                      <w:szCs w:val="21"/>
                      <w:highlight w:val="none"/>
                    </w:rPr>
                    <w:t>X射线</w:t>
                  </w:r>
                </w:p>
              </w:tc>
              <w:tc>
                <w:tcPr>
                  <w:tcW w:w="5751" w:type="dxa"/>
                  <w:tcBorders>
                    <w:top w:val="single" w:color="auto" w:sz="12" w:space="0"/>
                    <w:bottom w:val="single" w:color="auto" w:sz="4" w:space="0"/>
                    <w:right w:val="nil"/>
                  </w:tcBorders>
                  <w:vAlign w:val="center"/>
                </w:tcPr>
                <w:p>
                  <w:pPr>
                    <w:keepNext/>
                    <w:keepLines w:val="0"/>
                    <w:suppressLineNumbers w:val="0"/>
                    <w:spacing w:before="0" w:beforeAutospacing="0" w:after="0" w:afterAutospacing="0"/>
                    <w:ind w:left="0" w:right="0"/>
                    <w:jc w:val="center"/>
                    <w:rPr>
                      <w:rFonts w:hint="default" w:ascii="Times New Roman" w:hAnsi="Times New Roman"/>
                      <w:color w:val="auto"/>
                    </w:rPr>
                  </w:pPr>
                  <w:r>
                    <w:rPr>
                      <w:rFonts w:hint="default" w:ascii="Times New Roman" w:hAnsi="Times New Roman"/>
                      <w:color w:val="auto"/>
                      <w:sz w:val="21"/>
                      <w:szCs w:val="21"/>
                      <w:highlight w:val="none"/>
                      <w:lang w:val="en-US" w:eastAsia="zh-CN"/>
                    </w:rPr>
                    <w:t>墙体四周外侧、操作人员操作位、防护门外、迷道内墙外</w:t>
                  </w:r>
                  <w:r>
                    <w:rPr>
                      <w:rFonts w:hint="eastAsia" w:ascii="Times New Roman" w:hAnsi="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治疗室正上方和正下方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824" w:type="dxa"/>
                  <w:vMerge w:val="continue"/>
                  <w:tcBorders>
                    <w:right w:val="single" w:color="auto" w:sz="4" w:space="0"/>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olor w:val="auto"/>
                      <w:szCs w:val="21"/>
                      <w:lang w:val="en-US" w:eastAsia="zh-CN"/>
                    </w:rPr>
                  </w:pPr>
                </w:p>
              </w:tc>
              <w:tc>
                <w:tcPr>
                  <w:tcW w:w="1345" w:type="dxa"/>
                  <w:tcBorders>
                    <w:top w:val="single" w:color="auto" w:sz="4" w:space="0"/>
                    <w:left w:val="single" w:color="auto" w:sz="4" w:space="0"/>
                    <w:bottom w:val="single" w:color="auto" w:sz="4" w:space="0"/>
                  </w:tcBorders>
                  <w:vAlign w:val="center"/>
                </w:tcPr>
                <w:p>
                  <w:pPr>
                    <w:keepNext/>
                    <w:keepLines w:val="0"/>
                    <w:suppressLineNumbers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s="Times New Roman"/>
                      <w:color w:val="auto"/>
                      <w:sz w:val="21"/>
                      <w:szCs w:val="21"/>
                      <w:highlight w:val="none"/>
                      <w:lang w:val="en-US" w:eastAsia="zh-CN"/>
                    </w:rPr>
                    <w:t>中子</w:t>
                  </w:r>
                </w:p>
              </w:tc>
              <w:tc>
                <w:tcPr>
                  <w:tcW w:w="5751" w:type="dxa"/>
                  <w:tcBorders>
                    <w:top w:val="single" w:color="auto" w:sz="4" w:space="0"/>
                    <w:bottom w:val="single" w:color="auto" w:sz="4" w:space="0"/>
                    <w:right w:val="nil"/>
                  </w:tcBorders>
                  <w:vAlign w:val="center"/>
                </w:tcPr>
                <w:p>
                  <w:pPr>
                    <w:keepNext/>
                    <w:keepLines w:val="0"/>
                    <w:suppressLineNumbers w:val="0"/>
                    <w:spacing w:before="0" w:beforeAutospacing="0" w:after="0" w:afterAutospacing="0"/>
                    <w:ind w:left="0" w:right="0"/>
                    <w:jc w:val="center"/>
                    <w:rPr>
                      <w:rFonts w:hint="default" w:ascii="Times New Roman" w:hAnsi="Times New Roman"/>
                      <w:color w:val="auto"/>
                    </w:rPr>
                  </w:pPr>
                  <w:r>
                    <w:rPr>
                      <w:rFonts w:hint="eastAsia" w:ascii="Times New Roman" w:hAnsi="Times New Roman"/>
                      <w:color w:val="auto"/>
                      <w:sz w:val="21"/>
                      <w:szCs w:val="21"/>
                      <w:highlight w:val="none"/>
                      <w:lang w:val="en-US" w:eastAsia="zh-CN"/>
                    </w:rPr>
                    <w:t>治疗室防护门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824"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后装机</w:t>
                  </w:r>
                </w:p>
              </w:tc>
              <w:tc>
                <w:tcPr>
                  <w:tcW w:w="1345" w:type="dxa"/>
                  <w:tcBorders>
                    <w:top w:val="single" w:color="auto" w:sz="4" w:space="0"/>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kern w:val="0"/>
                      <w:sz w:val="24"/>
                    </w:rPr>
                    <w:t>γ射线</w:t>
                  </w:r>
                </w:p>
              </w:tc>
              <w:tc>
                <w:tcPr>
                  <w:tcW w:w="5751" w:type="dxa"/>
                  <w:tcBorders>
                    <w:top w:val="single" w:color="auto" w:sz="4" w:space="0"/>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eastAsia="宋体"/>
                      <w:color w:val="auto"/>
                      <w:szCs w:val="21"/>
                      <w:lang w:eastAsia="zh-CN"/>
                    </w:rPr>
                  </w:pPr>
                  <w:r>
                    <w:rPr>
                      <w:rFonts w:hint="default" w:ascii="Times New Roman" w:hAnsi="Times New Roman"/>
                      <w:color w:val="auto"/>
                      <w:sz w:val="21"/>
                      <w:szCs w:val="21"/>
                      <w:highlight w:val="none"/>
                      <w:lang w:val="en-US" w:eastAsia="zh-CN"/>
                    </w:rPr>
                    <w:t>墙体四周外侧、操作人员操作位、防护门外、迷道内墙外</w:t>
                  </w:r>
                  <w:r>
                    <w:rPr>
                      <w:rFonts w:hint="eastAsia" w:ascii="Times New Roman" w:hAnsi="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治疗室正上方和正下方</w:t>
                  </w:r>
                </w:p>
              </w:tc>
            </w:tr>
          </w:tbl>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olor w:val="auto"/>
                <w:sz w:val="24"/>
              </w:rPr>
            </w:pPr>
            <w:r>
              <w:rPr>
                <w:rFonts w:hint="default" w:ascii="Times New Roman" w:hAnsi="Times New Roman"/>
                <w:color w:val="auto"/>
                <w:sz w:val="24"/>
              </w:rPr>
              <w:t>（3）监测范围：控制区和监督区域及周围环境</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olor w:val="auto"/>
                <w:sz w:val="24"/>
              </w:rPr>
            </w:pPr>
            <w:r>
              <w:rPr>
                <w:rFonts w:hint="default" w:ascii="Times New Roman" w:hAnsi="Times New Roman"/>
                <w:color w:val="auto"/>
                <w:sz w:val="24"/>
              </w:rPr>
              <w:t>（4）监测质量保证</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olor w:val="auto"/>
                <w:sz w:val="24"/>
              </w:rPr>
            </w:pPr>
            <w:r>
              <w:rPr>
                <w:rFonts w:hint="default" w:ascii="Times New Roman" w:hAnsi="Times New Roman"/>
                <w:color w:val="auto"/>
                <w:sz w:val="24"/>
              </w:rPr>
              <w:t>①制定监测仪表使用、校验管理制度，并利用监测部门的监测数据与医院监测仪器的监测数据进行比对，建立监测仪器比对档案；也可到有资质的单位对监测仪器进行校核；</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olor w:val="auto"/>
                <w:sz w:val="24"/>
              </w:rPr>
            </w:pPr>
            <w:r>
              <w:rPr>
                <w:rFonts w:hint="default" w:ascii="Times New Roman" w:hAnsi="Times New Roman"/>
                <w:color w:val="auto"/>
                <w:sz w:val="24"/>
              </w:rPr>
              <w:t>②采用国家颁布的标准方法或推荐方法，其中自我监测可参照有资质的监测机构出具的监测报告中的方法；</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olor w:val="auto"/>
                <w:sz w:val="24"/>
              </w:rPr>
            </w:pPr>
            <w:r>
              <w:rPr>
                <w:rFonts w:hint="default" w:ascii="Times New Roman" w:hAnsi="Times New Roman"/>
                <w:color w:val="auto"/>
                <w:sz w:val="24"/>
              </w:rPr>
              <w:t>③制定辐射环境监测管理制度。</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olor w:val="auto"/>
                <w:sz w:val="24"/>
              </w:rPr>
            </w:pPr>
            <w:r>
              <w:rPr>
                <w:rFonts w:hint="default" w:ascii="Times New Roman" w:hAnsi="Times New Roman"/>
                <w:color w:val="auto"/>
                <w:sz w:val="24"/>
              </w:rPr>
              <w:t>此外，医院需定期和不定期对辐射工作场所进行监测，随时掌握辐射工作场所剂量变化情况，发现问题及时维护、整改。做好监测数据的审核，制定相应的报送程序，监测数据及报送情况存档备查</w:t>
            </w:r>
            <w:r>
              <w:rPr>
                <w:rFonts w:hint="eastAsia" w:ascii="Times New Roman" w:hAnsi="Times New Roman"/>
                <w:color w:val="auto"/>
                <w:sz w:val="24"/>
              </w:rPr>
              <w:t>。</w:t>
            </w:r>
          </w:p>
          <w:p>
            <w:pPr>
              <w:keepNext w:val="0"/>
              <w:keepLines w:val="0"/>
              <w:widowControl/>
              <w:suppressLineNumbers w:val="0"/>
              <w:snapToGrid w:val="0"/>
              <w:spacing w:before="0" w:beforeLines="50" w:beforeAutospacing="0" w:after="0" w:afterAutospacing="0" w:line="360" w:lineRule="auto"/>
              <w:ind w:left="0" w:right="0"/>
              <w:rPr>
                <w:rFonts w:hint="default" w:ascii="Times New Roman" w:hAnsi="Times New Roman"/>
                <w:b/>
                <w:bCs/>
                <w:color w:val="auto"/>
                <w:sz w:val="24"/>
                <w:szCs w:val="24"/>
              </w:rPr>
            </w:pPr>
            <w:r>
              <w:rPr>
                <w:rFonts w:hint="eastAsia" w:ascii="Times New Roman" w:hAnsi="Times New Roman"/>
                <w:b/>
                <w:bCs/>
                <w:color w:val="auto"/>
                <w:sz w:val="24"/>
                <w:szCs w:val="24"/>
                <w:lang w:val="en-US" w:eastAsia="zh-CN"/>
              </w:rPr>
              <w:t>5</w:t>
            </w:r>
            <w:r>
              <w:rPr>
                <w:rFonts w:hint="eastAsia" w:ascii="Times New Roman" w:hAnsi="Times New Roman"/>
                <w:b/>
                <w:bCs/>
                <w:color w:val="auto"/>
                <w:sz w:val="24"/>
                <w:szCs w:val="24"/>
              </w:rPr>
              <w:t>、年度监测报告情况</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医院应于每年1月31日前向发证机关提交上年度的《放射性同位素与射线装置安全和防护状况年度评估报告》，近一年（四个季度）个人剂量检测报告和辐射工作场所年度监测报告应作为《安全和防护状况年度评估报告》的重要组成内容一并提交给发证机关。医院应按照《四川省核技术利用辐射安全监督检查大纲（2016）》（川环函[2016]1400号）规定的格式编写《安全和防护状况年度评估报告》。医院必须在“全国核技术利用辐射安全申报系统”(网址http://rr.mee.gov.cn)中实施申报登记。延续、变更许可证，新增或注销射线装置以及单位信息变更、个人剂量、年度评估报告等信息均应及时在系统中申报。</w:t>
            </w:r>
          </w:p>
          <w:p>
            <w:pPr>
              <w:keepNext w:val="0"/>
              <w:keepLines w:val="0"/>
              <w:numPr>
                <w:ilvl w:val="0"/>
                <w:numId w:val="7"/>
              </w:numPr>
              <w:suppressLineNumbers w:val="0"/>
              <w:spacing w:before="0" w:beforeAutospacing="0" w:after="0" w:afterAutospacing="0" w:line="360" w:lineRule="auto"/>
              <w:ind w:right="0"/>
              <w:jc w:val="left"/>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开展辐射监测的情况</w:t>
            </w:r>
          </w:p>
          <w:p>
            <w:pPr>
              <w:keepNext w:val="0"/>
              <w:keepLines w:val="0"/>
              <w:suppressLineNumbers w:val="0"/>
              <w:spacing w:before="0" w:beforeAutospacing="0" w:after="0" w:afterAutospacing="0" w:line="360" w:lineRule="auto"/>
              <w:ind w:right="0" w:firstLine="482" w:firstLineChars="200"/>
              <w:rPr>
                <w:rFonts w:hint="default" w:ascii="宋体" w:hAnsi="宋体" w:cs="黑体"/>
                <w:bCs/>
                <w:color w:val="auto"/>
                <w:sz w:val="24"/>
              </w:rPr>
            </w:pPr>
            <w:r>
              <w:rPr>
                <w:rFonts w:hint="default" w:ascii="Times New Roman" w:hAnsi="Times New Roman" w:cs="Times New Roman"/>
                <w:b/>
                <w:bCs/>
                <w:color w:val="auto"/>
                <w:sz w:val="24"/>
                <w:lang w:val="en-US" w:eastAsia="zh-CN"/>
              </w:rPr>
              <w:t>（1）</w:t>
            </w:r>
            <w:r>
              <w:rPr>
                <w:rFonts w:hint="eastAsia" w:ascii="宋体" w:hAnsi="宋体" w:cs="黑体"/>
                <w:b/>
                <w:bCs w:val="0"/>
                <w:color w:val="auto"/>
                <w:sz w:val="24"/>
              </w:rPr>
              <w:t>个人剂量检测</w:t>
            </w:r>
          </w:p>
          <w:p>
            <w:pPr>
              <w:keepNext w:val="0"/>
              <w:keepLines w:val="0"/>
              <w:suppressLineNumbers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宋体" w:hAnsi="宋体"/>
                <w:color w:val="auto"/>
                <w:sz w:val="24"/>
              </w:rPr>
              <w:t>医院所有辐</w:t>
            </w:r>
            <w:r>
              <w:rPr>
                <w:rFonts w:hint="default" w:ascii="Times New Roman" w:hAnsi="Times New Roman" w:cs="Times New Roman"/>
                <w:color w:val="auto"/>
                <w:sz w:val="24"/>
              </w:rPr>
              <w:t>射工作人员均佩戴了个人剂量计，每季度对个人剂量计进行检测，并按照《职业性外照射个人监测规范》（GBZ128-20</w:t>
            </w:r>
            <w:r>
              <w:rPr>
                <w:rFonts w:hint="default" w:ascii="Times New Roman" w:hAnsi="Times New Roman" w:cs="Times New Roman"/>
                <w:color w:val="auto"/>
                <w:sz w:val="24"/>
                <w:lang w:val="en-US" w:eastAsia="zh-CN"/>
              </w:rPr>
              <w:t>19</w:t>
            </w:r>
            <w:r>
              <w:rPr>
                <w:rFonts w:hint="default" w:ascii="Times New Roman" w:hAnsi="Times New Roman" w:cs="Times New Roman"/>
                <w:color w:val="auto"/>
                <w:sz w:val="24"/>
              </w:rPr>
              <w:t>）和《放射性同位素与射线装置安全和防护管理办法》（环境保护部令18号）要求建立个人剂量档案，医院有专人负责个人剂量检测管理工作。</w:t>
            </w:r>
          </w:p>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color w:val="auto"/>
                <w:sz w:val="24"/>
                <w:highlight w:val="none"/>
              </w:rPr>
              <w:t>医院有专人负责个人剂量检测管理工作。发现个人剂量检测结果异常时，及时调查原因，并将有关情况及时报告医院辐射防护领导小组。</w:t>
            </w:r>
            <w:r>
              <w:rPr>
                <w:rFonts w:hint="eastAsia" w:ascii="Times New Roman" w:hAnsi="Times New Roman" w:cs="Times New Roman"/>
                <w:color w:val="auto"/>
                <w:sz w:val="24"/>
                <w:highlight w:val="none"/>
                <w:lang w:val="en-US" w:eastAsia="zh-CN"/>
              </w:rPr>
              <w:t>医院</w:t>
            </w:r>
            <w:r>
              <w:rPr>
                <w:rFonts w:hint="default" w:ascii="Times New Roman" w:hAnsi="Times New Roman" w:cs="Times New Roman"/>
                <w:color w:val="auto"/>
                <w:sz w:val="24"/>
                <w:highlight w:val="none"/>
              </w:rPr>
              <w:t>委托</w:t>
            </w:r>
            <w:r>
              <w:rPr>
                <w:rFonts w:hint="eastAsia" w:ascii="Times New Roman" w:hAnsi="Times New Roman" w:cs="Times New Roman"/>
                <w:color w:val="auto"/>
                <w:sz w:val="24"/>
                <w:highlight w:val="none"/>
                <w:lang w:val="en-US" w:eastAsia="zh-CN"/>
              </w:rPr>
              <w:t>成都市疾病预防控制中心</w:t>
            </w:r>
            <w:r>
              <w:rPr>
                <w:rFonts w:hint="default" w:ascii="Times New Roman" w:hAnsi="Times New Roman" w:cs="Times New Roman"/>
                <w:color w:val="auto"/>
                <w:sz w:val="24"/>
                <w:highlight w:val="none"/>
                <w:lang w:eastAsia="zh-CN"/>
              </w:rPr>
              <w:t>完成</w:t>
            </w:r>
            <w:r>
              <w:rPr>
                <w:rFonts w:hint="eastAsia" w:ascii="Times New Roman" w:hAnsi="Times New Roman" w:cs="Times New Roman"/>
                <w:color w:val="auto"/>
                <w:sz w:val="24"/>
                <w:highlight w:val="none"/>
                <w:lang w:val="en-US" w:eastAsia="zh-CN"/>
              </w:rPr>
              <w:t>医院所有辐射工作人员个人剂量检测。</w:t>
            </w:r>
            <w:r>
              <w:rPr>
                <w:rFonts w:hint="default" w:ascii="Times New Roman" w:hAnsi="Times New Roman" w:cs="Times New Roman"/>
                <w:color w:val="auto"/>
                <w:sz w:val="24"/>
              </w:rPr>
              <w:t>由</w:t>
            </w:r>
            <w:r>
              <w:rPr>
                <w:rFonts w:hint="eastAsia" w:ascii="Times New Roman" w:hAnsi="Times New Roman" w:cs="Times New Roman"/>
                <w:color w:val="auto"/>
                <w:sz w:val="24"/>
                <w:lang w:val="en-US" w:eastAsia="zh-CN"/>
              </w:rPr>
              <w:t>2020年</w:t>
            </w:r>
            <w:r>
              <w:rPr>
                <w:rFonts w:hint="default" w:ascii="Times New Roman" w:hAnsi="Times New Roman" w:cs="Times New Roman"/>
                <w:color w:val="auto"/>
                <w:sz w:val="24"/>
                <w:lang w:val="en-US" w:eastAsia="zh-CN"/>
              </w:rPr>
              <w:t>个人剂量</w:t>
            </w:r>
            <w:r>
              <w:rPr>
                <w:rFonts w:hint="eastAsia" w:ascii="Times New Roman" w:hAnsi="Times New Roman" w:cs="Times New Roman"/>
                <w:color w:val="auto"/>
                <w:sz w:val="24"/>
                <w:lang w:val="en-US" w:eastAsia="zh-CN"/>
              </w:rPr>
              <w:t>检查报告</w:t>
            </w:r>
            <w:r>
              <w:rPr>
                <w:rFonts w:hint="default" w:ascii="Times New Roman" w:hAnsi="Times New Roman" w:cs="Times New Roman"/>
                <w:color w:val="auto"/>
                <w:sz w:val="24"/>
              </w:rPr>
              <w:t>（</w:t>
            </w:r>
            <w:r>
              <w:rPr>
                <w:rFonts w:hint="default" w:ascii="Times New Roman" w:hAnsi="Times New Roman" w:cs="Times New Roman"/>
                <w:color w:val="auto"/>
                <w:sz w:val="24"/>
                <w:highlight w:val="none"/>
              </w:rPr>
              <w:t>附件</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rPr>
              <w:t>）可知，医院辐射工作人员</w:t>
            </w:r>
            <w:r>
              <w:rPr>
                <w:rFonts w:hint="eastAsia" w:ascii="Times New Roman" w:hAnsi="Times New Roman" w:cs="Times New Roman"/>
                <w:color w:val="auto"/>
                <w:sz w:val="24"/>
                <w:lang w:val="en-US" w:eastAsia="zh-CN"/>
              </w:rPr>
              <w:t>2020</w:t>
            </w:r>
            <w:r>
              <w:rPr>
                <w:rFonts w:hint="default" w:ascii="Times New Roman" w:hAnsi="Times New Roman" w:cs="Times New Roman"/>
                <w:color w:val="auto"/>
                <w:sz w:val="24"/>
              </w:rPr>
              <w:t>年年度个人剂量计监测结果</w:t>
            </w:r>
            <w:r>
              <w:rPr>
                <w:rFonts w:hint="default" w:ascii="Times New Roman" w:hAnsi="Times New Roman" w:cs="Times New Roman"/>
                <w:color w:val="auto"/>
                <w:sz w:val="24"/>
                <w:lang w:val="en-US" w:eastAsia="zh-CN"/>
              </w:rPr>
              <w:t>均未超过</w:t>
            </w:r>
            <w:r>
              <w:rPr>
                <w:rFonts w:hint="default" w:ascii="Times New Roman" w:hAnsi="Times New Roman" w:cs="Times New Roman"/>
                <w:color w:val="auto"/>
                <w:sz w:val="24"/>
              </w:rPr>
              <w:t>5mSv的约束限值</w:t>
            </w:r>
            <w:r>
              <w:rPr>
                <w:rFonts w:hint="default" w:ascii="Times New Roman" w:hAnsi="Times New Roman" w:cs="Times New Roman"/>
                <w:color w:val="auto"/>
                <w:sz w:val="24"/>
                <w:lang w:val="en-US" w:eastAsia="zh-CN"/>
              </w:rPr>
              <w:t>，且无单季度个人剂量超过1.25mSv的情况</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eastAsia="黑体" w:cs="Times New Roman"/>
                <w:bCs/>
                <w:color w:val="auto"/>
                <w:sz w:val="24"/>
                <w:highlight w:val="none"/>
                <w:lang w:eastAsia="zh-CN"/>
              </w:rPr>
              <w:t>医院</w:t>
            </w:r>
            <w:r>
              <w:rPr>
                <w:rFonts w:hint="eastAsia" w:ascii="Times New Roman" w:hAnsi="Times New Roman" w:eastAsia="黑体" w:cs="Times New Roman"/>
                <w:bCs/>
                <w:color w:val="auto"/>
                <w:sz w:val="24"/>
                <w:highlight w:val="none"/>
                <w:lang w:val="en-US" w:eastAsia="zh-CN"/>
              </w:rPr>
              <w:t>应</w:t>
            </w:r>
            <w:r>
              <w:rPr>
                <w:rFonts w:hint="default" w:ascii="Times New Roman" w:hAnsi="Times New Roman" w:eastAsia="黑体" w:cs="Times New Roman"/>
                <w:bCs/>
                <w:color w:val="auto"/>
                <w:sz w:val="24"/>
                <w:highlight w:val="none"/>
                <w:lang w:eastAsia="zh-CN"/>
              </w:rPr>
              <w:t>进一步加强个人剂量管理，加强人员的培训指导，并随时对个人剂量进行监控</w:t>
            </w:r>
            <w:r>
              <w:rPr>
                <w:rFonts w:hint="eastAsia" w:ascii="Times New Roman" w:hAnsi="Times New Roman" w:eastAsia="黑体" w:cs="Times New Roman"/>
                <w:bCs/>
                <w:color w:val="auto"/>
                <w:sz w:val="24"/>
                <w:highlight w:val="none"/>
                <w:lang w:eastAsia="zh-CN"/>
              </w:rPr>
              <w:t>，</w:t>
            </w:r>
            <w:r>
              <w:rPr>
                <w:rFonts w:hint="eastAsia" w:ascii="Times New Roman" w:hAnsi="Times New Roman" w:eastAsia="黑体" w:cs="Times New Roman"/>
                <w:bCs/>
                <w:color w:val="auto"/>
                <w:sz w:val="24"/>
                <w:highlight w:val="none"/>
                <w:lang w:val="en-US" w:eastAsia="zh-CN"/>
              </w:rPr>
              <w:t>对遗失个人剂量计的职业人员采取相应的处理措施</w:t>
            </w:r>
            <w:r>
              <w:rPr>
                <w:rFonts w:hint="default" w:ascii="Times New Roman" w:hAnsi="Times New Roman" w:eastAsia="黑体" w:cs="Times New Roman"/>
                <w:bCs/>
                <w:color w:val="auto"/>
                <w:sz w:val="24"/>
                <w:highlight w:val="none"/>
                <w:lang w:eastAsia="zh-CN"/>
              </w:rPr>
              <w:t>。若医院未查找</w:t>
            </w:r>
            <w:r>
              <w:rPr>
                <w:rFonts w:hint="eastAsia" w:ascii="Times New Roman" w:hAnsi="Times New Roman" w:eastAsia="黑体" w:cs="Times New Roman"/>
                <w:bCs/>
                <w:color w:val="auto"/>
                <w:sz w:val="24"/>
                <w:highlight w:val="none"/>
                <w:lang w:val="en-US" w:eastAsia="zh-CN"/>
              </w:rPr>
              <w:t>到</w:t>
            </w:r>
            <w:r>
              <w:rPr>
                <w:rFonts w:hint="default" w:ascii="Times New Roman" w:hAnsi="Times New Roman" w:eastAsia="黑体" w:cs="Times New Roman"/>
                <w:bCs/>
                <w:color w:val="auto"/>
                <w:sz w:val="24"/>
                <w:highlight w:val="none"/>
                <w:lang w:eastAsia="zh-CN"/>
              </w:rPr>
              <w:t>个人剂量超过</w:t>
            </w:r>
            <w:r>
              <w:rPr>
                <w:rFonts w:hint="default" w:ascii="Times New Roman" w:hAnsi="Times New Roman" w:eastAsia="黑体" w:cs="Times New Roman"/>
                <w:bCs/>
                <w:color w:val="auto"/>
                <w:sz w:val="24"/>
                <w:highlight w:val="none"/>
                <w:lang w:val="en-US" w:eastAsia="zh-CN"/>
              </w:rPr>
              <w:t>1.25mSv的原因，应将个人剂量计委托第三方进行校正检测。</w:t>
            </w:r>
          </w:p>
          <w:p>
            <w:pPr>
              <w:keepNext w:val="0"/>
              <w:keepLines w:val="0"/>
              <w:suppressLineNumbers w:val="0"/>
              <w:autoSpaceDN w:val="0"/>
              <w:spacing w:before="0" w:beforeAutospacing="0" w:after="0" w:afterAutospacing="0" w:line="360" w:lineRule="auto"/>
              <w:ind w:left="0" w:right="0" w:firstLine="482" w:firstLineChars="200"/>
              <w:rPr>
                <w:rFonts w:hint="eastAsia" w:ascii="宋体" w:hAnsi="宋体"/>
                <w:b/>
                <w:bCs w:val="0"/>
                <w:color w:val="auto"/>
                <w:sz w:val="24"/>
                <w:highlight w:val="none"/>
              </w:rPr>
            </w:pPr>
            <w:r>
              <w:rPr>
                <w:rFonts w:hint="eastAsia" w:ascii="宋体" w:hAnsi="宋体"/>
                <w:b/>
                <w:bCs w:val="0"/>
                <w:color w:val="auto"/>
                <w:sz w:val="24"/>
                <w:highlight w:val="none"/>
                <w:lang w:eastAsia="zh-CN"/>
              </w:rPr>
              <w:t>（</w:t>
            </w:r>
            <w:r>
              <w:rPr>
                <w:rFonts w:hint="eastAsia" w:ascii="宋体" w:hAnsi="宋体"/>
                <w:b/>
                <w:bCs w:val="0"/>
                <w:color w:val="auto"/>
                <w:sz w:val="24"/>
                <w:highlight w:val="none"/>
                <w:lang w:val="en-US" w:eastAsia="zh-CN"/>
              </w:rPr>
              <w:t>2</w:t>
            </w:r>
            <w:r>
              <w:rPr>
                <w:rFonts w:hint="eastAsia" w:ascii="宋体" w:hAnsi="宋体"/>
                <w:b/>
                <w:bCs w:val="0"/>
                <w:color w:val="auto"/>
                <w:sz w:val="24"/>
                <w:highlight w:val="none"/>
                <w:lang w:eastAsia="zh-CN"/>
              </w:rPr>
              <w:t>）</w:t>
            </w:r>
            <w:r>
              <w:rPr>
                <w:rFonts w:hint="default" w:ascii="宋体" w:hAnsi="宋体"/>
                <w:b/>
                <w:bCs w:val="0"/>
                <w:color w:val="auto"/>
                <w:sz w:val="24"/>
                <w:highlight w:val="none"/>
              </w:rPr>
              <w:t>工作场所辐射水平监测</w:t>
            </w:r>
          </w:p>
          <w:p>
            <w:pPr>
              <w:keepNext w:val="0"/>
              <w:keepLines w:val="0"/>
              <w:suppressLineNumbers w:val="0"/>
              <w:autoSpaceDN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原</w:t>
            </w:r>
            <w:r>
              <w:rPr>
                <w:rFonts w:hint="default" w:ascii="Times New Roman" w:hAnsi="Times New Roman" w:eastAsia="宋体" w:cs="Times New Roman"/>
                <w:color w:val="auto"/>
                <w:sz w:val="24"/>
                <w:highlight w:val="none"/>
              </w:rPr>
              <w:t>环保部18号令和《四川省核技术利用辐射安全监督检查大纲（2016）》的要求，医院</w:t>
            </w:r>
            <w:r>
              <w:rPr>
                <w:rFonts w:hint="eastAsia" w:ascii="Times New Roman" w:hAnsi="Times New Roman" w:cs="Times New Roman"/>
                <w:color w:val="auto"/>
                <w:sz w:val="24"/>
                <w:highlight w:val="none"/>
                <w:lang w:val="en-US" w:eastAsia="zh-CN"/>
              </w:rPr>
              <w:t>每年</w:t>
            </w:r>
            <w:r>
              <w:rPr>
                <w:rFonts w:hint="default" w:ascii="Times New Roman" w:hAnsi="Times New Roman" w:eastAsia="宋体" w:cs="Times New Roman"/>
                <w:color w:val="auto"/>
                <w:sz w:val="24"/>
                <w:highlight w:val="none"/>
              </w:rPr>
              <w:t>委托了</w:t>
            </w:r>
            <w:r>
              <w:rPr>
                <w:rFonts w:hint="default" w:ascii="Times New Roman" w:hAnsi="Times New Roman" w:cs="Times New Roman"/>
                <w:bCs/>
                <w:color w:val="auto"/>
                <w:sz w:val="24"/>
                <w:szCs w:val="24"/>
                <w:lang w:val="en-US" w:eastAsia="zh-CN"/>
              </w:rPr>
              <w:t>有资质的单位对辐射工作场所进行监测</w:t>
            </w:r>
            <w:r>
              <w:rPr>
                <w:rFonts w:hint="eastAsia" w:ascii="Times New Roman" w:hAnsi="Times New Roman"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医用射线装置工作场所监测，主要针对射线装置机房周围（四周墙体、楼上和楼下、防护门和观察窗）、控制室等。</w:t>
            </w:r>
            <w:r>
              <w:rPr>
                <w:rFonts w:hint="eastAsia" w:ascii="Times New Roman" w:hAnsi="Times New Roman" w:cs="Times New Roman"/>
                <w:bCs/>
                <w:color w:val="auto"/>
                <w:sz w:val="24"/>
                <w:szCs w:val="24"/>
                <w:lang w:val="en-US" w:eastAsia="zh-CN"/>
              </w:rPr>
              <w:t>医院委托了</w:t>
            </w:r>
            <w:r>
              <w:rPr>
                <w:rFonts w:hint="default" w:ascii="Times New Roman" w:hAnsi="Times New Roman" w:eastAsia="宋体" w:cs="Times New Roman"/>
                <w:color w:val="auto"/>
                <w:sz w:val="24"/>
                <w:highlight w:val="none"/>
              </w:rPr>
              <w:t>四川省永坤环境监测有限公司、四川</w:t>
            </w:r>
            <w:r>
              <w:rPr>
                <w:rFonts w:hint="eastAsia" w:ascii="Times New Roman" w:hAnsi="Times New Roman" w:cs="Times New Roman"/>
                <w:color w:val="auto"/>
                <w:sz w:val="24"/>
                <w:highlight w:val="none"/>
                <w:lang w:val="en-US" w:eastAsia="zh-CN"/>
              </w:rPr>
              <w:t>省核工业辐射测试防护院（四川省核应急技术支持中心）、四川省世阳卫生技术服务有限公司</w:t>
            </w:r>
            <w:r>
              <w:rPr>
                <w:rFonts w:hint="default" w:ascii="Times New Roman" w:hAnsi="Times New Roman" w:eastAsia="宋体" w:cs="Times New Roman"/>
                <w:color w:val="auto"/>
                <w:sz w:val="24"/>
                <w:highlight w:val="none"/>
              </w:rPr>
              <w:t>开展了射线装置20</w:t>
            </w:r>
            <w:r>
              <w:rPr>
                <w:rFonts w:hint="eastAsia" w:ascii="Times New Roman" w:hAnsi="Times New Roman" w:cs="Times New Roman"/>
                <w:color w:val="auto"/>
                <w:sz w:val="24"/>
                <w:highlight w:val="none"/>
                <w:lang w:val="en-US" w:eastAsia="zh-CN"/>
              </w:rPr>
              <w:t>20</w:t>
            </w:r>
            <w:r>
              <w:rPr>
                <w:rFonts w:hint="default" w:ascii="Times New Roman" w:hAnsi="Times New Roman" w:eastAsia="宋体" w:cs="Times New Roman"/>
                <w:color w:val="auto"/>
                <w:sz w:val="24"/>
                <w:highlight w:val="none"/>
              </w:rPr>
              <w:t>年度辐射环境现状监测，监测报告文号为永环监字（20</w:t>
            </w:r>
            <w:r>
              <w:rPr>
                <w:rFonts w:hint="eastAsia" w:ascii="Times New Roman" w:hAnsi="Times New Roman" w:cs="Times New Roman"/>
                <w:color w:val="auto"/>
                <w:sz w:val="24"/>
                <w:highlight w:val="none"/>
                <w:lang w:val="en-US" w:eastAsia="zh-CN"/>
              </w:rPr>
              <w:t>20</w:t>
            </w:r>
            <w:r>
              <w:rPr>
                <w:rFonts w:hint="default" w:ascii="Times New Roman" w:hAnsi="Times New Roman" w:eastAsia="宋体" w:cs="Times New Roman"/>
                <w:color w:val="auto"/>
                <w:sz w:val="24"/>
                <w:highlight w:val="none"/>
              </w:rPr>
              <w:t>）第 RM0</w:t>
            </w:r>
            <w:r>
              <w:rPr>
                <w:rFonts w:hint="eastAsia" w:ascii="Times New Roman" w:hAnsi="Times New Roman" w:cs="Times New Roman"/>
                <w:color w:val="auto"/>
                <w:sz w:val="24"/>
                <w:highlight w:val="none"/>
                <w:lang w:val="en-US" w:eastAsia="zh-CN"/>
              </w:rPr>
              <w:t>041</w:t>
            </w:r>
            <w:r>
              <w:rPr>
                <w:rFonts w:hint="default" w:ascii="Times New Roman" w:hAnsi="Times New Roman" w:eastAsia="宋体" w:cs="Times New Roman"/>
                <w:color w:val="auto"/>
                <w:sz w:val="24"/>
                <w:highlight w:val="none"/>
              </w:rPr>
              <w:t>号、</w:t>
            </w:r>
            <w:r>
              <w:rPr>
                <w:rFonts w:hint="eastAsia" w:ascii="Times New Roman" w:hAnsi="Times New Roman" w:cs="Times New Roman"/>
                <w:color w:val="auto"/>
                <w:sz w:val="24"/>
                <w:highlight w:val="none"/>
                <w:lang w:val="en-US" w:eastAsia="zh-CN"/>
              </w:rPr>
              <w:t>辐测院监字</w:t>
            </w:r>
            <w:r>
              <w:rPr>
                <w:rFonts w:hint="default" w:ascii="Times New Roman" w:hAnsi="Times New Roman" w:eastAsia="宋体" w:cs="Times New Roman"/>
                <w:color w:val="auto"/>
                <w:sz w:val="24"/>
                <w:highlight w:val="none"/>
              </w:rPr>
              <w:t>（20</w:t>
            </w:r>
            <w:r>
              <w:rPr>
                <w:rFonts w:hint="eastAsia" w:ascii="Times New Roman" w:hAnsi="Times New Roman" w:cs="Times New Roman"/>
                <w:color w:val="auto"/>
                <w:sz w:val="24"/>
                <w:highlight w:val="none"/>
                <w:lang w:val="en-US" w:eastAsia="zh-CN"/>
              </w:rPr>
              <w:t>20F</w:t>
            </w:r>
            <w:r>
              <w:rPr>
                <w:rFonts w:hint="default" w:ascii="Times New Roman" w:hAnsi="Times New Roman" w:eastAsia="宋体" w:cs="Times New Roman"/>
                <w:color w:val="auto"/>
                <w:sz w:val="24"/>
                <w:highlight w:val="none"/>
              </w:rPr>
              <w:t>）第</w:t>
            </w:r>
            <w:r>
              <w:rPr>
                <w:rFonts w:hint="eastAsia" w:ascii="Times New Roman" w:hAnsi="Times New Roman" w:cs="Times New Roman"/>
                <w:color w:val="auto"/>
                <w:sz w:val="24"/>
                <w:highlight w:val="none"/>
                <w:lang w:val="en-US" w:eastAsia="zh-CN"/>
              </w:rPr>
              <w:t>12</w:t>
            </w:r>
            <w:r>
              <w:rPr>
                <w:rFonts w:hint="default" w:ascii="Times New Roman" w:hAnsi="Times New Roman" w:eastAsia="宋体" w:cs="Times New Roman"/>
                <w:color w:val="auto"/>
                <w:sz w:val="24"/>
                <w:highlight w:val="none"/>
              </w:rPr>
              <w:t>号、</w:t>
            </w:r>
            <w:r>
              <w:rPr>
                <w:rFonts w:hint="eastAsia" w:ascii="Times New Roman" w:hAnsi="Times New Roman" w:cs="Times New Roman"/>
                <w:color w:val="auto"/>
                <w:sz w:val="24"/>
                <w:highlight w:val="none"/>
                <w:lang w:val="en-US" w:eastAsia="zh-CN"/>
              </w:rPr>
              <w:t>辐测院监字</w:t>
            </w:r>
            <w:r>
              <w:rPr>
                <w:rFonts w:hint="default" w:ascii="Times New Roman" w:hAnsi="Times New Roman" w:eastAsia="宋体" w:cs="Times New Roman"/>
                <w:color w:val="auto"/>
                <w:sz w:val="24"/>
                <w:highlight w:val="none"/>
              </w:rPr>
              <w:t>（20</w:t>
            </w:r>
            <w:r>
              <w:rPr>
                <w:rFonts w:hint="eastAsia" w:ascii="Times New Roman" w:hAnsi="Times New Roman" w:cs="Times New Roman"/>
                <w:color w:val="auto"/>
                <w:sz w:val="24"/>
                <w:highlight w:val="none"/>
                <w:lang w:val="en-US" w:eastAsia="zh-CN"/>
              </w:rPr>
              <w:t>20F</w:t>
            </w:r>
            <w:r>
              <w:rPr>
                <w:rFonts w:hint="default" w:ascii="Times New Roman" w:hAnsi="Times New Roman" w:eastAsia="宋体" w:cs="Times New Roman"/>
                <w:color w:val="auto"/>
                <w:sz w:val="24"/>
                <w:highlight w:val="none"/>
              </w:rPr>
              <w:t>）第</w:t>
            </w:r>
            <w:r>
              <w:rPr>
                <w:rFonts w:hint="eastAsia" w:ascii="Times New Roman" w:hAnsi="Times New Roman" w:cs="Times New Roman"/>
                <w:color w:val="auto"/>
                <w:sz w:val="24"/>
                <w:highlight w:val="none"/>
                <w:lang w:val="en-US" w:eastAsia="zh-CN"/>
              </w:rPr>
              <w:t>297</w:t>
            </w:r>
            <w:r>
              <w:rPr>
                <w:rFonts w:hint="default" w:ascii="Times New Roman" w:hAnsi="Times New Roman" w:eastAsia="宋体" w:cs="Times New Roman"/>
                <w:color w:val="auto"/>
                <w:sz w:val="24"/>
                <w:highlight w:val="none"/>
              </w:rPr>
              <w:t>号、</w:t>
            </w:r>
            <w:r>
              <w:rPr>
                <w:rFonts w:hint="eastAsia" w:ascii="Times New Roman" w:hAnsi="Times New Roman" w:cs="Times New Roman"/>
                <w:color w:val="auto"/>
                <w:sz w:val="24"/>
                <w:highlight w:val="none"/>
                <w:lang w:val="en-US" w:eastAsia="zh-CN"/>
              </w:rPr>
              <w:t>四川世阳（HJ）监</w:t>
            </w:r>
            <w:r>
              <w:rPr>
                <w:rFonts w:hint="default" w:ascii="Times New Roman" w:hAnsi="Times New Roman" w:eastAsia="宋体" w:cs="Times New Roman"/>
                <w:color w:val="auto"/>
                <w:sz w:val="24"/>
                <w:highlight w:val="none"/>
              </w:rPr>
              <w:t>（20</w:t>
            </w:r>
            <w:r>
              <w:rPr>
                <w:rFonts w:hint="eastAsia" w:ascii="Times New Roman" w:hAnsi="Times New Roman" w:cs="Times New Roman"/>
                <w:color w:val="auto"/>
                <w:sz w:val="24"/>
                <w:highlight w:val="none"/>
                <w:lang w:val="en-US" w:eastAsia="zh-CN"/>
              </w:rPr>
              <w:t>20</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1695</w:t>
            </w:r>
            <w:r>
              <w:rPr>
                <w:rFonts w:hint="default" w:ascii="Times New Roman" w:hAnsi="Times New Roman" w:eastAsia="宋体" w:cs="Times New Roman"/>
                <w:color w:val="auto"/>
                <w:sz w:val="24"/>
                <w:highlight w:val="none"/>
              </w:rPr>
              <w:t>号、</w:t>
            </w:r>
            <w:r>
              <w:rPr>
                <w:rFonts w:hint="eastAsia" w:ascii="Times New Roman" w:hAnsi="Times New Roman" w:cs="Times New Roman"/>
                <w:color w:val="auto"/>
                <w:sz w:val="24"/>
                <w:highlight w:val="none"/>
                <w:lang w:val="en-US" w:eastAsia="zh-CN"/>
              </w:rPr>
              <w:t>四川世阳（HJ）监</w:t>
            </w:r>
            <w:r>
              <w:rPr>
                <w:rFonts w:hint="default" w:ascii="Times New Roman" w:hAnsi="Times New Roman" w:eastAsia="宋体" w:cs="Times New Roman"/>
                <w:color w:val="auto"/>
                <w:sz w:val="24"/>
                <w:highlight w:val="none"/>
              </w:rPr>
              <w:t>（20</w:t>
            </w:r>
            <w:r>
              <w:rPr>
                <w:rFonts w:hint="eastAsia" w:ascii="Times New Roman" w:hAnsi="Times New Roman" w:cs="Times New Roman"/>
                <w:color w:val="auto"/>
                <w:sz w:val="24"/>
                <w:highlight w:val="none"/>
                <w:lang w:val="en-US" w:eastAsia="zh-CN"/>
              </w:rPr>
              <w:t>20</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1531</w:t>
            </w:r>
            <w:r>
              <w:rPr>
                <w:rFonts w:hint="default" w:ascii="Times New Roman" w:hAnsi="Times New Roman" w:eastAsia="宋体" w:cs="Times New Roman"/>
                <w:color w:val="auto"/>
                <w:sz w:val="24"/>
                <w:highlight w:val="none"/>
              </w:rPr>
              <w:t>号，根据监测报告可知，现有射线装置辐射工作场所的周围 X~γ 辐射剂量率小于2.5μSv/h</w:t>
            </w:r>
            <w:r>
              <w:rPr>
                <w:rFonts w:hint="default" w:ascii="Times New Roman" w:hAnsi="Times New Roman" w:cs="Times New Roman"/>
                <w:bCs/>
                <w:color w:val="auto"/>
                <w:sz w:val="24"/>
                <w:szCs w:val="24"/>
                <w:highlight w:val="none"/>
                <w:lang w:eastAsia="zh-CN"/>
              </w:rPr>
              <w:t>的控制目标值</w:t>
            </w:r>
            <w:r>
              <w:rPr>
                <w:rFonts w:hint="default"/>
                <w:color w:val="auto"/>
                <w:spacing w:val="-9"/>
              </w:rPr>
              <w:t>，</w:t>
            </w:r>
            <w:r>
              <w:rPr>
                <w:rFonts w:hint="default" w:ascii="Times New Roman" w:hAnsi="Times New Roman" w:eastAsia="宋体" w:cs="Times New Roman"/>
                <w:color w:val="auto"/>
                <w:sz w:val="24"/>
                <w:highlight w:val="none"/>
              </w:rPr>
              <w:t>屏蔽防护设施和措施均能满足辐射防护要求；医院委托了四川</w:t>
            </w:r>
            <w:r>
              <w:rPr>
                <w:rFonts w:hint="eastAsia" w:ascii="Times New Roman" w:hAnsi="Times New Roman" w:cs="Times New Roman"/>
                <w:color w:val="auto"/>
                <w:sz w:val="24"/>
                <w:highlight w:val="none"/>
                <w:lang w:val="en-US" w:eastAsia="zh-CN"/>
              </w:rPr>
              <w:t>省核工业辐射测试防护院（四川省核应急技术支持中心）</w:t>
            </w:r>
            <w:r>
              <w:rPr>
                <w:rFonts w:hint="default" w:ascii="Times New Roman" w:hAnsi="Times New Roman" w:eastAsia="宋体" w:cs="Times New Roman"/>
                <w:color w:val="auto"/>
                <w:sz w:val="24"/>
                <w:highlight w:val="none"/>
              </w:rPr>
              <w:t>开展了核医学科20</w:t>
            </w:r>
            <w:r>
              <w:rPr>
                <w:rFonts w:hint="eastAsia" w:ascii="Times New Roman" w:hAnsi="Times New Roman" w:cs="Times New Roman"/>
                <w:color w:val="auto"/>
                <w:sz w:val="24"/>
                <w:highlight w:val="none"/>
                <w:lang w:val="en-US" w:eastAsia="zh-CN"/>
              </w:rPr>
              <w:t>20</w:t>
            </w:r>
            <w:r>
              <w:rPr>
                <w:rFonts w:hint="default" w:ascii="Times New Roman" w:hAnsi="Times New Roman" w:eastAsia="宋体" w:cs="Times New Roman"/>
                <w:color w:val="auto"/>
                <w:sz w:val="24"/>
                <w:highlight w:val="none"/>
              </w:rPr>
              <w:t>年度辐射环境现状监测，监测报告文号为</w:t>
            </w:r>
            <w:r>
              <w:rPr>
                <w:rFonts w:hint="eastAsia" w:ascii="Times New Roman" w:hAnsi="Times New Roman" w:cs="Times New Roman"/>
                <w:color w:val="auto"/>
                <w:sz w:val="24"/>
                <w:highlight w:val="none"/>
                <w:lang w:val="en-US" w:eastAsia="zh-CN"/>
              </w:rPr>
              <w:t>辐测院监字</w:t>
            </w:r>
            <w:r>
              <w:rPr>
                <w:rFonts w:hint="default" w:ascii="Times New Roman" w:hAnsi="Times New Roman" w:eastAsia="宋体" w:cs="Times New Roman"/>
                <w:color w:val="auto"/>
                <w:sz w:val="24"/>
                <w:highlight w:val="none"/>
              </w:rPr>
              <w:t>（20</w:t>
            </w:r>
            <w:r>
              <w:rPr>
                <w:rFonts w:hint="eastAsia" w:ascii="Times New Roman" w:hAnsi="Times New Roman" w:cs="Times New Roman"/>
                <w:color w:val="auto"/>
                <w:sz w:val="24"/>
                <w:highlight w:val="none"/>
                <w:lang w:val="en-US" w:eastAsia="zh-CN"/>
              </w:rPr>
              <w:t>20F</w:t>
            </w:r>
            <w:r>
              <w:rPr>
                <w:rFonts w:hint="default" w:ascii="Times New Roman" w:hAnsi="Times New Roman" w:eastAsia="宋体" w:cs="Times New Roman"/>
                <w:color w:val="auto"/>
                <w:sz w:val="24"/>
                <w:highlight w:val="none"/>
              </w:rPr>
              <w:t>）第</w:t>
            </w:r>
            <w:r>
              <w:rPr>
                <w:rFonts w:hint="eastAsia" w:ascii="Times New Roman" w:hAnsi="Times New Roman" w:cs="Times New Roman"/>
                <w:color w:val="auto"/>
                <w:sz w:val="24"/>
                <w:highlight w:val="none"/>
                <w:lang w:val="en-US" w:eastAsia="zh-CN"/>
              </w:rPr>
              <w:t>297</w:t>
            </w:r>
            <w:r>
              <w:rPr>
                <w:rFonts w:hint="default" w:ascii="Times New Roman" w:hAnsi="Times New Roman" w:eastAsia="宋体" w:cs="Times New Roman"/>
                <w:color w:val="auto"/>
                <w:sz w:val="24"/>
                <w:highlight w:val="none"/>
              </w:rPr>
              <w:t>号。根据监测报告可知，核医学科相关工作场所 β 放射性表面污染均满足《电离辐射防护和辐射源安全基本标准》（GB18871-2002）中规定的工作场所控制区和监督区 β 放射性表面污染的限值要求。辐射工作中所致职业人员所受剂量满足5mSv/a 的年剂量约束值，所致公众所受剂量均满足0.1mSv/a 的年剂量约束值。</w:t>
            </w:r>
            <w:r>
              <w:rPr>
                <w:rFonts w:hint="default" w:ascii="Times New Roman" w:hAnsi="Times New Roman"/>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9120" w:type="dxa"/>
          </w:tcPr>
          <w:p>
            <w:pPr>
              <w:keepNext w:val="0"/>
              <w:keepLines w:val="0"/>
              <w:suppressLineNumbers w:val="0"/>
              <w:spacing w:before="0" w:beforeAutospacing="0" w:after="0" w:afterAutospacing="0" w:line="360" w:lineRule="auto"/>
              <w:ind w:left="0" w:right="0"/>
              <w:rPr>
                <w:rFonts w:hint="eastAsia" w:ascii="黑体" w:hAnsi="黑体" w:eastAsia="黑体" w:cs="黑体"/>
                <w:color w:val="auto"/>
                <w:sz w:val="28"/>
                <w:szCs w:val="28"/>
              </w:rPr>
            </w:pPr>
            <w:r>
              <w:rPr>
                <w:rFonts w:hint="eastAsia" w:ascii="黑体" w:hAnsi="黑体" w:eastAsia="黑体" w:cs="黑体"/>
                <w:color w:val="auto"/>
                <w:sz w:val="28"/>
                <w:szCs w:val="28"/>
              </w:rPr>
              <w:t>辐射事故应急</w:t>
            </w:r>
          </w:p>
          <w:p>
            <w:pPr>
              <w:keepNext/>
              <w:keepLines w:val="0"/>
              <w:suppressLineNumbers w:val="0"/>
              <w:spacing w:before="0" w:beforeAutospacing="0" w:after="0" w:afterAutospacing="0" w:line="360" w:lineRule="auto"/>
              <w:ind w:left="0" w:right="0" w:firstLine="480" w:firstLineChars="200"/>
              <w:rPr>
                <w:rFonts w:hint="eastAsia" w:ascii="Times New Roman" w:hAnsi="Times New Roman" w:eastAsia="黑体" w:cs="Times New Roman"/>
                <w:bCs/>
                <w:color w:val="auto"/>
                <w:sz w:val="24"/>
                <w:highlight w:val="none"/>
                <w:lang w:val="en-US" w:eastAsia="zh-CN"/>
              </w:rPr>
            </w:pPr>
            <w:r>
              <w:rPr>
                <w:rFonts w:hint="eastAsia" w:ascii="Times New Roman" w:hAnsi="Times New Roman" w:eastAsia="黑体" w:cs="Times New Roman"/>
                <w:bCs/>
                <w:color w:val="auto"/>
                <w:sz w:val="24"/>
                <w:highlight w:val="none"/>
                <w:lang w:val="en-US" w:eastAsia="zh-CN"/>
              </w:rPr>
              <w:t>1</w:t>
            </w:r>
            <w:r>
              <w:rPr>
                <w:rFonts w:hint="default" w:ascii="Times New Roman" w:hAnsi="Times New Roman" w:eastAsia="黑体" w:cs="Times New Roman"/>
                <w:bCs/>
                <w:color w:val="auto"/>
                <w:sz w:val="24"/>
                <w:highlight w:val="none"/>
              </w:rPr>
              <w:t>、事故应急预案</w:t>
            </w:r>
            <w:r>
              <w:rPr>
                <w:rFonts w:hint="eastAsia" w:ascii="Times New Roman" w:hAnsi="Times New Roman" w:eastAsia="黑体" w:cs="Times New Roman"/>
                <w:bCs/>
                <w:color w:val="auto"/>
                <w:sz w:val="24"/>
                <w:highlight w:val="none"/>
                <w:lang w:val="en-US" w:eastAsia="zh-CN"/>
              </w:rPr>
              <w:t>内容</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为了应对放射诊疗中的事故和突发事件，医院制订</w:t>
            </w:r>
            <w:r>
              <w:rPr>
                <w:rFonts w:hint="default" w:ascii="Times New Roman" w:hAnsi="Times New Roman" w:cs="Times New Roman"/>
                <w:color w:val="auto"/>
                <w:sz w:val="24"/>
                <w:szCs w:val="24"/>
                <w:highlight w:val="none"/>
                <w:lang w:val="en-US" w:eastAsia="zh-CN"/>
              </w:rPr>
              <w:t>了</w:t>
            </w:r>
            <w:r>
              <w:rPr>
                <w:rFonts w:hint="default" w:ascii="Times New Roman" w:hAnsi="Times New Roman" w:cs="Times New Roman"/>
                <w:color w:val="auto"/>
                <w:sz w:val="24"/>
                <w:szCs w:val="24"/>
                <w:highlight w:val="none"/>
              </w:rPr>
              <w:t>辐射事故应急预案</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包含了以下内容</w:t>
            </w:r>
            <w:r>
              <w:rPr>
                <w:rFonts w:hint="default" w:ascii="Times New Roman" w:hAnsi="Times New Roman" w:cs="Times New Roman"/>
                <w:color w:val="auto"/>
                <w:sz w:val="24"/>
                <w:szCs w:val="24"/>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1 \* GB3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应急机构和职责分工，应急和救助的装备、资金、物资准备，辐射事故应急处理程序，辐射事故分级与应急响应措施，辐射事故调查、报告和处理程序，辐射事故的调查、预案管理。</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kern w:val="2"/>
                <w:sz w:val="24"/>
                <w:szCs w:val="24"/>
                <w:highlight w:val="none"/>
              </w:rPr>
              <w:fldChar w:fldCharType="begin"/>
            </w:r>
            <w:r>
              <w:rPr>
                <w:rFonts w:hint="default" w:ascii="Times New Roman" w:hAnsi="Times New Roman" w:cs="Times New Roman"/>
                <w:color w:val="auto"/>
                <w:kern w:val="2"/>
                <w:sz w:val="24"/>
                <w:szCs w:val="24"/>
                <w:highlight w:val="none"/>
              </w:rPr>
              <w:instrText xml:space="preserve"> = 2 \* GB3 \* MERGEFORMAT </w:instrText>
            </w:r>
            <w:r>
              <w:rPr>
                <w:rFonts w:hint="default" w:ascii="Times New Roman" w:hAnsi="Times New Roman" w:cs="Times New Roman"/>
                <w:color w:val="auto"/>
                <w:kern w:val="2"/>
                <w:sz w:val="24"/>
                <w:szCs w:val="24"/>
                <w:highlight w:val="none"/>
              </w:rPr>
              <w:fldChar w:fldCharType="separate"/>
            </w:r>
            <w:r>
              <w:rPr>
                <w:rFonts w:hint="default" w:ascii="Times New Roman" w:hAnsi="Times New Roman" w:cs="Times New Roman"/>
                <w:color w:val="auto"/>
                <w:kern w:val="2"/>
                <w:sz w:val="24"/>
                <w:szCs w:val="24"/>
                <w:highlight w:val="none"/>
              </w:rPr>
              <w:t>②</w:t>
            </w:r>
            <w:r>
              <w:rPr>
                <w:rFonts w:hint="default" w:ascii="Times New Roman" w:hAnsi="Times New Roman" w:cs="Times New Roman"/>
                <w:color w:val="auto"/>
                <w:kern w:val="2"/>
                <w:sz w:val="24"/>
                <w:szCs w:val="24"/>
                <w:highlight w:val="none"/>
              </w:rPr>
              <w:fldChar w:fldCharType="end"/>
            </w:r>
            <w:r>
              <w:rPr>
                <w:rFonts w:hint="default" w:ascii="Times New Roman" w:hAnsi="Times New Roman" w:cs="Times New Roman"/>
                <w:color w:val="auto"/>
                <w:kern w:val="2"/>
                <w:sz w:val="24"/>
                <w:szCs w:val="24"/>
                <w:highlight w:val="none"/>
              </w:rPr>
              <w:t>应急组织体系和职责、应急处理程序、上报电话</w:t>
            </w:r>
            <w:r>
              <w:rPr>
                <w:rFonts w:hint="default" w:ascii="Times New Roman" w:hAnsi="Times New Roman" w:cs="Times New Roman"/>
                <w:color w:val="auto"/>
                <w:kern w:val="2"/>
                <w:sz w:val="24"/>
                <w:szCs w:val="24"/>
                <w:highlight w:val="none"/>
                <w:lang w:eastAsia="zh-CN"/>
              </w:rPr>
              <w:t>。</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highlight w:val="none"/>
                <w:lang w:eastAsia="zh-CN"/>
              </w:rPr>
            </w:pPr>
            <w:r>
              <w:rPr>
                <w:rFonts w:hint="default" w:ascii="Times New Roman" w:hAnsi="Times New Roman" w:cs="Times New Roman"/>
                <w:color w:val="auto"/>
                <w:kern w:val="2"/>
                <w:sz w:val="24"/>
                <w:szCs w:val="24"/>
                <w:highlight w:val="none"/>
              </w:rPr>
              <w:fldChar w:fldCharType="begin"/>
            </w:r>
            <w:r>
              <w:rPr>
                <w:rFonts w:hint="default" w:ascii="Times New Roman" w:hAnsi="Times New Roman" w:cs="Times New Roman"/>
                <w:color w:val="auto"/>
                <w:kern w:val="2"/>
                <w:sz w:val="24"/>
                <w:szCs w:val="24"/>
                <w:highlight w:val="none"/>
              </w:rPr>
              <w:instrText xml:space="preserve"> = 3 \* GB3 \* MERGEFORMAT </w:instrText>
            </w:r>
            <w:r>
              <w:rPr>
                <w:rFonts w:hint="default" w:ascii="Times New Roman" w:hAnsi="Times New Roman" w:cs="Times New Roman"/>
                <w:color w:val="auto"/>
                <w:kern w:val="2"/>
                <w:sz w:val="24"/>
                <w:szCs w:val="24"/>
                <w:highlight w:val="none"/>
              </w:rPr>
              <w:fldChar w:fldCharType="separate"/>
            </w:r>
            <w:r>
              <w:rPr>
                <w:rFonts w:hint="default" w:ascii="Times New Roman" w:hAnsi="Times New Roman" w:cs="Times New Roman"/>
                <w:color w:val="auto"/>
                <w:kern w:val="2"/>
                <w:sz w:val="24"/>
                <w:szCs w:val="24"/>
                <w:highlight w:val="none"/>
              </w:rPr>
              <w:t>③</w:t>
            </w:r>
            <w:r>
              <w:rPr>
                <w:rFonts w:hint="default" w:ascii="Times New Roman" w:hAnsi="Times New Roman" w:cs="Times New Roman"/>
                <w:color w:val="auto"/>
                <w:kern w:val="2"/>
                <w:sz w:val="24"/>
                <w:szCs w:val="24"/>
                <w:highlight w:val="none"/>
              </w:rPr>
              <w:fldChar w:fldCharType="end"/>
            </w:r>
            <w:r>
              <w:rPr>
                <w:rFonts w:hint="default" w:ascii="Times New Roman" w:hAnsi="Times New Roman" w:cs="Times New Roman"/>
                <w:color w:val="auto"/>
                <w:kern w:val="2"/>
                <w:sz w:val="24"/>
                <w:szCs w:val="24"/>
                <w:highlight w:val="none"/>
              </w:rPr>
              <w:t>应急人员的培训</w:t>
            </w:r>
            <w:r>
              <w:rPr>
                <w:rFonts w:hint="default" w:ascii="Times New Roman" w:hAnsi="Times New Roman" w:cs="Times New Roman"/>
                <w:color w:val="auto"/>
                <w:kern w:val="2"/>
                <w:sz w:val="24"/>
                <w:szCs w:val="24"/>
                <w:highlight w:val="none"/>
                <w:lang w:eastAsia="zh-CN"/>
              </w:rPr>
              <w:t>；</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highlight w:val="none"/>
                <w:lang w:eastAsia="zh-CN"/>
              </w:rPr>
            </w:pPr>
            <w:r>
              <w:rPr>
                <w:rFonts w:hint="default" w:ascii="Times New Roman" w:hAnsi="Times New Roman" w:cs="Times New Roman"/>
                <w:color w:val="auto"/>
                <w:kern w:val="2"/>
                <w:sz w:val="24"/>
                <w:szCs w:val="24"/>
                <w:highlight w:val="none"/>
              </w:rPr>
              <w:fldChar w:fldCharType="begin"/>
            </w:r>
            <w:r>
              <w:rPr>
                <w:rFonts w:hint="default" w:ascii="Times New Roman" w:hAnsi="Times New Roman" w:cs="Times New Roman"/>
                <w:color w:val="auto"/>
                <w:kern w:val="2"/>
                <w:sz w:val="24"/>
                <w:szCs w:val="24"/>
                <w:highlight w:val="none"/>
              </w:rPr>
              <w:instrText xml:space="preserve"> = 4 \* GB3 \* MERGEFORMAT </w:instrText>
            </w:r>
            <w:r>
              <w:rPr>
                <w:rFonts w:hint="default" w:ascii="Times New Roman" w:hAnsi="Times New Roman" w:cs="Times New Roman"/>
                <w:color w:val="auto"/>
                <w:kern w:val="2"/>
                <w:sz w:val="24"/>
                <w:szCs w:val="24"/>
                <w:highlight w:val="none"/>
              </w:rPr>
              <w:fldChar w:fldCharType="separate"/>
            </w:r>
            <w:r>
              <w:rPr>
                <w:rFonts w:hint="default" w:ascii="Times New Roman" w:hAnsi="Times New Roman" w:cs="Times New Roman"/>
                <w:color w:val="auto"/>
                <w:kern w:val="2"/>
                <w:sz w:val="24"/>
                <w:szCs w:val="24"/>
                <w:highlight w:val="none"/>
              </w:rPr>
              <w:t>④</w:t>
            </w:r>
            <w:r>
              <w:rPr>
                <w:rFonts w:hint="default" w:ascii="Times New Roman" w:hAnsi="Times New Roman" w:cs="Times New Roman"/>
                <w:color w:val="auto"/>
                <w:kern w:val="2"/>
                <w:sz w:val="24"/>
                <w:szCs w:val="24"/>
                <w:highlight w:val="none"/>
              </w:rPr>
              <w:fldChar w:fldCharType="end"/>
            </w:r>
            <w:r>
              <w:rPr>
                <w:rFonts w:hint="default" w:ascii="Times New Roman" w:hAnsi="Times New Roman" w:cs="Times New Roman"/>
                <w:color w:val="auto"/>
                <w:kern w:val="2"/>
                <w:sz w:val="24"/>
                <w:szCs w:val="24"/>
                <w:highlight w:val="none"/>
              </w:rPr>
              <w:t>环境风险因子、潜在危害、事故等级等内容</w:t>
            </w:r>
            <w:r>
              <w:rPr>
                <w:rFonts w:hint="default" w:ascii="Times New Roman" w:hAnsi="Times New Roman" w:cs="Times New Roman"/>
                <w:color w:val="auto"/>
                <w:kern w:val="2"/>
                <w:sz w:val="24"/>
                <w:szCs w:val="24"/>
                <w:highlight w:val="none"/>
                <w:lang w:eastAsia="zh-CN"/>
              </w:rPr>
              <w:t>；</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highlight w:val="none"/>
                <w:lang w:eastAsia="zh-CN"/>
              </w:rPr>
            </w:pPr>
            <w:r>
              <w:rPr>
                <w:rFonts w:hint="default" w:ascii="Times New Roman" w:hAnsi="Times New Roman" w:cs="Times New Roman"/>
                <w:color w:val="auto"/>
                <w:kern w:val="2"/>
                <w:sz w:val="24"/>
                <w:szCs w:val="24"/>
                <w:highlight w:val="none"/>
              </w:rPr>
              <w:fldChar w:fldCharType="begin"/>
            </w:r>
            <w:r>
              <w:rPr>
                <w:rFonts w:hint="default" w:ascii="Times New Roman" w:hAnsi="Times New Roman" w:cs="Times New Roman"/>
                <w:color w:val="auto"/>
                <w:kern w:val="2"/>
                <w:sz w:val="24"/>
                <w:szCs w:val="24"/>
                <w:highlight w:val="none"/>
              </w:rPr>
              <w:instrText xml:space="preserve"> = 5 \* GB3 \* MERGEFORMAT </w:instrText>
            </w:r>
            <w:r>
              <w:rPr>
                <w:rFonts w:hint="default" w:ascii="Times New Roman" w:hAnsi="Times New Roman" w:cs="Times New Roman"/>
                <w:color w:val="auto"/>
                <w:kern w:val="2"/>
                <w:sz w:val="24"/>
                <w:szCs w:val="24"/>
                <w:highlight w:val="none"/>
              </w:rPr>
              <w:fldChar w:fldCharType="separate"/>
            </w:r>
            <w:r>
              <w:rPr>
                <w:rFonts w:hint="default" w:ascii="Times New Roman" w:hAnsi="Times New Roman" w:cs="Times New Roman"/>
                <w:color w:val="auto"/>
                <w:kern w:val="2"/>
                <w:sz w:val="24"/>
                <w:szCs w:val="24"/>
                <w:highlight w:val="none"/>
              </w:rPr>
              <w:t>⑤</w:t>
            </w:r>
            <w:r>
              <w:rPr>
                <w:rFonts w:hint="default" w:ascii="Times New Roman" w:hAnsi="Times New Roman" w:cs="Times New Roman"/>
                <w:color w:val="auto"/>
                <w:kern w:val="2"/>
                <w:sz w:val="24"/>
                <w:szCs w:val="24"/>
                <w:highlight w:val="none"/>
              </w:rPr>
              <w:fldChar w:fldCharType="end"/>
            </w:r>
            <w:r>
              <w:rPr>
                <w:rFonts w:hint="default" w:ascii="Times New Roman" w:hAnsi="Times New Roman" w:cs="Times New Roman"/>
                <w:color w:val="auto"/>
                <w:kern w:val="2"/>
                <w:sz w:val="24"/>
                <w:szCs w:val="24"/>
                <w:highlight w:val="none"/>
              </w:rPr>
              <w:t>辐射事故调查、报告和处理程序中相关负责人员及联系电话</w:t>
            </w:r>
            <w:r>
              <w:rPr>
                <w:rFonts w:hint="default" w:ascii="Times New Roman" w:hAnsi="Times New Roman" w:cs="Times New Roman"/>
                <w:color w:val="auto"/>
                <w:kern w:val="2"/>
                <w:sz w:val="24"/>
                <w:szCs w:val="24"/>
                <w:highlight w:val="none"/>
                <w:lang w:eastAsia="zh-CN"/>
              </w:rPr>
              <w:t>；</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fldChar w:fldCharType="begin"/>
            </w:r>
            <w:r>
              <w:rPr>
                <w:rFonts w:hint="default" w:ascii="Times New Roman" w:hAnsi="Times New Roman" w:cs="Times New Roman"/>
                <w:color w:val="auto"/>
                <w:kern w:val="2"/>
                <w:sz w:val="24"/>
                <w:szCs w:val="24"/>
                <w:highlight w:val="none"/>
              </w:rPr>
              <w:instrText xml:space="preserve"> = 6 \* GB3 \* MERGEFORMAT </w:instrText>
            </w:r>
            <w:r>
              <w:rPr>
                <w:rFonts w:hint="default" w:ascii="Times New Roman" w:hAnsi="Times New Roman" w:cs="Times New Roman"/>
                <w:color w:val="auto"/>
                <w:kern w:val="2"/>
                <w:sz w:val="24"/>
                <w:szCs w:val="24"/>
                <w:highlight w:val="none"/>
              </w:rPr>
              <w:fldChar w:fldCharType="separate"/>
            </w:r>
            <w:r>
              <w:rPr>
                <w:rFonts w:hint="default" w:ascii="Times New Roman" w:hAnsi="Times New Roman" w:cs="Times New Roman"/>
                <w:color w:val="auto"/>
                <w:kern w:val="2"/>
                <w:sz w:val="24"/>
                <w:szCs w:val="24"/>
                <w:highlight w:val="none"/>
              </w:rPr>
              <w:t>⑥</w:t>
            </w:r>
            <w:r>
              <w:rPr>
                <w:rFonts w:hint="default" w:ascii="Times New Roman" w:hAnsi="Times New Roman" w:cs="Times New Roman"/>
                <w:color w:val="auto"/>
                <w:kern w:val="2"/>
                <w:sz w:val="24"/>
                <w:szCs w:val="24"/>
                <w:highlight w:val="none"/>
              </w:rPr>
              <w:fldChar w:fldCharType="end"/>
            </w:r>
            <w:r>
              <w:rPr>
                <w:rFonts w:hint="default" w:ascii="Times New Roman" w:hAnsi="Times New Roman" w:cs="Times New Roman"/>
                <w:color w:val="auto"/>
                <w:kern w:val="2"/>
                <w:sz w:val="24"/>
                <w:szCs w:val="24"/>
                <w:highlight w:val="none"/>
              </w:rPr>
              <w:t>发生辐射事故时，应当立即启动应急预案，采取应急措施，并按规定向所在地</w:t>
            </w:r>
            <w:r>
              <w:rPr>
                <w:rFonts w:hint="eastAsia"/>
                <w:color w:val="auto"/>
                <w:kern w:val="2"/>
                <w:lang w:val="en-US" w:eastAsia="zh-CN"/>
              </w:rPr>
              <w:t>区/县</w:t>
            </w:r>
            <w:r>
              <w:rPr>
                <w:rFonts w:hint="default" w:ascii="Times New Roman" w:hAnsi="Times New Roman" w:cs="Times New Roman"/>
                <w:color w:val="auto"/>
                <w:kern w:val="2"/>
                <w:sz w:val="24"/>
                <w:szCs w:val="24"/>
                <w:highlight w:val="none"/>
              </w:rPr>
              <w:t>级</w:t>
            </w:r>
            <w:r>
              <w:rPr>
                <w:rFonts w:hint="eastAsia" w:ascii="Times New Roman" w:hAnsi="Times New Roman" w:cs="Times New Roman"/>
                <w:color w:val="auto"/>
                <w:kern w:val="2"/>
                <w:sz w:val="24"/>
                <w:szCs w:val="24"/>
                <w:highlight w:val="none"/>
                <w:lang w:val="en-US" w:eastAsia="zh-CN"/>
              </w:rPr>
              <w:t>地方</w:t>
            </w:r>
            <w:r>
              <w:rPr>
                <w:rFonts w:hint="default" w:ascii="Times New Roman" w:hAnsi="Times New Roman" w:cs="Times New Roman"/>
                <w:color w:val="auto"/>
                <w:kern w:val="2"/>
                <w:sz w:val="24"/>
                <w:szCs w:val="24"/>
                <w:highlight w:val="none"/>
              </w:rPr>
              <w:t>人民政府及其</w:t>
            </w:r>
            <w:r>
              <w:rPr>
                <w:rFonts w:hint="default" w:ascii="Times New Roman" w:hAnsi="Times New Roman" w:cs="Times New Roman"/>
                <w:color w:val="auto"/>
                <w:kern w:val="2"/>
                <w:sz w:val="24"/>
                <w:szCs w:val="24"/>
                <w:highlight w:val="none"/>
                <w:lang w:val="en-US" w:eastAsia="zh-CN"/>
              </w:rPr>
              <w:t>生态环境</w:t>
            </w:r>
            <w:r>
              <w:rPr>
                <w:rFonts w:hint="default" w:ascii="Times New Roman" w:hAnsi="Times New Roman" w:cs="Times New Roman"/>
                <w:color w:val="auto"/>
                <w:kern w:val="2"/>
                <w:sz w:val="24"/>
                <w:szCs w:val="24"/>
                <w:highlight w:val="none"/>
              </w:rPr>
              <w:t>、公安、</w:t>
            </w:r>
            <w:r>
              <w:rPr>
                <w:rFonts w:hint="eastAsia" w:ascii="Times New Roman" w:hAnsi="Times New Roman" w:cs="Times New Roman"/>
                <w:color w:val="auto"/>
                <w:kern w:val="2"/>
                <w:sz w:val="24"/>
                <w:szCs w:val="24"/>
                <w:highlight w:val="none"/>
                <w:lang w:val="en-US" w:eastAsia="zh-CN"/>
              </w:rPr>
              <w:t>卫健</w:t>
            </w:r>
            <w:r>
              <w:rPr>
                <w:rFonts w:hint="default" w:ascii="Times New Roman" w:hAnsi="Times New Roman" w:cs="Times New Roman"/>
                <w:color w:val="auto"/>
                <w:kern w:val="2"/>
                <w:sz w:val="24"/>
                <w:szCs w:val="24"/>
                <w:highlight w:val="none"/>
              </w:rPr>
              <w:t>等部门报告。</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b/>
                <w:color w:val="auto"/>
                <w:sz w:val="28"/>
                <w:szCs w:val="28"/>
                <w:highlight w:val="none"/>
              </w:rPr>
            </w:pPr>
            <w:r>
              <w:rPr>
                <w:rFonts w:hint="eastAsia" w:ascii="Times New Roman" w:hAnsi="Times New Roman" w:eastAsia="黑体" w:cs="Times New Roman"/>
                <w:bCs/>
                <w:color w:val="auto"/>
                <w:sz w:val="24"/>
                <w:highlight w:val="none"/>
                <w:lang w:val="en-US" w:eastAsia="zh-CN"/>
              </w:rPr>
              <w:t>2、</w:t>
            </w:r>
            <w:r>
              <w:rPr>
                <w:rFonts w:hint="default" w:ascii="Times New Roman" w:hAnsi="Times New Roman" w:eastAsia="黑体" w:cs="Times New Roman"/>
                <w:bCs/>
                <w:color w:val="auto"/>
                <w:sz w:val="24"/>
                <w:highlight w:val="none"/>
              </w:rPr>
              <w:t>应急措施</w:t>
            </w:r>
          </w:p>
          <w:p>
            <w:pPr>
              <w:keepNext/>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若本项目发生了辐射事故，</w:t>
            </w:r>
            <w:r>
              <w:rPr>
                <w:rFonts w:hint="eastAsia" w:ascii="Times New Roman" w:hAnsi="Times New Roman" w:cs="Times New Roman"/>
                <w:color w:val="auto"/>
                <w:sz w:val="24"/>
                <w:highlight w:val="none"/>
                <w:lang w:val="en-US" w:eastAsia="zh-CN"/>
              </w:rPr>
              <w:t>医院</w:t>
            </w:r>
            <w:r>
              <w:rPr>
                <w:rFonts w:hint="default" w:ascii="Times New Roman" w:hAnsi="Times New Roman" w:cs="Times New Roman"/>
                <w:color w:val="auto"/>
                <w:sz w:val="24"/>
                <w:highlight w:val="none"/>
              </w:rPr>
              <w:t>应迅速、有效采取以下应急措施：</w:t>
            </w:r>
          </w:p>
          <w:p>
            <w:pPr>
              <w:keepNext w:val="0"/>
              <w:keepLines w:val="0"/>
              <w:suppressLineNumbers w:val="0"/>
              <w:tabs>
                <w:tab w:val="left" w:pos="1260"/>
              </w:tabs>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（1）</w:t>
            </w:r>
            <w:r>
              <w:rPr>
                <w:rFonts w:hint="default" w:ascii="Times New Roman" w:hAnsi="Times New Roman" w:cs="Times New Roman"/>
                <w:color w:val="auto"/>
                <w:sz w:val="24"/>
                <w:highlight w:val="none"/>
              </w:rPr>
              <w:t>一旦发现放射性药物、放射源被盗或者丢失，及时向公安部门、</w:t>
            </w:r>
            <w:r>
              <w:rPr>
                <w:rFonts w:hint="eastAsia" w:ascii="Times New Roman" w:hAnsi="Times New Roman" w:cs="Times New Roman"/>
                <w:color w:val="auto"/>
                <w:sz w:val="24"/>
                <w:highlight w:val="none"/>
                <w:lang w:val="en-US" w:eastAsia="zh-CN"/>
              </w:rPr>
              <w:t>生态环境</w:t>
            </w:r>
            <w:r>
              <w:rPr>
                <w:rFonts w:hint="default" w:ascii="Times New Roman" w:hAnsi="Times New Roman" w:cs="Times New Roman"/>
                <w:color w:val="auto"/>
                <w:sz w:val="24"/>
                <w:highlight w:val="none"/>
              </w:rPr>
              <w:t>主管部门和</w:t>
            </w:r>
            <w:r>
              <w:rPr>
                <w:rFonts w:hint="eastAsia" w:ascii="Times New Roman" w:hAnsi="Times New Roman" w:cs="Times New Roman"/>
                <w:color w:val="auto"/>
                <w:sz w:val="24"/>
                <w:highlight w:val="none"/>
                <w:lang w:val="en-US" w:eastAsia="zh-CN"/>
              </w:rPr>
              <w:t>卫健</w:t>
            </w:r>
            <w:r>
              <w:rPr>
                <w:rFonts w:hint="default" w:ascii="Times New Roman" w:hAnsi="Times New Roman" w:cs="Times New Roman"/>
                <w:color w:val="auto"/>
                <w:sz w:val="24"/>
                <w:highlight w:val="none"/>
              </w:rPr>
              <w:t>部门报告。</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（2）</w:t>
            </w:r>
            <w:r>
              <w:rPr>
                <w:rFonts w:hint="default" w:ascii="Times New Roman" w:hAnsi="Times New Roman" w:cs="Times New Roman"/>
                <w:color w:val="auto"/>
                <w:sz w:val="24"/>
                <w:highlight w:val="none"/>
              </w:rPr>
              <w:t>若出现卡堵源事故，医院会迅速关闭</w:t>
            </w:r>
            <w:r>
              <w:rPr>
                <w:rFonts w:hint="eastAsia" w:ascii="Times New Roman" w:hAnsi="Times New Roman" w:cs="Times New Roman"/>
                <w:color w:val="auto"/>
                <w:sz w:val="24"/>
                <w:highlight w:val="none"/>
                <w:lang w:val="en-US" w:eastAsia="zh-CN"/>
              </w:rPr>
              <w:t>后装治疗室</w:t>
            </w:r>
            <w:r>
              <w:rPr>
                <w:rFonts w:hint="default" w:ascii="Times New Roman" w:hAnsi="Times New Roman" w:cs="Times New Roman"/>
                <w:color w:val="auto"/>
                <w:sz w:val="24"/>
                <w:highlight w:val="none"/>
              </w:rPr>
              <w:t>，专业技术人员到来前不得开启，同时派专人职守，防止无关人员进入事故现场，及时联系生产厂家或指定维修单位进行处理。专业技术人员排除事故时，应配备铅衣、铅手套、铅眼镜等防护措施和必要的剂量监测设备，并严格控制与放射源近距离操作的时间。</w:t>
            </w:r>
          </w:p>
          <w:p>
            <w:pPr>
              <w:keepNext w:val="0"/>
              <w:keepLines w:val="0"/>
              <w:suppressLineNumbers w:val="0"/>
              <w:spacing w:before="0" w:beforeAutospacing="0" w:after="0" w:afterAutospacing="0" w:line="360" w:lineRule="auto"/>
              <w:ind w:left="0" w:right="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 xml:space="preserve">    （3）放射源工作或者贮存过程中发生火灾、爆炸等可能影响放射源的安全，在现场允许情况下，应优先对放射源进行灭火并抢离火灾现场，防止放射源屏蔽体破坏。</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（4）</w:t>
            </w:r>
            <w:r>
              <w:rPr>
                <w:rFonts w:hint="default" w:ascii="Times New Roman" w:hAnsi="Times New Roman" w:cs="Times New Roman"/>
                <w:color w:val="auto"/>
                <w:sz w:val="24"/>
                <w:highlight w:val="none"/>
              </w:rPr>
              <w:t>发现误照射事故时，工作人员应立即切断电源，将病人撤出机房，关闭机房门，同时向医院主管领导报告。</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（5）</w:t>
            </w:r>
            <w:r>
              <w:rPr>
                <w:rFonts w:hint="default" w:ascii="Times New Roman" w:hAnsi="Times New Roman" w:cs="Times New Roman"/>
                <w:color w:val="auto"/>
                <w:sz w:val="24"/>
                <w:highlight w:val="none"/>
              </w:rPr>
              <w:t>医院根据估算的超剂量值，尽快安排误照人员进行检查或在指定的医疗机构救治；对可能受放射损伤的人员，应立即采取暂时隔离和应急救援措施。</w:t>
            </w:r>
          </w:p>
          <w:p>
            <w:pPr>
              <w:keepNext/>
              <w:keepLines w:val="0"/>
              <w:suppressLineNumbers w:val="0"/>
              <w:spacing w:before="0" w:beforeAutospacing="0" w:after="0" w:afterAutospacing="0" w:line="360" w:lineRule="auto"/>
              <w:ind w:left="0" w:right="0" w:firstLine="470" w:firstLineChars="196"/>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（6）</w:t>
            </w:r>
            <w:r>
              <w:rPr>
                <w:rFonts w:hint="default" w:ascii="Times New Roman" w:hAnsi="Times New Roman" w:cs="Times New Roman"/>
                <w:color w:val="auto"/>
                <w:sz w:val="24"/>
                <w:highlight w:val="none"/>
              </w:rPr>
              <w:t>事故发生后的2小时内填写《辐射事故初始报告表》，向当地</w:t>
            </w:r>
            <w:r>
              <w:rPr>
                <w:rFonts w:hint="eastAsia" w:ascii="Times New Roman" w:hAnsi="Times New Roman" w:cs="Times New Roman"/>
                <w:color w:val="auto"/>
                <w:sz w:val="24"/>
                <w:highlight w:val="none"/>
                <w:lang w:val="en-US" w:eastAsia="zh-CN"/>
              </w:rPr>
              <w:t>生态环境</w:t>
            </w:r>
            <w:r>
              <w:rPr>
                <w:rFonts w:hint="default" w:ascii="Times New Roman" w:hAnsi="Times New Roman" w:cs="Times New Roman"/>
                <w:color w:val="auto"/>
                <w:sz w:val="24"/>
                <w:highlight w:val="none"/>
              </w:rPr>
              <w:t>和公安部门报告。造成或可能造成超剂量照射的，还应同时向当地</w:t>
            </w:r>
            <w:r>
              <w:rPr>
                <w:rFonts w:hint="eastAsia" w:ascii="Times New Roman" w:hAnsi="Times New Roman" w:cs="Times New Roman"/>
                <w:color w:val="auto"/>
                <w:sz w:val="24"/>
                <w:highlight w:val="none"/>
                <w:lang w:val="en-US" w:eastAsia="zh-CN"/>
              </w:rPr>
              <w:t>卫健委</w:t>
            </w:r>
            <w:r>
              <w:rPr>
                <w:rFonts w:hint="default" w:ascii="Times New Roman" w:hAnsi="Times New Roman" w:cs="Times New Roman"/>
                <w:color w:val="auto"/>
                <w:sz w:val="24"/>
                <w:highlight w:val="none"/>
              </w:rPr>
              <w:t>部门报告。</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（7）</w:t>
            </w:r>
            <w:r>
              <w:rPr>
                <w:rFonts w:hint="default" w:ascii="Times New Roman" w:hAnsi="Times New Roman" w:cs="Times New Roman"/>
                <w:color w:val="auto"/>
                <w:sz w:val="24"/>
                <w:highlight w:val="none"/>
              </w:rPr>
              <w:t>最后查清事故原因，分清责任，消除事故隐患。</w:t>
            </w:r>
          </w:p>
          <w:p>
            <w:pPr>
              <w:keepNext/>
              <w:keepLines w:val="0"/>
              <w:suppressLineNumbers w:val="0"/>
              <w:spacing w:before="0" w:beforeAutospacing="0" w:after="0" w:afterAutospacing="0" w:line="360" w:lineRule="auto"/>
              <w:ind w:left="0" w:right="0" w:firstLine="480" w:firstLineChars="200"/>
              <w:rPr>
                <w:rFonts w:hint="eastAsia" w:ascii="Times New Roman" w:hAnsi="Times New Roman" w:eastAsia="黑体" w:cs="Times New Roman"/>
                <w:bCs/>
                <w:color w:val="auto"/>
                <w:sz w:val="24"/>
                <w:highlight w:val="none"/>
                <w:lang w:val="en-US" w:eastAsia="zh-CN"/>
              </w:rPr>
            </w:pPr>
            <w:r>
              <w:rPr>
                <w:rFonts w:hint="eastAsia" w:ascii="Times New Roman" w:hAnsi="Times New Roman" w:eastAsia="黑体" w:cs="Times New Roman"/>
                <w:bCs/>
                <w:color w:val="auto"/>
                <w:sz w:val="24"/>
                <w:highlight w:val="none"/>
                <w:lang w:val="en-US" w:eastAsia="zh-CN"/>
              </w:rPr>
              <w:t>3</w:t>
            </w:r>
            <w:r>
              <w:rPr>
                <w:rFonts w:hint="default" w:ascii="Times New Roman" w:hAnsi="Times New Roman" w:eastAsia="黑体" w:cs="Times New Roman"/>
                <w:bCs/>
                <w:color w:val="auto"/>
                <w:sz w:val="24"/>
                <w:highlight w:val="none"/>
              </w:rPr>
              <w:t>、</w:t>
            </w:r>
            <w:r>
              <w:rPr>
                <w:rFonts w:hint="eastAsia" w:ascii="Times New Roman" w:hAnsi="Times New Roman" w:eastAsia="黑体" w:cs="Times New Roman"/>
                <w:bCs/>
                <w:color w:val="auto"/>
                <w:sz w:val="24"/>
                <w:highlight w:val="none"/>
                <w:lang w:val="en-US" w:eastAsia="zh-CN"/>
              </w:rPr>
              <w:t>其他要求</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lang w:val="en-US" w:eastAsia="zh-CN"/>
              </w:rPr>
              <w:t>1</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辐射事故风险评估和辐射事故应急预案，应报送所在地</w:t>
            </w:r>
            <w:r>
              <w:rPr>
                <w:rFonts w:hint="eastAsia"/>
                <w:color w:val="auto"/>
                <w:kern w:val="2"/>
                <w:lang w:val="en-US" w:eastAsia="zh-CN"/>
              </w:rPr>
              <w:t>区/县</w:t>
            </w:r>
            <w:r>
              <w:rPr>
                <w:rFonts w:hint="default" w:ascii="Times New Roman" w:hAnsi="Times New Roman" w:cs="Times New Roman"/>
                <w:color w:val="auto"/>
                <w:kern w:val="2"/>
                <w:highlight w:val="none"/>
              </w:rPr>
              <w:t>级地方人民政府</w:t>
            </w:r>
            <w:r>
              <w:rPr>
                <w:rFonts w:hint="eastAsia" w:ascii="Times New Roman" w:hAnsi="Times New Roman" w:cs="Times New Roman"/>
                <w:color w:val="auto"/>
                <w:kern w:val="2"/>
                <w:highlight w:val="none"/>
                <w:lang w:val="en-US" w:eastAsia="zh-CN"/>
              </w:rPr>
              <w:t>生态环境主管部门</w:t>
            </w:r>
            <w:r>
              <w:rPr>
                <w:rFonts w:hint="default" w:ascii="Times New Roman" w:hAnsi="Times New Roman" w:cs="Times New Roman"/>
                <w:color w:val="auto"/>
                <w:kern w:val="2"/>
                <w:highlight w:val="none"/>
              </w:rPr>
              <w:t>备案。</w:t>
            </w:r>
          </w:p>
          <w:p>
            <w:pPr>
              <w:keepNext w:val="0"/>
              <w:keepLines w:val="0"/>
              <w:suppressLineNumbers w:val="0"/>
              <w:spacing w:before="0" w:beforeAutospacing="0" w:after="0" w:afterAutospacing="0" w:line="360" w:lineRule="auto"/>
              <w:ind w:left="0" w:right="0" w:firstLine="480"/>
              <w:jc w:val="both"/>
              <w:rPr>
                <w:rFonts w:hint="default"/>
                <w:color w:val="auto"/>
                <w:sz w:val="24"/>
                <w:szCs w:val="24"/>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w:t>
            </w:r>
            <w:r>
              <w:rPr>
                <w:rFonts w:hint="eastAsia" w:ascii="Times New Roman" w:hAnsi="Times New Roman" w:cs="Times New Roman"/>
                <w:color w:val="auto"/>
                <w:sz w:val="24"/>
                <w:szCs w:val="24"/>
                <w:highlight w:val="none"/>
                <w:lang w:val="en-US" w:eastAsia="zh-CN"/>
              </w:rPr>
              <w:t>应急预案</w:t>
            </w:r>
            <w:r>
              <w:rPr>
                <w:rFonts w:hint="default" w:ascii="Times New Roman" w:hAnsi="Times New Roman" w:cs="Times New Roman"/>
                <w:color w:val="auto"/>
                <w:sz w:val="24"/>
                <w:szCs w:val="24"/>
                <w:highlight w:val="none"/>
              </w:rPr>
              <w:t>的实施中，应根据国家发布新的相关法规内容，结合医院实际及时对</w:t>
            </w:r>
            <w:r>
              <w:rPr>
                <w:rFonts w:hint="eastAsia" w:ascii="Times New Roman" w:hAnsi="Times New Roman" w:cs="Times New Roman"/>
                <w:color w:val="auto"/>
                <w:sz w:val="24"/>
                <w:szCs w:val="24"/>
                <w:highlight w:val="none"/>
                <w:lang w:val="en-US" w:eastAsia="zh-CN"/>
              </w:rPr>
              <w:t>应急预案</w:t>
            </w:r>
            <w:r>
              <w:rPr>
                <w:rFonts w:hint="default" w:ascii="Times New Roman" w:hAnsi="Times New Roman" w:cs="Times New Roman"/>
                <w:color w:val="auto"/>
                <w:sz w:val="24"/>
                <w:szCs w:val="24"/>
                <w:highlight w:val="none"/>
              </w:rPr>
              <w:t>作补充修改，使之更能符合实际需要。</w:t>
            </w:r>
          </w:p>
          <w:p>
            <w:pPr>
              <w:pStyle w:val="16"/>
              <w:keepNext w:val="0"/>
              <w:keepLines w:val="0"/>
              <w:suppressLineNumbers w:val="0"/>
              <w:spacing w:before="0" w:beforeAutospacing="0" w:after="0" w:afterAutospacing="0"/>
              <w:ind w:left="0" w:right="0"/>
              <w:rPr>
                <w:rFonts w:hint="default"/>
                <w:color w:val="auto"/>
              </w:rPr>
            </w:pPr>
          </w:p>
          <w:p>
            <w:pPr>
              <w:pStyle w:val="16"/>
              <w:keepNext w:val="0"/>
              <w:keepLines w:val="0"/>
              <w:suppressLineNumbers w:val="0"/>
              <w:spacing w:before="0" w:beforeAutospacing="0" w:after="0" w:afterAutospacing="0"/>
              <w:ind w:left="0" w:right="0"/>
              <w:rPr>
                <w:rFonts w:hint="default"/>
                <w:color w:val="auto"/>
              </w:rPr>
            </w:pPr>
          </w:p>
          <w:p>
            <w:pPr>
              <w:pStyle w:val="16"/>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line="360" w:lineRule="auto"/>
              <w:ind w:left="0" w:right="0"/>
              <w:jc w:val="left"/>
              <w:rPr>
                <w:rFonts w:hint="default"/>
                <w:color w:val="auto"/>
              </w:rPr>
            </w:pPr>
          </w:p>
          <w:p>
            <w:pPr>
              <w:pStyle w:val="2"/>
              <w:keepNext w:val="0"/>
              <w:keepLines w:val="0"/>
              <w:suppressLineNumbers w:val="0"/>
              <w:spacing w:before="0" w:beforeAutospacing="0" w:after="0" w:afterAutospacing="0"/>
              <w:ind w:left="0" w:right="0"/>
              <w:rPr>
                <w:rFonts w:hint="default" w:ascii="Times New Roman" w:hAnsi="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olor w:val="auto"/>
                <w:kern w:val="2"/>
                <w:sz w:val="24"/>
              </w:rPr>
            </w:pPr>
          </w:p>
          <w:p>
            <w:pPr>
              <w:pStyle w:val="2"/>
              <w:keepNext w:val="0"/>
              <w:keepLines w:val="0"/>
              <w:suppressLineNumbers w:val="0"/>
              <w:spacing w:before="0" w:beforeAutospacing="0" w:after="0" w:afterAutospacing="0"/>
              <w:ind w:left="0" w:right="0"/>
              <w:rPr>
                <w:rFonts w:hint="default" w:ascii="Times New Roman" w:hAnsi="Times New Roman"/>
                <w:color w:val="auto"/>
                <w:kern w:val="2"/>
                <w:sz w:val="24"/>
              </w:rPr>
            </w:pPr>
          </w:p>
        </w:tc>
      </w:tr>
    </w:tbl>
    <w:p>
      <w:pPr>
        <w:rPr>
          <w:rFonts w:hint="default" w:ascii="Times New Roman" w:hAnsi="Times New Roman" w:eastAsia="宋体" w:cs="Times New Roman"/>
          <w:b/>
          <w:bCs w:val="0"/>
          <w:color w:val="auto"/>
          <w:kern w:val="0"/>
          <w:sz w:val="30"/>
          <w:szCs w:val="30"/>
        </w:rPr>
      </w:pPr>
      <w:r>
        <w:rPr>
          <w:rFonts w:hint="default" w:ascii="Times New Roman" w:hAnsi="Times New Roman" w:eastAsia="宋体" w:cs="Times New Roman"/>
          <w:b/>
          <w:bCs w:val="0"/>
          <w:color w:val="auto"/>
          <w:kern w:val="0"/>
          <w:sz w:val="30"/>
          <w:szCs w:val="30"/>
        </w:rPr>
        <w:br w:type="page"/>
      </w:r>
    </w:p>
    <w:p>
      <w:pPr>
        <w:pStyle w:val="3"/>
        <w:keepNext w:val="0"/>
        <w:keepLines w:val="0"/>
        <w:spacing w:before="0" w:after="0"/>
        <w:jc w:val="both"/>
        <w:rPr>
          <w:rFonts w:hint="eastAsia" w:ascii="Times New Roman" w:hAnsi="Times New Roman" w:eastAsia="宋体" w:cs="Times New Roman"/>
          <w:b/>
          <w:bCs w:val="0"/>
          <w:color w:val="auto"/>
          <w:kern w:val="0"/>
          <w:sz w:val="30"/>
          <w:szCs w:val="30"/>
          <w:lang w:val="en-US" w:eastAsia="zh-CN"/>
        </w:rPr>
      </w:pPr>
      <w:bookmarkStart w:id="73" w:name="_Toc13772"/>
      <w:r>
        <w:rPr>
          <w:rFonts w:hint="default" w:ascii="Times New Roman" w:hAnsi="Times New Roman" w:eastAsia="宋体" w:cs="Times New Roman"/>
          <w:b/>
          <w:bCs w:val="0"/>
          <w:color w:val="auto"/>
          <w:kern w:val="0"/>
          <w:sz w:val="30"/>
          <w:szCs w:val="30"/>
        </w:rPr>
        <w:t>表13  结论与</w:t>
      </w:r>
      <w:bookmarkEnd w:id="73"/>
      <w:r>
        <w:rPr>
          <w:rFonts w:hint="eastAsia" w:ascii="Times New Roman" w:hAnsi="Times New Roman" w:cs="Times New Roman"/>
          <w:b/>
          <w:bCs w:val="0"/>
          <w:color w:val="auto"/>
          <w:kern w:val="0"/>
          <w:sz w:val="30"/>
          <w:szCs w:val="30"/>
          <w:lang w:val="en-US" w:eastAsia="zh-CN"/>
        </w:rPr>
        <w:t>建议</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8522" w:type="dxa"/>
          </w:tcPr>
          <w:p>
            <w:pPr>
              <w:pStyle w:val="28"/>
              <w:keepNext w:val="0"/>
              <w:keepLines w:val="0"/>
              <w:suppressLineNumbers w:val="0"/>
              <w:spacing w:before="0" w:beforeAutospacing="0" w:after="0" w:afterAutospacing="0" w:line="276" w:lineRule="auto"/>
              <w:ind w:left="0" w:right="0"/>
              <w:rPr>
                <w:rFonts w:hint="default" w:ascii="Times New Roman" w:hAnsi="Times New Roman" w:eastAsia="黑体"/>
                <w:b w:val="0"/>
                <w:color w:val="auto"/>
                <w:sz w:val="28"/>
                <w:szCs w:val="28"/>
              </w:rPr>
            </w:pPr>
            <w:r>
              <w:rPr>
                <w:rFonts w:hint="default" w:ascii="Times New Roman" w:hAnsi="Times New Roman" w:eastAsia="黑体"/>
                <w:b w:val="0"/>
                <w:color w:val="auto"/>
                <w:sz w:val="28"/>
                <w:szCs w:val="28"/>
              </w:rPr>
              <w:t>结论</w:t>
            </w:r>
          </w:p>
          <w:p>
            <w:pPr>
              <w:keepNext/>
              <w:keepLines w:val="0"/>
              <w:suppressLineNumbers w:val="0"/>
              <w:spacing w:before="0" w:beforeAutospacing="0" w:after="0" w:afterAutospacing="0" w:line="276" w:lineRule="auto"/>
              <w:ind w:left="0" w:right="0"/>
              <w:rPr>
                <w:rFonts w:hint="default" w:ascii="Times New Roman" w:hAnsi="Times New Roman"/>
                <w:b/>
                <w:color w:val="auto"/>
                <w:sz w:val="24"/>
                <w:szCs w:val="24"/>
              </w:rPr>
            </w:pPr>
            <w:r>
              <w:rPr>
                <w:rFonts w:hint="eastAsia" w:ascii="Times New Roman" w:hAnsi="Times New Roman"/>
                <w:b/>
                <w:color w:val="auto"/>
                <w:sz w:val="24"/>
                <w:szCs w:val="24"/>
                <w:lang w:val="en-US" w:eastAsia="zh-CN"/>
              </w:rPr>
              <w:t>一</w:t>
            </w:r>
            <w:r>
              <w:rPr>
                <w:rFonts w:hint="default" w:ascii="Times New Roman" w:hAnsi="Times New Roman"/>
                <w:b/>
                <w:color w:val="auto"/>
                <w:sz w:val="24"/>
                <w:szCs w:val="24"/>
              </w:rPr>
              <w:t>、项目概况</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b w:val="0"/>
                <w:bCs w:val="0"/>
                <w:color w:val="auto"/>
                <w:sz w:val="24"/>
                <w:szCs w:val="24"/>
                <w:highlight w:val="none"/>
                <w:lang w:val="en-US" w:eastAsia="zh-CN"/>
              </w:rPr>
            </w:pPr>
            <w:r>
              <w:rPr>
                <w:rFonts w:hint="default" w:ascii="Times New Roman" w:hAnsi="Times New Roman" w:cs="Times New Roman"/>
                <w:color w:val="auto"/>
                <w:sz w:val="24"/>
                <w:szCs w:val="24"/>
                <w:highlight w:val="none"/>
              </w:rPr>
              <w:t>项目名称：</w:t>
            </w:r>
            <w:r>
              <w:rPr>
                <w:rFonts w:hint="eastAsia" w:ascii="宋体" w:hAnsi="宋体" w:cs="宋体"/>
                <w:b w:val="0"/>
                <w:bCs w:val="0"/>
                <w:color w:val="auto"/>
                <w:sz w:val="24"/>
                <w:szCs w:val="24"/>
                <w:highlight w:val="none"/>
                <w:lang w:val="en-US" w:eastAsia="zh-CN"/>
              </w:rPr>
              <w:t>新增放射性同位素及医用射线装置项目</w:t>
            </w:r>
          </w:p>
          <w:p>
            <w:pPr>
              <w:keepNext w:val="0"/>
              <w:keepLines w:val="0"/>
              <w:suppressLineNumbers w:val="0"/>
              <w:spacing w:before="0" w:beforeAutospacing="0" w:after="0" w:afterAutospacing="0" w:line="360" w:lineRule="auto"/>
              <w:ind w:left="0" w:right="0" w:firstLine="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建设性质：新建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s="Times New Roman"/>
                <w:color w:val="auto"/>
                <w:sz w:val="24"/>
                <w:szCs w:val="24"/>
                <w:highlight w:val="none"/>
              </w:rPr>
              <w:t>建设地点：</w:t>
            </w:r>
            <w:r>
              <w:rPr>
                <w:rFonts w:hint="eastAsia" w:ascii="Times New Roman" w:hAnsi="Times New Roman" w:cs="Times New Roman"/>
                <w:color w:val="auto"/>
                <w:sz w:val="24"/>
                <w:szCs w:val="24"/>
                <w:highlight w:val="none"/>
                <w:lang w:eastAsia="zh-CN"/>
              </w:rPr>
              <w:t>四川省成都市温江区柳城镇麻市街33号成都市第五人民医院门急诊住院综合楼配套工程（三期）负三层放疗中心内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i w:val="0"/>
                <w:iCs w:val="0"/>
                <w:color w:val="auto"/>
                <w:sz w:val="24"/>
              </w:rPr>
            </w:pPr>
            <w:r>
              <w:rPr>
                <w:rFonts w:hint="default" w:ascii="Times New Roman" w:hAnsi="Times New Roman"/>
                <w:color w:val="auto"/>
                <w:sz w:val="24"/>
              </w:rPr>
              <w:t>本次具体建设内容及规模为：</w:t>
            </w:r>
            <w:r>
              <w:rPr>
                <w:rFonts w:hint="eastAsia" w:ascii="Times New Roman" w:hAnsi="Times New Roman" w:cs="Times New Roman"/>
                <w:color w:val="auto"/>
                <w:sz w:val="24"/>
                <w:szCs w:val="24"/>
                <w:highlight w:val="none"/>
                <w:lang w:val="en-US" w:eastAsia="zh-CN"/>
              </w:rPr>
              <w:t>医院</w:t>
            </w:r>
            <w:r>
              <w:rPr>
                <w:rFonts w:hint="eastAsia" w:ascii="Times New Roman" w:hAnsi="Times New Roman" w:cs="Times New Roman"/>
                <w:color w:val="auto"/>
                <w:sz w:val="24"/>
                <w:szCs w:val="24"/>
                <w:highlight w:val="none"/>
                <w:lang w:eastAsia="zh-CN"/>
              </w:rPr>
              <w:t>拟在门急诊住院综合楼配套工程（三期）（在建，-3F/8F，高约33m）负三层</w:t>
            </w:r>
            <w:r>
              <w:rPr>
                <w:rFonts w:hint="default" w:ascii="Times New Roman" w:hAnsi="Times New Roman" w:cs="Times New Roman"/>
                <w:color w:val="auto"/>
                <w:sz w:val="24"/>
                <w:szCs w:val="24"/>
                <w:highlight w:val="none"/>
                <w:lang w:val="en-US" w:eastAsia="zh-CN"/>
              </w:rPr>
              <w:t>放疗中心使用</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台1</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MV医用直线加速器</w:t>
            </w:r>
            <w:r>
              <w:rPr>
                <w:rFonts w:hint="eastAsia" w:ascii="Times New Roman" w:hAnsi="Times New Roman" w:cs="Times New Roman"/>
                <w:color w:val="auto"/>
                <w:sz w:val="24"/>
                <w:szCs w:val="24"/>
                <w:highlight w:val="none"/>
                <w:lang w:val="en-US" w:eastAsia="zh-CN"/>
              </w:rPr>
              <w:t>及1台</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MV医用直线加速器</w:t>
            </w:r>
            <w:r>
              <w:rPr>
                <w:rFonts w:hint="eastAsia" w:ascii="Times New Roman" w:hAnsi="Times New Roman" w:eastAsia="宋体" w:cs="Times New Roman"/>
                <w:color w:val="auto"/>
                <w:sz w:val="24"/>
                <w:szCs w:val="24"/>
                <w:highlight w:val="none"/>
                <w:lang w:val="en-US" w:eastAsia="zh-CN"/>
              </w:rPr>
              <w:t>，属</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II</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类射线装置</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拟在</w:t>
            </w:r>
            <w:r>
              <w:rPr>
                <w:rFonts w:hint="eastAsia" w:ascii="Times New Roman" w:hAnsi="Times New Roman" w:cs="Times New Roman"/>
                <w:color w:val="auto"/>
                <w:sz w:val="24"/>
                <w:szCs w:val="24"/>
                <w:highlight w:val="none"/>
                <w:lang w:eastAsia="zh-CN"/>
              </w:rPr>
              <w:t>门急诊住院综合楼配套工程（三期）负三层</w:t>
            </w:r>
            <w:r>
              <w:rPr>
                <w:rFonts w:hint="eastAsia" w:ascii="Times New Roman" w:hAnsi="Times New Roman" w:cs="Times New Roman"/>
                <w:color w:val="auto"/>
                <w:sz w:val="24"/>
                <w:szCs w:val="24"/>
                <w:highlight w:val="none"/>
                <w:lang w:val="en-US" w:eastAsia="zh-CN"/>
              </w:rPr>
              <w:t>后装治疗室使用</w:t>
            </w:r>
            <w:r>
              <w:rPr>
                <w:rFonts w:hint="default" w:ascii="Times New Roman" w:hAnsi="Times New Roman" w:cs="Times New Roman"/>
                <w:color w:val="auto"/>
                <w:sz w:val="24"/>
                <w:szCs w:val="24"/>
                <w:highlight w:val="none"/>
              </w:rPr>
              <w:t>1台后装机，使用</w:t>
            </w:r>
            <w:r>
              <w:rPr>
                <w:rFonts w:hint="default" w:ascii="Times New Roman" w:hAnsi="Times New Roman" w:cs="Times New Roman"/>
                <w:color w:val="auto"/>
                <w:sz w:val="24"/>
                <w:szCs w:val="24"/>
                <w:highlight w:val="none"/>
                <w:vertAlign w:val="superscript"/>
              </w:rPr>
              <w:t>192</w:t>
            </w:r>
            <w:r>
              <w:rPr>
                <w:rFonts w:hint="default" w:ascii="Times New Roman" w:hAnsi="Times New Roman" w:cs="Times New Roman"/>
                <w:color w:val="auto"/>
                <w:sz w:val="24"/>
                <w:szCs w:val="24"/>
                <w:highlight w:val="none"/>
              </w:rPr>
              <w:t>Ir放射源1枚，活度为3.7×10</w:t>
            </w:r>
            <w:r>
              <w:rPr>
                <w:rFonts w:hint="default" w:ascii="Times New Roman" w:hAnsi="Times New Roman" w:cs="Times New Roman"/>
                <w:color w:val="auto"/>
                <w:sz w:val="24"/>
                <w:szCs w:val="24"/>
                <w:highlight w:val="none"/>
                <w:vertAlign w:val="superscript"/>
              </w:rPr>
              <w:t>11</w:t>
            </w:r>
            <w:r>
              <w:rPr>
                <w:rFonts w:hint="default" w:ascii="Times New Roman" w:hAnsi="Times New Roman" w:cs="Times New Roman"/>
                <w:color w:val="auto"/>
                <w:sz w:val="24"/>
                <w:szCs w:val="24"/>
                <w:highlight w:val="none"/>
              </w:rPr>
              <w:t>Bq</w:t>
            </w:r>
            <w:r>
              <w:rPr>
                <w:rFonts w:hint="eastAsia" w:ascii="宋体" w:hAnsi="宋体"/>
                <w:color w:val="auto"/>
                <w:szCs w:val="21"/>
                <w:lang w:eastAsia="zh-CN"/>
              </w:rPr>
              <w:t>，</w:t>
            </w:r>
            <w:r>
              <w:rPr>
                <w:rFonts w:hint="default" w:ascii="Times New Roman" w:hAnsi="Times New Roman" w:cs="Times New Roman"/>
                <w:color w:val="auto"/>
                <w:sz w:val="24"/>
                <w:szCs w:val="24"/>
                <w:highlight w:val="none"/>
              </w:rPr>
              <w:t>属</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3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cs="Times New Roman"/>
                <w:color w:val="auto"/>
                <w:sz w:val="24"/>
                <w:szCs w:val="24"/>
                <w:highlight w:val="none"/>
              </w:rPr>
              <w:t>III</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类放射源</w:t>
            </w:r>
            <w:r>
              <w:rPr>
                <w:rFonts w:hint="eastAsia" w:ascii="Times New Roman" w:hAnsi="Times New Roman" w:cs="Times New Roman"/>
                <w:color w:val="auto"/>
                <w:sz w:val="24"/>
                <w:szCs w:val="24"/>
                <w:highlight w:val="none"/>
                <w:lang w:eastAsia="zh-CN"/>
              </w:rPr>
              <w:t>。</w:t>
            </w:r>
          </w:p>
          <w:p>
            <w:pPr>
              <w:keepNext/>
              <w:keepLines w:val="0"/>
              <w:suppressLineNumbers w:val="0"/>
              <w:spacing w:before="0" w:beforeAutospacing="0" w:after="0" w:afterAutospacing="0" w:line="360" w:lineRule="auto"/>
              <w:ind w:left="0" w:right="0"/>
              <w:rPr>
                <w:rFonts w:hint="default" w:ascii="Times New Roman" w:hAnsi="Times New Roman"/>
                <w:b/>
                <w:color w:val="auto"/>
                <w:sz w:val="24"/>
                <w:szCs w:val="24"/>
              </w:rPr>
            </w:pPr>
            <w:r>
              <w:rPr>
                <w:rFonts w:hint="eastAsia" w:ascii="Times New Roman" w:hAnsi="Times New Roman"/>
                <w:b/>
                <w:color w:val="auto"/>
                <w:sz w:val="24"/>
                <w:szCs w:val="24"/>
                <w:lang w:val="en-US" w:eastAsia="zh-CN"/>
              </w:rPr>
              <w:t>二</w:t>
            </w:r>
            <w:r>
              <w:rPr>
                <w:rFonts w:hint="default" w:ascii="Times New Roman" w:hAnsi="Times New Roman"/>
                <w:b/>
                <w:color w:val="auto"/>
                <w:sz w:val="24"/>
                <w:szCs w:val="24"/>
              </w:rPr>
              <w:t>、本项目产业政策符合性分析</w:t>
            </w:r>
          </w:p>
          <w:p>
            <w:pPr>
              <w:keepNext w:val="0"/>
              <w:keepLines w:val="0"/>
              <w:suppressLineNumbers w:val="0"/>
              <w:spacing w:before="0" w:beforeAutospacing="0" w:after="0" w:afterAutospacing="0" w:line="360" w:lineRule="auto"/>
              <w:ind w:left="0" w:right="0" w:firstLine="540"/>
              <w:rPr>
                <w:rFonts w:hint="default" w:ascii="Times New Roman" w:hAnsi="Times New Roman"/>
                <w:color w:val="auto"/>
                <w:sz w:val="24"/>
              </w:rPr>
            </w:pPr>
            <w:r>
              <w:rPr>
                <w:rFonts w:hint="default" w:ascii="Times New Roman" w:hAnsi="Times New Roman"/>
                <w:color w:val="auto"/>
                <w:sz w:val="24"/>
              </w:rPr>
              <w:t>本项目系核和辐射技术用于医学领域，属高新技术。根据中华人民共和国国家发展和改革委员会令第29号《产业结构调整指导目录（2019年本）》（2020年1月1日施行）的相关规定，本项目属鼓励类第六项“核能”第6条“同位素、加速器及辐照应用技术开发”，符合国家产业发展政策。</w:t>
            </w:r>
          </w:p>
          <w:p>
            <w:pPr>
              <w:keepNext/>
              <w:keepLines w:val="0"/>
              <w:suppressLineNumbers w:val="0"/>
              <w:spacing w:before="0" w:beforeAutospacing="0" w:after="0" w:afterAutospacing="0" w:line="360" w:lineRule="auto"/>
              <w:ind w:left="0" w:right="0"/>
              <w:rPr>
                <w:rFonts w:hint="default" w:ascii="Times New Roman" w:hAnsi="Times New Roman"/>
                <w:b/>
                <w:color w:val="auto"/>
                <w:sz w:val="24"/>
                <w:szCs w:val="24"/>
              </w:rPr>
            </w:pPr>
            <w:r>
              <w:rPr>
                <w:rFonts w:hint="eastAsia" w:ascii="Times New Roman" w:hAnsi="Times New Roman"/>
                <w:b/>
                <w:color w:val="auto"/>
                <w:sz w:val="24"/>
                <w:szCs w:val="24"/>
                <w:lang w:val="en-US" w:eastAsia="zh-CN"/>
              </w:rPr>
              <w:t>三</w:t>
            </w:r>
            <w:r>
              <w:rPr>
                <w:rFonts w:hint="default" w:ascii="Times New Roman" w:hAnsi="Times New Roman"/>
                <w:b/>
                <w:color w:val="auto"/>
                <w:sz w:val="24"/>
                <w:szCs w:val="24"/>
              </w:rPr>
              <w:t>、本项目选址合理性分析</w:t>
            </w:r>
          </w:p>
          <w:p>
            <w:pPr>
              <w:keepNext w:val="0"/>
              <w:keepLines w:val="0"/>
              <w:pageBreakBefore w:val="0"/>
              <w:widowControl w:val="0"/>
              <w:suppressLineNumbers w:val="0"/>
              <w:kinsoku/>
              <w:wordWrap/>
              <w:overflowPunct/>
              <w:topLinePunct w:val="0"/>
              <w:autoSpaceDE/>
              <w:autoSpaceDN/>
              <w:bidi w:val="0"/>
              <w:adjustRightInd/>
              <w:snapToGrid w:val="0"/>
              <w:spacing w:before="63" w:beforeLines="2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宋体" w:hAnsi="宋体"/>
                <w:color w:val="auto"/>
                <w:sz w:val="24"/>
                <w:lang w:val="en-US" w:eastAsia="zh-CN"/>
              </w:rPr>
              <w:t>本项目选址于</w:t>
            </w:r>
            <w:r>
              <w:rPr>
                <w:rFonts w:hint="eastAsia" w:ascii="Times New Roman" w:hAnsi="Times New Roman" w:cs="Times New Roman"/>
                <w:color w:val="auto"/>
                <w:sz w:val="24"/>
                <w:szCs w:val="24"/>
                <w:highlight w:val="none"/>
                <w:lang w:eastAsia="zh-CN"/>
              </w:rPr>
              <w:t>四川省成都市温江区柳城镇麻市街33号成都市第五人民医院门急诊住院综合楼配套工程（三期）负三层放疗中心内</w:t>
            </w:r>
            <w:r>
              <w:rPr>
                <w:rFonts w:hint="eastAsia" w:ascii="宋体" w:hAnsi="宋体"/>
                <w:color w:val="auto"/>
                <w:sz w:val="24"/>
                <w:lang w:val="en-US" w:eastAsia="zh-CN"/>
              </w:rPr>
              <w:t>，医院</w:t>
            </w:r>
            <w:r>
              <w:rPr>
                <w:rFonts w:hint="default" w:ascii="宋体" w:hAnsi="宋体" w:eastAsia="宋体" w:cs="宋体"/>
                <w:color w:val="auto"/>
                <w:sz w:val="24"/>
                <w:szCs w:val="24"/>
              </w:rPr>
              <w:t>用地性质为医疗</w:t>
            </w:r>
            <w:r>
              <w:rPr>
                <w:rFonts w:hint="eastAsia" w:ascii="宋体" w:hAnsi="宋体" w:cs="宋体"/>
                <w:color w:val="auto"/>
                <w:sz w:val="24"/>
                <w:szCs w:val="24"/>
                <w:lang w:val="en-US" w:eastAsia="zh-CN"/>
              </w:rPr>
              <w:t>卫生</w:t>
            </w:r>
            <w:r>
              <w:rPr>
                <w:rFonts w:hint="default" w:ascii="宋体" w:hAnsi="宋体" w:eastAsia="宋体" w:cs="宋体"/>
                <w:color w:val="auto"/>
                <w:sz w:val="24"/>
                <w:szCs w:val="24"/>
              </w:rPr>
              <w:t>用地</w:t>
            </w:r>
            <w:r>
              <w:rPr>
                <w:rFonts w:hint="eastAsia" w:ascii="宋体" w:hAnsi="宋体" w:cs="宋体"/>
                <w:color w:val="auto"/>
                <w:sz w:val="24"/>
                <w:szCs w:val="24"/>
                <w:lang w:eastAsia="zh-CN"/>
              </w:rPr>
              <w:t>，</w:t>
            </w:r>
            <w:r>
              <w:rPr>
                <w:rFonts w:hint="default" w:ascii="Times New Roman" w:hAnsi="Times New Roman" w:cs="Times New Roman"/>
                <w:color w:val="auto"/>
                <w:sz w:val="24"/>
                <w:szCs w:val="24"/>
                <w:highlight w:val="none"/>
                <w:lang w:val="en-US" w:eastAsia="zh-CN"/>
              </w:rPr>
              <w:t>本项目仅为其中</w:t>
            </w:r>
            <w:r>
              <w:rPr>
                <w:rFonts w:hint="eastAsia" w:ascii="Times New Roman" w:hAnsi="Times New Roman" w:cs="Times New Roman"/>
                <w:color w:val="auto"/>
                <w:sz w:val="24"/>
                <w:szCs w:val="24"/>
                <w:highlight w:val="none"/>
                <w:lang w:val="en-US" w:eastAsia="zh-CN"/>
              </w:rPr>
              <w:t>配套</w:t>
            </w:r>
            <w:r>
              <w:rPr>
                <w:rFonts w:hint="default" w:ascii="Times New Roman" w:hAnsi="Times New Roman" w:cs="Times New Roman"/>
                <w:color w:val="auto"/>
                <w:sz w:val="24"/>
                <w:szCs w:val="24"/>
                <w:highlight w:val="none"/>
                <w:lang w:val="en-US" w:eastAsia="zh-CN"/>
              </w:rPr>
              <w:t>建设内容，不新增用地，</w:t>
            </w:r>
            <w:r>
              <w:rPr>
                <w:rFonts w:hint="default" w:ascii="Times New Roman" w:hAnsi="Times New Roman" w:eastAsia="宋体" w:cs="Times New Roman"/>
                <w:color w:val="auto"/>
                <w:sz w:val="24"/>
                <w:szCs w:val="24"/>
                <w:highlight w:val="none"/>
              </w:rPr>
              <w:t>且拟建的各辐射工作场所有良好的实体屏蔽设施和防护措施，产生的辐射经屏蔽和防护后对辐射工作人员和公众的照射剂量满足《电离辐射防护与辐射源安全基本标准》（GB18871-2002）中的剂量限值要求并满足报告表确定的剂量管理约束值的要求，从辐射安全防护的角度分析，本项目选址是合理的。</w:t>
            </w:r>
          </w:p>
          <w:p>
            <w:pPr>
              <w:keepNext/>
              <w:keepLines w:val="0"/>
              <w:suppressLineNumbers w:val="0"/>
              <w:spacing w:before="0" w:beforeAutospacing="0" w:after="0" w:afterAutospacing="0" w:line="360" w:lineRule="auto"/>
              <w:ind w:left="0" w:right="0"/>
              <w:rPr>
                <w:rFonts w:hint="default" w:ascii="Times New Roman" w:hAnsi="Times New Roman"/>
                <w:b/>
                <w:color w:val="auto"/>
                <w:sz w:val="24"/>
                <w:szCs w:val="24"/>
              </w:rPr>
            </w:pPr>
            <w:r>
              <w:rPr>
                <w:rFonts w:hint="eastAsia" w:ascii="Times New Roman" w:hAnsi="Times New Roman"/>
                <w:b/>
                <w:color w:val="auto"/>
                <w:sz w:val="24"/>
                <w:szCs w:val="24"/>
                <w:lang w:val="en-US" w:eastAsia="zh-CN"/>
              </w:rPr>
              <w:t>四</w:t>
            </w:r>
            <w:r>
              <w:rPr>
                <w:rFonts w:hint="default" w:ascii="Times New Roman" w:hAnsi="Times New Roman"/>
                <w:b/>
                <w:color w:val="auto"/>
                <w:sz w:val="24"/>
                <w:szCs w:val="24"/>
              </w:rPr>
              <w:t>、工程所在地区环境质量现状</w:t>
            </w:r>
          </w:p>
          <w:p>
            <w:pPr>
              <w:pStyle w:val="9"/>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color w:val="auto"/>
                <w:sz w:val="24"/>
                <w:highlight w:val="yellow"/>
              </w:rPr>
            </w:pPr>
            <w:r>
              <w:rPr>
                <w:rFonts w:hint="default" w:ascii="Times New Roman" w:hAnsi="Times New Roman" w:cs="Times New Roman"/>
                <w:color w:val="auto"/>
                <w:sz w:val="24"/>
                <w:highlight w:val="none"/>
              </w:rPr>
              <w:t>根据四川省</w:t>
            </w:r>
            <w:r>
              <w:rPr>
                <w:rFonts w:hint="default" w:ascii="Times New Roman" w:hAnsi="Times New Roman" w:cs="Times New Roman"/>
                <w:color w:val="auto"/>
                <w:sz w:val="24"/>
                <w:highlight w:val="none"/>
                <w:lang w:eastAsia="zh-CN"/>
              </w:rPr>
              <w:t>永坤</w:t>
            </w:r>
            <w:r>
              <w:rPr>
                <w:rFonts w:hint="default" w:ascii="Times New Roman" w:hAnsi="Times New Roman" w:cs="Times New Roman"/>
                <w:color w:val="auto"/>
                <w:sz w:val="24"/>
                <w:highlight w:val="none"/>
              </w:rPr>
              <w:t>环境监测有限公司的监测报告，项目所在地的γ辐射空气吸收剂量率背景值属于正常天然本底辐射水平</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由</w:t>
            </w:r>
            <w:r>
              <w:rPr>
                <w:rFonts w:hint="eastAsia" w:ascii="Times New Roman" w:hAnsi="Times New Roman" w:cs="Times New Roman"/>
                <w:color w:val="auto"/>
                <w:sz w:val="24"/>
                <w:highlight w:val="none"/>
                <w:lang w:val="en-US" w:eastAsia="zh-CN"/>
              </w:rPr>
              <w:t>附件7</w:t>
            </w:r>
            <w:r>
              <w:rPr>
                <w:rFonts w:hint="default" w:ascii="Times New Roman" w:hAnsi="Times New Roman" w:cs="Times New Roman"/>
                <w:color w:val="auto"/>
                <w:sz w:val="24"/>
                <w:highlight w:val="none"/>
              </w:rPr>
              <w:t>监测</w:t>
            </w:r>
            <w:r>
              <w:rPr>
                <w:rFonts w:hint="eastAsia" w:ascii="Times New Roman" w:hAnsi="Times New Roman" w:cs="Times New Roman"/>
                <w:color w:val="auto"/>
                <w:sz w:val="24"/>
                <w:highlight w:val="none"/>
                <w:lang w:val="en-US" w:eastAsia="zh-CN"/>
              </w:rPr>
              <w:t>结果</w:t>
            </w:r>
            <w:r>
              <w:rPr>
                <w:rFonts w:hint="default" w:ascii="Times New Roman" w:hAnsi="Times New Roman" w:cs="Times New Roman"/>
                <w:color w:val="auto"/>
                <w:sz w:val="24"/>
                <w:highlight w:val="none"/>
              </w:rPr>
              <w:t>可知，</w:t>
            </w:r>
            <w:r>
              <w:rPr>
                <w:rFonts w:hint="eastAsia" w:ascii="Times New Roman" w:hAnsi="Times New Roman" w:cs="Times New Roman"/>
                <w:color w:val="auto"/>
                <w:sz w:val="24"/>
                <w:highlight w:val="none"/>
                <w:lang w:val="en-US" w:eastAsia="zh-CN"/>
              </w:rPr>
              <w:t>项目拟建辐射工作场所及周围环境中子剂量当量率监测</w:t>
            </w:r>
            <w:r>
              <w:rPr>
                <w:rFonts w:hint="default" w:ascii="宋体" w:hAnsi="宋体" w:eastAsia="宋体" w:cs="宋体"/>
                <w:color w:val="auto"/>
                <w:sz w:val="24"/>
                <w:szCs w:val="24"/>
                <w:highlight w:val="none"/>
              </w:rPr>
              <w:t>结果低于检测限值</w:t>
            </w:r>
            <w:r>
              <w:rPr>
                <w:rFonts w:hint="default" w:ascii="Times New Roman" w:hAnsi="Times New Roman" w:cs="Times New Roman"/>
                <w:color w:val="auto"/>
                <w:sz w:val="24"/>
                <w:highlight w:val="none"/>
              </w:rPr>
              <w:t>。</w:t>
            </w:r>
          </w:p>
          <w:p>
            <w:pPr>
              <w:pStyle w:val="5"/>
              <w:numPr>
                <w:ilvl w:val="3"/>
                <w:numId w:val="0"/>
              </w:numPr>
              <w:suppressLineNumbers w:val="0"/>
              <w:spacing w:before="0" w:beforeAutospacing="0" w:after="0" w:afterAutospacing="0" w:line="360" w:lineRule="auto"/>
              <w:ind w:left="0" w:right="0"/>
              <w:rPr>
                <w:rFonts w:hint="default"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五</w:t>
            </w:r>
            <w:r>
              <w:rPr>
                <w:rFonts w:hint="default" w:ascii="Times New Roman" w:hAnsi="Times New Roman" w:eastAsia="宋体"/>
                <w:color w:val="auto"/>
                <w:kern w:val="0"/>
                <w:sz w:val="24"/>
                <w:szCs w:val="24"/>
              </w:rPr>
              <w:t>、环境影响评价分析结论</w:t>
            </w:r>
          </w:p>
          <w:p>
            <w:pPr>
              <w:keepNext/>
              <w:keepLines w:val="0"/>
              <w:suppressLineNumbers w:val="0"/>
              <w:spacing w:before="0" w:beforeAutospacing="0" w:after="0" w:afterAutospacing="0" w:line="360" w:lineRule="auto"/>
              <w:ind w:left="0" w:right="0"/>
              <w:rPr>
                <w:rFonts w:hint="default" w:ascii="Times New Roman" w:hAnsi="Times New Roman"/>
                <w:b/>
                <w:bCs/>
                <w:color w:val="auto"/>
                <w:sz w:val="24"/>
                <w:szCs w:val="24"/>
              </w:rPr>
            </w:pPr>
            <w:r>
              <w:rPr>
                <w:rFonts w:hint="eastAsia" w:ascii="Times New Roman" w:hAnsi="Times New Roman"/>
                <w:b/>
                <w:bCs/>
                <w:color w:val="auto"/>
                <w:sz w:val="24"/>
                <w:szCs w:val="24"/>
                <w:lang w:val="en-US" w:eastAsia="zh-CN"/>
              </w:rPr>
              <w:t>1、</w:t>
            </w:r>
            <w:r>
              <w:rPr>
                <w:rFonts w:hint="default" w:ascii="Times New Roman" w:hAnsi="Times New Roman"/>
                <w:b/>
                <w:bCs/>
                <w:color w:val="auto"/>
                <w:sz w:val="24"/>
                <w:szCs w:val="24"/>
              </w:rPr>
              <w:t>施工期环境影响分析</w:t>
            </w:r>
          </w:p>
          <w:p>
            <w:pPr>
              <w:keepNext w:val="0"/>
              <w:keepLines w:val="0"/>
              <w:suppressLineNumbers w:val="0"/>
              <w:spacing w:before="0" w:beforeAutospacing="0" w:after="0" w:afterAutospacing="0" w:line="360" w:lineRule="auto"/>
              <w:ind w:left="0" w:right="0"/>
              <w:rPr>
                <w:rFonts w:hint="default" w:ascii="Times New Roman" w:hAnsi="Times New Roman"/>
                <w:color w:val="auto"/>
              </w:rPr>
            </w:pPr>
            <w:r>
              <w:rPr>
                <w:rFonts w:hint="default" w:ascii="Times New Roman" w:hAnsi="Times New Roman"/>
                <w:bCs/>
                <w:color w:val="auto"/>
                <w:sz w:val="24"/>
              </w:rPr>
              <w:t xml:space="preserve">    </w:t>
            </w:r>
            <w:r>
              <w:rPr>
                <w:rFonts w:hint="default" w:ascii="Times New Roman" w:hAnsi="Times New Roman" w:cs="Times New Roman"/>
                <w:color w:val="auto"/>
                <w:sz w:val="24"/>
              </w:rPr>
              <w:t>本项目所在的放疗中心土建工程属于“</w:t>
            </w:r>
            <w:r>
              <w:rPr>
                <w:rFonts w:hint="default" w:ascii="Times New Roman" w:hAnsi="Times New Roman" w:cs="Times New Roman"/>
                <w:color w:val="auto"/>
                <w:sz w:val="24"/>
                <w:lang w:eastAsia="zh-CN"/>
              </w:rPr>
              <w:t>成都市第五人民医院门急诊住院综合楼配套工程</w:t>
            </w:r>
            <w:r>
              <w:rPr>
                <w:rFonts w:hint="default" w:ascii="Times New Roman" w:hAnsi="Times New Roman" w:cs="Times New Roman"/>
                <w:color w:val="auto"/>
                <w:sz w:val="24"/>
              </w:rPr>
              <w:t>”建设内容之一，其施工期环境影响包含在</w:t>
            </w:r>
            <w:r>
              <w:rPr>
                <w:rFonts w:hint="default" w:ascii="Times New Roman" w:hAnsi="Times New Roman" w:cs="Times New Roman"/>
                <w:color w:val="auto"/>
                <w:sz w:val="24"/>
                <w:lang w:eastAsia="zh-CN"/>
              </w:rPr>
              <w:t>“成都市第五人民医院门急诊住院综合楼配套工程</w:t>
            </w:r>
            <w:r>
              <w:rPr>
                <w:rFonts w:hint="default" w:ascii="Times New Roman" w:hAnsi="Times New Roman" w:cs="Times New Roman"/>
                <w:color w:val="auto"/>
                <w:sz w:val="24"/>
              </w:rPr>
              <w:t>环境影响</w:t>
            </w:r>
            <w:r>
              <w:rPr>
                <w:rFonts w:hint="default" w:ascii="Times New Roman" w:hAnsi="Times New Roman" w:cs="Times New Roman"/>
                <w:color w:val="auto"/>
                <w:sz w:val="24"/>
                <w:lang w:val="en-US" w:eastAsia="zh-CN"/>
              </w:rPr>
              <w:t>登记表</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中</w:t>
            </w:r>
            <w:r>
              <w:rPr>
                <w:rFonts w:hint="default" w:ascii="Times New Roman" w:hAnsi="Times New Roman" w:cs="Times New Roman"/>
                <w:color w:val="auto"/>
                <w:kern w:val="44"/>
                <w:sz w:val="24"/>
              </w:rPr>
              <w:t>。</w:t>
            </w:r>
            <w:r>
              <w:rPr>
                <w:rFonts w:hint="default" w:ascii="Times New Roman" w:hAnsi="Times New Roman"/>
                <w:bCs/>
                <w:color w:val="auto"/>
                <w:sz w:val="24"/>
              </w:rPr>
              <w:t>医院强化施工期环境管理，严格落实施工期各项环保措施，采取有效措施，尽可能减缓施工期对环境产生的影响。</w:t>
            </w:r>
          </w:p>
          <w:p>
            <w:pPr>
              <w:keepNext/>
              <w:keepLines w:val="0"/>
              <w:suppressLineNumbers w:val="0"/>
              <w:spacing w:before="0" w:beforeAutospacing="0" w:after="0" w:afterAutospacing="0" w:line="360" w:lineRule="auto"/>
              <w:ind w:left="0" w:right="0"/>
              <w:rPr>
                <w:rFonts w:hint="default" w:ascii="Times New Roman" w:hAnsi="Times New Roman"/>
                <w:b/>
                <w:bCs/>
                <w:color w:val="auto"/>
                <w:sz w:val="24"/>
                <w:szCs w:val="24"/>
              </w:rPr>
            </w:pPr>
            <w:r>
              <w:rPr>
                <w:rFonts w:hint="eastAsia" w:ascii="Times New Roman" w:hAnsi="Times New Roman"/>
                <w:b/>
                <w:bCs/>
                <w:color w:val="auto"/>
                <w:sz w:val="24"/>
                <w:szCs w:val="24"/>
                <w:lang w:val="en-US" w:eastAsia="zh-CN"/>
              </w:rPr>
              <w:t>2、</w:t>
            </w:r>
            <w:r>
              <w:rPr>
                <w:rFonts w:hint="default" w:ascii="Times New Roman" w:hAnsi="Times New Roman"/>
                <w:b/>
                <w:bCs/>
                <w:color w:val="auto"/>
                <w:sz w:val="24"/>
                <w:szCs w:val="24"/>
              </w:rPr>
              <w:t>营运期环境影响分析</w:t>
            </w:r>
          </w:p>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eastAsia" w:ascii="Times New Roman" w:hAnsi="Times New Roman" w:eastAsia="黑体"/>
                <w:color w:val="auto"/>
                <w:sz w:val="24"/>
                <w:lang w:eastAsia="zh-CN"/>
              </w:rPr>
              <w:t>（</w:t>
            </w:r>
            <w:r>
              <w:rPr>
                <w:rFonts w:hint="eastAsia" w:ascii="Times New Roman" w:hAnsi="Times New Roman" w:eastAsia="黑体"/>
                <w:color w:val="auto"/>
                <w:sz w:val="24"/>
                <w:lang w:val="en-US" w:eastAsia="zh-CN"/>
              </w:rPr>
              <w:t>1</w:t>
            </w:r>
            <w:r>
              <w:rPr>
                <w:rFonts w:hint="eastAsia" w:ascii="Times New Roman" w:hAnsi="Times New Roman" w:eastAsia="黑体"/>
                <w:color w:val="auto"/>
                <w:sz w:val="24"/>
                <w:lang w:eastAsia="zh-CN"/>
              </w:rPr>
              <w:t>）</w:t>
            </w:r>
            <w:r>
              <w:rPr>
                <w:rFonts w:hint="eastAsia" w:ascii="Times New Roman" w:hAnsi="Times New Roman" w:eastAsia="黑体"/>
                <w:color w:val="auto"/>
                <w:sz w:val="24"/>
              </w:rPr>
              <w:t>直线加速器</w:t>
            </w:r>
            <w:r>
              <w:rPr>
                <w:rFonts w:hint="default" w:ascii="Times New Roman" w:hAnsi="Times New Roman" w:eastAsia="黑体"/>
                <w:color w:val="auto"/>
                <w:sz w:val="24"/>
              </w:rPr>
              <w:t>环境影响分析</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b w:val="0"/>
                <w:bCs w:val="0"/>
                <w:color w:val="auto"/>
                <w:sz w:val="24"/>
              </w:rPr>
            </w:pPr>
            <w:r>
              <w:rPr>
                <w:rFonts w:hint="eastAsia" w:ascii="Times New Roman" w:hAnsi="Times New Roman"/>
                <w:color w:val="auto"/>
                <w:sz w:val="24"/>
                <w:lang w:val="en-US" w:eastAsia="zh-CN"/>
              </w:rPr>
              <w:t>①1#、2#、3#加速器治疗室</w:t>
            </w:r>
            <w:r>
              <w:rPr>
                <w:rFonts w:hint="default" w:ascii="Times New Roman" w:hAnsi="Times New Roman" w:cs="Times New Roman"/>
                <w:b w:val="0"/>
                <w:bCs w:val="0"/>
                <w:color w:val="auto"/>
                <w:sz w:val="24"/>
                <w:szCs w:val="24"/>
                <w:highlight w:val="none"/>
                <w:lang w:val="en-US" w:eastAsia="zh-CN"/>
              </w:rPr>
              <w:t>室内医生所受</w:t>
            </w:r>
            <w:r>
              <w:rPr>
                <w:rFonts w:hint="eastAsia" w:ascii="Times New Roman" w:hAnsi="Times New Roman" w:cs="Times New Roman"/>
                <w:b w:val="0"/>
                <w:bCs w:val="0"/>
                <w:color w:val="auto"/>
                <w:sz w:val="24"/>
                <w:szCs w:val="24"/>
                <w:highlight w:val="none"/>
                <w:lang w:val="en-US" w:eastAsia="zh-CN"/>
              </w:rPr>
              <w:t>年</w:t>
            </w:r>
            <w:r>
              <w:rPr>
                <w:rFonts w:hint="default" w:ascii="Times New Roman" w:hAnsi="Times New Roman" w:cs="Times New Roman"/>
                <w:b w:val="0"/>
                <w:bCs w:val="0"/>
                <w:color w:val="auto"/>
                <w:sz w:val="24"/>
                <w:szCs w:val="24"/>
                <w:highlight w:val="none"/>
                <w:lang w:val="en-US" w:eastAsia="zh-CN"/>
              </w:rPr>
              <w:t>有效剂量</w:t>
            </w:r>
            <w:r>
              <w:rPr>
                <w:rFonts w:hint="eastAsia" w:ascii="Times New Roman" w:hAnsi="Times New Roman" w:cs="Times New Roman"/>
                <w:b w:val="0"/>
                <w:bCs w:val="0"/>
                <w:color w:val="auto"/>
                <w:sz w:val="24"/>
                <w:szCs w:val="24"/>
                <w:highlight w:val="none"/>
                <w:lang w:val="en-US" w:eastAsia="zh-CN"/>
              </w:rPr>
              <w:t>分别为</w:t>
            </w:r>
            <w:r>
              <w:rPr>
                <w:rFonts w:hint="default" w:ascii="Times New Roman" w:hAnsi="Times New Roman" w:cs="Times New Roman"/>
                <w:color w:val="auto"/>
                <w:sz w:val="24"/>
                <w:szCs w:val="24"/>
                <w:lang w:val="en-US" w:eastAsia="zh-CN"/>
              </w:rPr>
              <w:t>1.26</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vertAlign w:val="baseline"/>
                <w:lang w:val="en-US" w:eastAsia="zh-CN"/>
              </w:rPr>
              <w:t>、</w:t>
            </w:r>
            <w:r>
              <w:rPr>
                <w:rFonts w:hint="eastAsia" w:ascii="Times New Roman" w:hAnsi="Times New Roman" w:cs="Times New Roman"/>
                <w:color w:val="auto"/>
                <w:sz w:val="24"/>
                <w:szCs w:val="24"/>
                <w:highlight w:val="none"/>
                <w:lang w:val="en-US" w:eastAsia="zh-CN"/>
              </w:rPr>
              <w:t>1.06</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w:t>
            </w:r>
            <w:r>
              <w:rPr>
                <w:rFonts w:hint="eastAsia" w:ascii="Times New Roman" w:hAnsi="Times New Roman" w:cs="Times New Roman"/>
                <w:color w:val="auto"/>
                <w:sz w:val="24"/>
                <w:szCs w:val="24"/>
                <w:highlight w:val="none"/>
                <w:vertAlign w:val="superscript"/>
                <w:lang w:val="en-US" w:eastAsia="zh-CN"/>
              </w:rPr>
              <w:t>1</w:t>
            </w:r>
            <w:r>
              <w:rPr>
                <w:rFonts w:hint="eastAsia"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lang w:val="en-US" w:eastAsia="zh-CN"/>
              </w:rPr>
              <w:t>1.26</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olor w:val="auto"/>
                <w:sz w:val="24"/>
              </w:rPr>
              <w:t>mSv，致公众的年剂量最高</w:t>
            </w:r>
            <w:r>
              <w:rPr>
                <w:rFonts w:hint="eastAsia" w:ascii="Times New Roman" w:hAnsi="Times New Roman"/>
                <w:color w:val="auto"/>
                <w:sz w:val="24"/>
                <w:lang w:val="en-US" w:eastAsia="zh-CN"/>
              </w:rPr>
              <w:t>分别</w:t>
            </w:r>
            <w:r>
              <w:rPr>
                <w:rFonts w:hint="default" w:ascii="Times New Roman" w:hAnsi="Times New Roman"/>
                <w:color w:val="auto"/>
                <w:sz w:val="24"/>
              </w:rPr>
              <w:t>为</w:t>
            </w:r>
            <w:r>
              <w:rPr>
                <w:rFonts w:hint="eastAsia" w:ascii="Times New Roman" w:hAnsi="Times New Roman" w:cs="Times New Roman"/>
                <w:color w:val="auto"/>
                <w:sz w:val="24"/>
                <w:szCs w:val="24"/>
                <w:lang w:val="en-US" w:eastAsia="zh-CN"/>
              </w:rPr>
              <w:t>2.07</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vertAlign w:val="superscript"/>
                <w:lang w:val="en-US" w:eastAsia="zh-CN"/>
              </w:rPr>
              <w:t>2</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val="en-US" w:eastAsia="zh-CN"/>
              </w:rPr>
              <w:t>55</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lang w:val="en-US" w:eastAsia="zh-CN"/>
              </w:rPr>
              <w:t>2.07</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olor w:val="auto"/>
                <w:sz w:val="24"/>
              </w:rPr>
              <w:t>mSv，</w:t>
            </w:r>
            <w:r>
              <w:rPr>
                <w:rFonts w:hint="eastAsia" w:ascii="Times New Roman" w:hAnsi="Times New Roman"/>
                <w:color w:val="auto"/>
                <w:sz w:val="24"/>
                <w:lang w:val="en-US" w:eastAsia="zh-CN"/>
              </w:rPr>
              <w:t>均</w:t>
            </w:r>
            <w:r>
              <w:rPr>
                <w:rFonts w:hint="default" w:ascii="Times New Roman" w:hAnsi="Times New Roman"/>
                <w:color w:val="auto"/>
                <w:sz w:val="24"/>
              </w:rPr>
              <w:t>低于5.0mSv和0.1mSv的剂量约束值。</w:t>
            </w:r>
            <w:r>
              <w:rPr>
                <w:rFonts w:hint="eastAsia" w:ascii="Times New Roman" w:hAnsi="Times New Roman"/>
                <w:color w:val="auto"/>
                <w:sz w:val="24"/>
                <w:lang w:val="en-US" w:eastAsia="zh-CN"/>
              </w:rPr>
              <w:t>1#、2#、3#加速器治疗室</w:t>
            </w:r>
            <w:r>
              <w:rPr>
                <w:rFonts w:hint="default" w:ascii="Times New Roman" w:hAnsi="Times New Roman"/>
                <w:b w:val="0"/>
                <w:bCs w:val="0"/>
                <w:color w:val="auto"/>
                <w:sz w:val="24"/>
              </w:rPr>
              <w:t>墙体厚度、</w:t>
            </w:r>
            <w:r>
              <w:rPr>
                <w:rFonts w:hint="eastAsia" w:ascii="Times New Roman" w:hAnsi="Times New Roman"/>
                <w:b w:val="0"/>
                <w:bCs w:val="0"/>
                <w:color w:val="auto"/>
                <w:sz w:val="24"/>
                <w:lang w:eastAsia="zh-CN"/>
              </w:rPr>
              <w:t>迷路</w:t>
            </w:r>
            <w:r>
              <w:rPr>
                <w:rFonts w:hint="default" w:ascii="Times New Roman" w:hAnsi="Times New Roman"/>
                <w:b w:val="0"/>
                <w:bCs w:val="0"/>
                <w:color w:val="auto"/>
                <w:sz w:val="24"/>
              </w:rPr>
              <w:t>厚度、顶部厚度和防护门厚度均满足要求。</w:t>
            </w:r>
          </w:p>
          <w:p>
            <w:pPr>
              <w:keepNext/>
              <w:keepLines w:val="0"/>
              <w:suppressLineNumbers w:val="0"/>
              <w:spacing w:before="0" w:beforeAutospacing="0" w:after="0" w:afterAutospacing="0" w:line="360" w:lineRule="auto"/>
              <w:ind w:left="0" w:right="0"/>
              <w:rPr>
                <w:rFonts w:hint="default" w:eastAsia="宋体"/>
                <w:color w:val="auto"/>
                <w:lang w:val="en-US" w:eastAsia="zh-CN"/>
              </w:rPr>
            </w:pPr>
            <w:r>
              <w:rPr>
                <w:rFonts w:hint="eastAsia"/>
                <w:color w:val="auto"/>
                <w:lang w:val="en-US" w:eastAsia="zh-CN"/>
              </w:rPr>
              <w:t xml:space="preserve">   </w:t>
            </w:r>
            <w:r>
              <w:rPr>
                <w:rFonts w:hint="eastAsia" w:ascii="Times New Roman" w:hAnsi="Times New Roman"/>
                <w:color w:val="auto"/>
                <w:sz w:val="24"/>
                <w:lang w:val="en-US" w:eastAsia="zh-CN"/>
              </w:rPr>
              <w:t>1#、3#</w:t>
            </w:r>
            <w:r>
              <w:rPr>
                <w:rFonts w:hint="eastAsia" w:ascii="Times New Roman" w:hAnsi="Times New Roman"/>
                <w:color w:val="auto"/>
                <w:sz w:val="24"/>
              </w:rPr>
              <w:t>臭氧产额为</w:t>
            </w:r>
            <w:r>
              <w:rPr>
                <w:rFonts w:hint="default" w:ascii="Times New Roman" w:hAnsi="Times New Roman" w:cs="Times New Roman"/>
                <w:color w:val="auto"/>
                <w:sz w:val="24"/>
                <w:lang w:val="en-US" w:eastAsia="zh-CN"/>
              </w:rPr>
              <w:t>3.74</w:t>
            </w:r>
            <w:r>
              <w:rPr>
                <w:rFonts w:hint="default" w:ascii="Times New Roman" w:hAnsi="Times New Roman"/>
                <w:color w:val="auto"/>
                <w:sz w:val="24"/>
              </w:rPr>
              <w:t>mg/h，</w:t>
            </w:r>
            <w:r>
              <w:rPr>
                <w:rFonts w:hint="eastAsia" w:ascii="Times New Roman" w:hAnsi="Times New Roman"/>
                <w:color w:val="auto"/>
                <w:sz w:val="24"/>
                <w:lang w:eastAsia="zh-CN"/>
              </w:rPr>
              <w:t>室</w:t>
            </w:r>
            <w:r>
              <w:rPr>
                <w:rFonts w:hint="default" w:ascii="Times New Roman" w:hAnsi="Times New Roman"/>
                <w:color w:val="auto"/>
                <w:sz w:val="24"/>
              </w:rPr>
              <w:t>内的臭氧平衡浓度为</w:t>
            </w:r>
            <w:r>
              <w:rPr>
                <w:rFonts w:hint="default" w:ascii="Times New Roman" w:hAnsi="Times New Roman" w:cs="Times New Roman"/>
                <w:bCs/>
                <w:color w:val="auto"/>
                <w:sz w:val="24"/>
                <w:lang w:val="en-US" w:eastAsia="zh-CN"/>
              </w:rPr>
              <w:t>1.39</w:t>
            </w:r>
            <w:r>
              <w:rPr>
                <w:rFonts w:hint="default" w:ascii="Times New Roman" w:hAnsi="Times New Roman" w:cs="Times New Roman"/>
                <w:bCs/>
                <w:color w:val="auto"/>
                <w:sz w:val="24"/>
              </w:rPr>
              <w:t>×10</w:t>
            </w:r>
            <w:r>
              <w:rPr>
                <w:rFonts w:hint="default" w:ascii="Times New Roman" w:hAnsi="Times New Roman" w:cs="Times New Roman"/>
                <w:bCs/>
                <w:color w:val="auto"/>
                <w:sz w:val="24"/>
                <w:vertAlign w:val="superscript"/>
              </w:rPr>
              <w:t>-</w:t>
            </w:r>
            <w:r>
              <w:rPr>
                <w:rFonts w:hint="default" w:ascii="Times New Roman" w:hAnsi="Times New Roman" w:cs="Times New Roman"/>
                <w:bCs/>
                <w:color w:val="auto"/>
                <w:sz w:val="24"/>
                <w:vertAlign w:val="superscript"/>
                <w:lang w:val="en-US" w:eastAsia="zh-CN"/>
              </w:rPr>
              <w:t>3</w:t>
            </w:r>
            <w:r>
              <w:rPr>
                <w:rFonts w:hint="default" w:ascii="Times New Roman" w:hAnsi="Times New Roman"/>
                <w:color w:val="auto"/>
                <w:sz w:val="24"/>
              </w:rPr>
              <w:t>mg/m</w:t>
            </w:r>
            <w:r>
              <w:rPr>
                <w:rFonts w:hint="default" w:ascii="Times New Roman" w:hAnsi="Times New Roman"/>
                <w:color w:val="auto"/>
                <w:sz w:val="24"/>
                <w:vertAlign w:val="superscript"/>
              </w:rPr>
              <w:t>3</w:t>
            </w:r>
            <w:r>
              <w:rPr>
                <w:rFonts w:hint="eastAsia" w:ascii="Times New Roman" w:hAnsi="Times New Roman"/>
                <w:color w:val="auto"/>
                <w:sz w:val="24"/>
                <w:lang w:eastAsia="zh-CN"/>
              </w:rPr>
              <w:t>；</w:t>
            </w:r>
            <w:r>
              <w:rPr>
                <w:rFonts w:hint="eastAsia" w:ascii="Times New Roman" w:hAnsi="Times New Roman"/>
                <w:color w:val="auto"/>
                <w:sz w:val="24"/>
                <w:lang w:val="en-US" w:eastAsia="zh-CN"/>
              </w:rPr>
              <w:t>2#</w:t>
            </w:r>
            <w:r>
              <w:rPr>
                <w:rFonts w:hint="eastAsia" w:ascii="Times New Roman" w:hAnsi="Times New Roman"/>
                <w:color w:val="auto"/>
                <w:sz w:val="24"/>
              </w:rPr>
              <w:t>臭氧产额为</w:t>
            </w:r>
            <w:r>
              <w:rPr>
                <w:rFonts w:hint="default" w:ascii="Times New Roman" w:hAnsi="Times New Roman" w:cs="Times New Roman"/>
                <w:color w:val="auto"/>
                <w:sz w:val="24"/>
                <w:szCs w:val="24"/>
                <w:highlight w:val="none"/>
                <w:lang w:val="en-US" w:eastAsia="zh-CN"/>
              </w:rPr>
              <w:t>14.97</w:t>
            </w:r>
            <w:r>
              <w:rPr>
                <w:rFonts w:hint="default" w:ascii="Times New Roman" w:hAnsi="Times New Roman"/>
                <w:color w:val="auto"/>
                <w:sz w:val="24"/>
              </w:rPr>
              <w:t>mg/h，</w:t>
            </w:r>
            <w:r>
              <w:rPr>
                <w:rFonts w:hint="eastAsia" w:ascii="Times New Roman" w:hAnsi="Times New Roman"/>
                <w:color w:val="auto"/>
                <w:sz w:val="24"/>
                <w:lang w:eastAsia="zh-CN"/>
              </w:rPr>
              <w:t>室</w:t>
            </w:r>
            <w:r>
              <w:rPr>
                <w:rFonts w:hint="default" w:ascii="Times New Roman" w:hAnsi="Times New Roman"/>
                <w:color w:val="auto"/>
                <w:sz w:val="24"/>
              </w:rPr>
              <w:t>内的臭氧平衡浓度为</w:t>
            </w:r>
            <w:r>
              <w:rPr>
                <w:rFonts w:hint="default" w:ascii="Times New Roman" w:hAnsi="Times New Roman"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vertAlign w:val="superscript"/>
                <w:lang w:val="en-US" w:eastAsia="zh-CN"/>
              </w:rPr>
              <w:t>-2</w:t>
            </w:r>
            <w:r>
              <w:rPr>
                <w:rFonts w:hint="default" w:ascii="Times New Roman" w:hAnsi="Times New Roman"/>
                <w:color w:val="auto"/>
                <w:sz w:val="24"/>
              </w:rPr>
              <w:t>mg/m</w:t>
            </w:r>
            <w:r>
              <w:rPr>
                <w:rFonts w:hint="default" w:ascii="Times New Roman" w:hAnsi="Times New Roman"/>
                <w:color w:val="auto"/>
                <w:sz w:val="24"/>
                <w:vertAlign w:val="superscript"/>
              </w:rPr>
              <w:t>3</w:t>
            </w:r>
            <w:r>
              <w:rPr>
                <w:rFonts w:hint="eastAsia" w:ascii="Times New Roman" w:hAnsi="Times New Roman"/>
                <w:color w:val="auto"/>
                <w:sz w:val="24"/>
                <w:vertAlign w:val="baseline"/>
                <w:lang w:eastAsia="zh-CN"/>
              </w:rPr>
              <w:t>，</w:t>
            </w:r>
            <w:r>
              <w:rPr>
                <w:rFonts w:hint="eastAsia" w:ascii="Times New Roman" w:hAnsi="Times New Roman"/>
                <w:color w:val="auto"/>
                <w:sz w:val="24"/>
                <w:vertAlign w:val="baseline"/>
                <w:lang w:val="en-US" w:eastAsia="zh-CN"/>
              </w:rPr>
              <w:t>均</w:t>
            </w:r>
            <w:r>
              <w:rPr>
                <w:rFonts w:hint="eastAsia" w:ascii="Times New Roman" w:hAnsi="Times New Roman" w:cs="Times New Roman"/>
                <w:color w:val="auto"/>
                <w:sz w:val="24"/>
                <w:lang w:val="en-US" w:eastAsia="zh-CN"/>
              </w:rPr>
              <w:t>满足</w:t>
            </w:r>
            <w:r>
              <w:rPr>
                <w:rFonts w:hint="eastAsia" w:ascii="Times New Roman" w:hAnsi="Times New Roman" w:cs="Times New Roman"/>
                <w:color w:val="auto"/>
                <w:sz w:val="24"/>
                <w:lang w:eastAsia="zh-CN"/>
              </w:rPr>
              <w:t>《工作场所有害因素职业接触限值 第1部分：化学有害因素》（GBZ2.1-2019）、</w:t>
            </w:r>
            <w:r>
              <w:rPr>
                <w:rFonts w:hint="default" w:ascii="Times New Roman" w:hAnsi="Times New Roman" w:cs="Times New Roman"/>
                <w:color w:val="auto"/>
                <w:sz w:val="24"/>
              </w:rPr>
              <w:t>《环境空气质量标准》（GB3095-2012</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标准</w:t>
            </w:r>
            <w:r>
              <w:rPr>
                <w:rFonts w:hint="default" w:ascii="Times New Roman" w:hAnsi="Times New Roman" w:cs="Times New Roman"/>
                <w:color w:val="auto"/>
                <w:sz w:val="24"/>
              </w:rPr>
              <w:t>要求</w:t>
            </w:r>
            <w:r>
              <w:rPr>
                <w:rFonts w:hint="default" w:ascii="Times New Roman" w:hAnsi="Times New Roman"/>
                <w:color w:val="auto"/>
                <w:sz w:val="24"/>
              </w:rPr>
              <w:t>。</w:t>
            </w:r>
          </w:p>
          <w:p>
            <w:pPr>
              <w:keepNext w:val="0"/>
              <w:keepLines w:val="0"/>
              <w:suppressLineNumbers w:val="0"/>
              <w:spacing w:before="0" w:beforeAutospacing="0" w:after="0" w:afterAutospacing="0" w:line="360" w:lineRule="auto"/>
              <w:ind w:left="0" w:right="0"/>
              <w:rPr>
                <w:rFonts w:hint="default" w:ascii="Times New Roman" w:hAnsi="Times New Roman"/>
                <w:color w:val="auto"/>
                <w:sz w:val="24"/>
              </w:rPr>
            </w:pPr>
            <w:r>
              <w:rPr>
                <w:rFonts w:hint="eastAsia" w:ascii="Times New Roman" w:hAnsi="Times New Roman" w:eastAsia="黑体"/>
                <w:color w:val="auto"/>
                <w:sz w:val="24"/>
                <w:lang w:eastAsia="zh-CN"/>
              </w:rPr>
              <w:t>（</w:t>
            </w:r>
            <w:r>
              <w:rPr>
                <w:rFonts w:hint="eastAsia" w:ascii="Times New Roman" w:hAnsi="Times New Roman" w:eastAsia="黑体"/>
                <w:color w:val="auto"/>
                <w:sz w:val="24"/>
                <w:lang w:val="en-US" w:eastAsia="zh-CN"/>
              </w:rPr>
              <w:t>2</w:t>
            </w:r>
            <w:r>
              <w:rPr>
                <w:rFonts w:hint="eastAsia" w:ascii="Times New Roman" w:hAnsi="Times New Roman" w:eastAsia="黑体"/>
                <w:color w:val="auto"/>
                <w:sz w:val="24"/>
                <w:lang w:eastAsia="zh-CN"/>
              </w:rPr>
              <w:t>）</w:t>
            </w:r>
            <w:r>
              <w:rPr>
                <w:rFonts w:hint="eastAsia" w:ascii="Times New Roman" w:hAnsi="Times New Roman" w:eastAsia="黑体"/>
                <w:color w:val="auto"/>
                <w:sz w:val="24"/>
              </w:rPr>
              <w:t>后装机</w:t>
            </w:r>
            <w:r>
              <w:rPr>
                <w:rFonts w:hint="default" w:ascii="Times New Roman" w:hAnsi="Times New Roman" w:eastAsia="黑体"/>
                <w:color w:val="auto"/>
                <w:sz w:val="24"/>
              </w:rPr>
              <w:t>环境影响分析</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b w:val="0"/>
                <w:bCs w:val="0"/>
                <w:color w:val="auto"/>
                <w:sz w:val="24"/>
              </w:rPr>
            </w:pPr>
            <w:r>
              <w:rPr>
                <w:rFonts w:hint="default" w:ascii="Times New Roman" w:hAnsi="Times New Roman"/>
                <w:color w:val="auto"/>
                <w:sz w:val="24"/>
              </w:rPr>
              <w:t>后装机</w:t>
            </w:r>
            <w:r>
              <w:rPr>
                <w:rFonts w:hint="eastAsia" w:ascii="Times New Roman" w:hAnsi="Times New Roman"/>
                <w:color w:val="auto"/>
                <w:sz w:val="24"/>
                <w:lang w:val="en-US" w:eastAsia="zh-CN"/>
              </w:rPr>
              <w:t>工作</w:t>
            </w:r>
            <w:r>
              <w:rPr>
                <w:rFonts w:hint="default" w:ascii="Times New Roman" w:hAnsi="Times New Roman"/>
                <w:color w:val="auto"/>
                <w:sz w:val="24"/>
              </w:rPr>
              <w:t>职业人员最大年剂量为</w:t>
            </w:r>
            <w:r>
              <w:rPr>
                <w:rFonts w:hint="eastAsia" w:ascii="Times New Roman" w:hAnsi="Times New Roman" w:cs="Times New Roman"/>
                <w:b w:val="0"/>
                <w:bCs w:val="0"/>
                <w:color w:val="auto"/>
                <w:sz w:val="24"/>
                <w:szCs w:val="24"/>
                <w:highlight w:val="none"/>
                <w:vertAlign w:val="baseline"/>
                <w:lang w:val="en-US" w:eastAsia="zh-CN"/>
              </w:rPr>
              <w:t>2.33</w:t>
            </w:r>
            <w:r>
              <w:rPr>
                <w:rFonts w:hint="default" w:ascii="Times New Roman" w:hAnsi="Times New Roman" w:eastAsia="宋体" w:cs="Times New Roman"/>
                <w:color w:val="auto"/>
                <w:kern w:val="2"/>
                <w:sz w:val="24"/>
                <w:szCs w:val="24"/>
              </w:rPr>
              <w:t>×10</w:t>
            </w:r>
            <w:r>
              <w:rPr>
                <w:rFonts w:hint="default" w:ascii="Times New Roman" w:hAnsi="Times New Roman" w:eastAsia="宋体" w:cs="Times New Roman"/>
                <w:color w:val="auto"/>
                <w:kern w:val="2"/>
                <w:sz w:val="24"/>
                <w:szCs w:val="24"/>
                <w:vertAlign w:val="superscript"/>
                <w:lang w:val="en-US" w:eastAsia="zh-CN"/>
              </w:rPr>
              <w:t>-</w:t>
            </w:r>
            <w:r>
              <w:rPr>
                <w:rFonts w:hint="eastAsia" w:ascii="Times New Roman" w:hAnsi="Times New Roman" w:cs="Times New Roman"/>
                <w:color w:val="auto"/>
                <w:kern w:val="2"/>
                <w:sz w:val="24"/>
                <w:szCs w:val="24"/>
                <w:vertAlign w:val="superscript"/>
                <w:lang w:val="en-US" w:eastAsia="zh-CN"/>
              </w:rPr>
              <w:t>2</w:t>
            </w:r>
            <w:r>
              <w:rPr>
                <w:rFonts w:hint="default" w:ascii="Times New Roman" w:hAnsi="Times New Roman"/>
                <w:color w:val="auto"/>
                <w:sz w:val="24"/>
                <w:highlight w:val="none"/>
              </w:rPr>
              <w:t>mSv</w:t>
            </w:r>
            <w:r>
              <w:rPr>
                <w:rFonts w:hint="default" w:ascii="Times New Roman" w:hAnsi="Times New Roman"/>
                <w:color w:val="auto"/>
                <w:sz w:val="24"/>
              </w:rPr>
              <w:t>，公众最大年剂量为</w:t>
            </w:r>
            <w:r>
              <w:rPr>
                <w:rFonts w:hint="eastAsia" w:ascii="Times New Roman" w:hAnsi="Times New Roman" w:cs="Times New Roman"/>
                <w:color w:val="auto"/>
                <w:kern w:val="2"/>
                <w:sz w:val="24"/>
                <w:szCs w:val="24"/>
                <w:vertAlign w:val="baseline"/>
                <w:lang w:val="en-US" w:eastAsia="zh-CN"/>
              </w:rPr>
              <w:t>7.03</w:t>
            </w:r>
            <w:r>
              <w:rPr>
                <w:rFonts w:hint="default" w:ascii="Times New Roman" w:hAnsi="Times New Roman" w:eastAsia="宋体" w:cs="Times New Roman"/>
                <w:color w:val="auto"/>
                <w:kern w:val="2"/>
                <w:sz w:val="24"/>
                <w:szCs w:val="24"/>
              </w:rPr>
              <w:t>×10</w:t>
            </w:r>
            <w:r>
              <w:rPr>
                <w:rFonts w:hint="default" w:ascii="Times New Roman" w:hAnsi="Times New Roman" w:eastAsia="宋体" w:cs="Times New Roman"/>
                <w:color w:val="auto"/>
                <w:kern w:val="2"/>
                <w:sz w:val="24"/>
                <w:szCs w:val="24"/>
                <w:vertAlign w:val="superscript"/>
                <w:lang w:val="en-US" w:eastAsia="zh-CN"/>
              </w:rPr>
              <w:t>-</w:t>
            </w:r>
            <w:r>
              <w:rPr>
                <w:rFonts w:hint="eastAsia" w:ascii="Times New Roman" w:hAnsi="Times New Roman" w:cs="Times New Roman"/>
                <w:color w:val="auto"/>
                <w:kern w:val="2"/>
                <w:sz w:val="24"/>
                <w:szCs w:val="24"/>
                <w:vertAlign w:val="superscript"/>
                <w:lang w:val="en-US" w:eastAsia="zh-CN"/>
              </w:rPr>
              <w:t>3</w:t>
            </w:r>
            <w:r>
              <w:rPr>
                <w:rFonts w:hint="default" w:ascii="Times New Roman" w:hAnsi="Times New Roman"/>
                <w:color w:val="auto"/>
                <w:sz w:val="24"/>
              </w:rPr>
              <w:t>mSv，分别低于5.0mSv和0.1mSv的剂量约束值。</w:t>
            </w:r>
            <w:r>
              <w:rPr>
                <w:rFonts w:hint="eastAsia" w:ascii="Times New Roman" w:hAnsi="Times New Roman"/>
                <w:b w:val="0"/>
                <w:bCs w:val="0"/>
                <w:color w:val="auto"/>
                <w:sz w:val="24"/>
                <w:lang w:val="en-US" w:eastAsia="zh-CN"/>
              </w:rPr>
              <w:t>后装治疗室</w:t>
            </w:r>
            <w:r>
              <w:rPr>
                <w:rFonts w:hint="default" w:ascii="Times New Roman" w:hAnsi="Times New Roman"/>
                <w:b w:val="0"/>
                <w:bCs w:val="0"/>
                <w:color w:val="auto"/>
                <w:sz w:val="24"/>
              </w:rPr>
              <w:t>墙体厚度、</w:t>
            </w:r>
            <w:r>
              <w:rPr>
                <w:rFonts w:hint="eastAsia" w:ascii="Times New Roman" w:hAnsi="Times New Roman"/>
                <w:b w:val="0"/>
                <w:bCs w:val="0"/>
                <w:color w:val="auto"/>
                <w:sz w:val="24"/>
                <w:lang w:eastAsia="zh-CN"/>
              </w:rPr>
              <w:t>迷路</w:t>
            </w:r>
            <w:r>
              <w:rPr>
                <w:rFonts w:hint="default" w:ascii="Times New Roman" w:hAnsi="Times New Roman"/>
                <w:b w:val="0"/>
                <w:bCs w:val="0"/>
                <w:color w:val="auto"/>
                <w:sz w:val="24"/>
              </w:rPr>
              <w:t>厚度、顶部厚度和防护门厚度均满足要求。</w:t>
            </w:r>
          </w:p>
          <w:p>
            <w:pPr>
              <w:pStyle w:val="2"/>
              <w:keepNext w:val="0"/>
              <w:keepLines w:val="0"/>
              <w:suppressLineNumbers w:val="0"/>
              <w:spacing w:before="0" w:beforeAutospacing="0" w:after="0" w:afterAutospacing="0" w:line="360" w:lineRule="auto"/>
              <w:ind w:left="0" w:right="0" w:firstLine="480" w:firstLineChars="200"/>
              <w:rPr>
                <w:rFonts w:hint="default"/>
                <w:color w:val="auto"/>
                <w:kern w:val="2"/>
              </w:rPr>
            </w:pPr>
            <w:r>
              <w:rPr>
                <w:rFonts w:hint="default" w:ascii="Times New Roman" w:hAnsi="Times New Roman" w:cs="Times New Roman"/>
                <w:color w:val="auto"/>
                <w:kern w:val="2"/>
                <w:sz w:val="24"/>
              </w:rPr>
              <w:t>本项目</w:t>
            </w:r>
            <w:r>
              <w:rPr>
                <w:rFonts w:hint="eastAsia" w:ascii="Times New Roman" w:hAnsi="Times New Roman"/>
                <w:color w:val="auto"/>
                <w:kern w:val="2"/>
                <w:sz w:val="24"/>
                <w:lang w:eastAsia="zh-CN"/>
              </w:rPr>
              <w:t>后装治疗室</w:t>
            </w:r>
            <w:r>
              <w:rPr>
                <w:rFonts w:hint="eastAsia" w:ascii="Times New Roman" w:hAnsi="Times New Roman"/>
                <w:color w:val="auto"/>
                <w:kern w:val="2"/>
                <w:sz w:val="24"/>
                <w:lang w:val="en-US" w:eastAsia="zh-CN"/>
              </w:rPr>
              <w:t>的</w:t>
            </w:r>
            <w:r>
              <w:rPr>
                <w:rFonts w:hint="default" w:ascii="Times New Roman" w:hAnsi="Times New Roman"/>
                <w:color w:val="auto"/>
                <w:kern w:val="2"/>
                <w:sz w:val="24"/>
              </w:rPr>
              <w:t>臭氧产</w:t>
            </w:r>
            <w:r>
              <w:rPr>
                <w:rFonts w:hint="eastAsia" w:ascii="Times New Roman" w:hAnsi="Times New Roman"/>
                <w:color w:val="auto"/>
                <w:kern w:val="2"/>
                <w:sz w:val="24"/>
              </w:rPr>
              <w:t>额</w:t>
            </w:r>
            <w:r>
              <w:rPr>
                <w:rFonts w:hint="default" w:ascii="Times New Roman" w:hAnsi="Times New Roman"/>
                <w:color w:val="auto"/>
                <w:kern w:val="2"/>
                <w:sz w:val="24"/>
              </w:rPr>
              <w:t>为</w:t>
            </w:r>
            <w:r>
              <w:rPr>
                <w:rFonts w:hint="eastAsia" w:ascii="Times New Roman" w:hAnsi="Times New Roman" w:cs="Times New Roman"/>
                <w:color w:val="auto"/>
                <w:kern w:val="2"/>
                <w:sz w:val="24"/>
                <w:szCs w:val="24"/>
                <w:lang w:val="en-US" w:eastAsia="zh-CN"/>
              </w:rPr>
              <w:t>1.05</w:t>
            </w:r>
            <w:r>
              <w:rPr>
                <w:rFonts w:hint="default" w:ascii="Times New Roman" w:hAnsi="Times New Roman" w:cs="Times New Roman"/>
                <w:color w:val="auto"/>
                <w:kern w:val="2"/>
                <w:sz w:val="24"/>
              </w:rPr>
              <w:t>×10</w:t>
            </w:r>
            <w:r>
              <w:rPr>
                <w:rFonts w:hint="default" w:ascii="Times New Roman" w:hAnsi="Times New Roman" w:cs="Times New Roman"/>
                <w:color w:val="auto"/>
                <w:kern w:val="2"/>
                <w:sz w:val="24"/>
                <w:vertAlign w:val="superscript"/>
              </w:rPr>
              <w:t>-</w:t>
            </w:r>
            <w:r>
              <w:rPr>
                <w:rFonts w:hint="eastAsia" w:ascii="Times New Roman" w:hAnsi="Times New Roman" w:cs="Times New Roman"/>
                <w:color w:val="auto"/>
                <w:kern w:val="2"/>
                <w:sz w:val="24"/>
                <w:vertAlign w:val="superscript"/>
                <w:lang w:val="en-US" w:eastAsia="zh-CN"/>
              </w:rPr>
              <w:t>2</w:t>
            </w:r>
            <w:r>
              <w:rPr>
                <w:rFonts w:hint="default" w:ascii="Times New Roman" w:hAnsi="Times New Roman" w:cs="Times New Roman"/>
                <w:color w:val="auto"/>
                <w:kern w:val="2"/>
                <w:sz w:val="24"/>
              </w:rPr>
              <w:t>mg/h</w:t>
            </w:r>
            <w:r>
              <w:rPr>
                <w:rFonts w:hint="default" w:ascii="Times New Roman" w:hAnsi="Times New Roman"/>
                <w:color w:val="auto"/>
                <w:kern w:val="2"/>
                <w:sz w:val="24"/>
              </w:rPr>
              <w:t>，</w:t>
            </w:r>
            <w:r>
              <w:rPr>
                <w:rFonts w:hint="eastAsia" w:ascii="Times New Roman" w:hAnsi="Times New Roman"/>
                <w:color w:val="auto"/>
                <w:kern w:val="2"/>
                <w:sz w:val="24"/>
                <w:lang w:eastAsia="zh-CN"/>
              </w:rPr>
              <w:t>后装治疗室</w:t>
            </w:r>
            <w:r>
              <w:rPr>
                <w:rFonts w:hint="eastAsia" w:ascii="Times New Roman" w:hAnsi="Times New Roman"/>
                <w:color w:val="auto"/>
                <w:kern w:val="2"/>
                <w:sz w:val="24"/>
                <w:lang w:val="en-US" w:eastAsia="zh-CN"/>
              </w:rPr>
              <w:t>内</w:t>
            </w:r>
            <w:r>
              <w:rPr>
                <w:rFonts w:hint="default" w:ascii="Times New Roman" w:hAnsi="Times New Roman"/>
                <w:color w:val="auto"/>
                <w:kern w:val="2"/>
                <w:sz w:val="24"/>
              </w:rPr>
              <w:t>臭氧</w:t>
            </w:r>
            <w:r>
              <w:rPr>
                <w:rFonts w:hint="eastAsia" w:ascii="Times New Roman" w:hAnsi="Times New Roman"/>
                <w:color w:val="auto"/>
                <w:kern w:val="2"/>
                <w:sz w:val="24"/>
                <w:lang w:val="en-US" w:eastAsia="zh-CN"/>
              </w:rPr>
              <w:t>平衡</w:t>
            </w:r>
            <w:r>
              <w:rPr>
                <w:rFonts w:hint="default" w:ascii="Times New Roman" w:hAnsi="Times New Roman"/>
                <w:color w:val="auto"/>
                <w:kern w:val="2"/>
                <w:sz w:val="24"/>
              </w:rPr>
              <w:t>浓度为</w:t>
            </w:r>
            <w:r>
              <w:rPr>
                <w:rFonts w:hint="eastAsia" w:ascii="Times New Roman" w:hAnsi="Times New Roman" w:cs="Times New Roman"/>
                <w:color w:val="auto"/>
                <w:kern w:val="2"/>
                <w:sz w:val="24"/>
                <w:lang w:val="en-US" w:eastAsia="zh-CN"/>
              </w:rPr>
              <w:t>9.65</w:t>
            </w:r>
            <w:r>
              <w:rPr>
                <w:rFonts w:hint="default" w:ascii="Times New Roman" w:hAnsi="Times New Roman" w:cs="Times New Roman"/>
                <w:color w:val="auto"/>
                <w:kern w:val="2"/>
                <w:sz w:val="24"/>
              </w:rPr>
              <w:t>×10</w:t>
            </w:r>
            <w:r>
              <w:rPr>
                <w:rFonts w:hint="default" w:ascii="Times New Roman" w:hAnsi="Times New Roman" w:cs="Times New Roman"/>
                <w:color w:val="auto"/>
                <w:kern w:val="2"/>
                <w:sz w:val="24"/>
                <w:vertAlign w:val="superscript"/>
              </w:rPr>
              <w:t>-</w:t>
            </w:r>
            <w:r>
              <w:rPr>
                <w:rFonts w:hint="eastAsia" w:ascii="Times New Roman" w:hAnsi="Times New Roman" w:cs="Times New Roman"/>
                <w:color w:val="auto"/>
                <w:kern w:val="2"/>
                <w:sz w:val="24"/>
                <w:vertAlign w:val="superscript"/>
                <w:lang w:val="en-US" w:eastAsia="zh-CN"/>
              </w:rPr>
              <w:t>6</w:t>
            </w:r>
            <w:r>
              <w:rPr>
                <w:rFonts w:hint="default" w:ascii="Times New Roman" w:hAnsi="Times New Roman"/>
                <w:color w:val="auto"/>
                <w:kern w:val="2"/>
                <w:sz w:val="24"/>
              </w:rPr>
              <w:t xml:space="preserve"> mg/m</w:t>
            </w:r>
            <w:r>
              <w:rPr>
                <w:rFonts w:hint="default" w:ascii="Times New Roman" w:hAnsi="Times New Roman"/>
                <w:color w:val="auto"/>
                <w:kern w:val="2"/>
                <w:sz w:val="24"/>
                <w:vertAlign w:val="superscript"/>
              </w:rPr>
              <w:t>3</w:t>
            </w:r>
            <w:r>
              <w:rPr>
                <w:rFonts w:hint="eastAsia" w:ascii="Times New Roman" w:hAnsi="Times New Roman" w:cs="Times New Roman"/>
                <w:color w:val="auto"/>
                <w:kern w:val="2"/>
                <w:sz w:val="24"/>
                <w:lang w:eastAsia="zh-CN"/>
              </w:rPr>
              <w:t>，</w:t>
            </w:r>
            <w:r>
              <w:rPr>
                <w:rFonts w:hint="eastAsia" w:ascii="Times New Roman" w:hAnsi="Times New Roman" w:cs="Times New Roman"/>
                <w:color w:val="auto"/>
                <w:kern w:val="2"/>
                <w:sz w:val="24"/>
                <w:lang w:val="en-US" w:eastAsia="zh-CN"/>
              </w:rPr>
              <w:t>满足</w:t>
            </w:r>
            <w:r>
              <w:rPr>
                <w:rFonts w:hint="eastAsia" w:ascii="Times New Roman" w:hAnsi="Times New Roman" w:cs="Times New Roman"/>
                <w:color w:val="auto"/>
                <w:sz w:val="24"/>
                <w:lang w:eastAsia="zh-CN"/>
              </w:rPr>
              <w:t>《工作场所有害因素职业接触限值 第1部分：化学有害因素》（GBZ2.1-2019）、</w:t>
            </w:r>
            <w:r>
              <w:rPr>
                <w:rFonts w:hint="default" w:ascii="Times New Roman" w:hAnsi="Times New Roman" w:cs="Times New Roman"/>
                <w:color w:val="auto"/>
                <w:sz w:val="24"/>
              </w:rPr>
              <w:t>《环境空气质量标准》（GB3095-2012</w:t>
            </w:r>
            <w:r>
              <w:rPr>
                <w:rFonts w:hint="eastAsia" w:ascii="Times New Roman" w:hAnsi="Times New Roman" w:cs="Times New Roman"/>
                <w:color w:val="auto"/>
                <w:sz w:val="24"/>
                <w:lang w:eastAsia="zh-CN"/>
              </w:rPr>
              <w:t>）</w:t>
            </w:r>
            <w:r>
              <w:rPr>
                <w:rFonts w:hint="eastAsia" w:ascii="Times New Roman" w:hAnsi="Times New Roman" w:cs="Times New Roman"/>
                <w:color w:val="auto"/>
                <w:kern w:val="2"/>
                <w:sz w:val="24"/>
                <w:lang w:val="en-US" w:eastAsia="zh-CN"/>
              </w:rPr>
              <w:t>标准</w:t>
            </w:r>
            <w:r>
              <w:rPr>
                <w:rFonts w:hint="default" w:ascii="Times New Roman" w:hAnsi="Times New Roman" w:cs="Times New Roman"/>
                <w:color w:val="auto"/>
                <w:kern w:val="2"/>
                <w:sz w:val="24"/>
              </w:rPr>
              <w:t>要求。</w:t>
            </w:r>
          </w:p>
          <w:p>
            <w:pPr>
              <w:keepNext w:val="0"/>
              <w:keepLines w:val="0"/>
              <w:suppressLineNumbers w:val="0"/>
              <w:spacing w:before="0" w:beforeAutospacing="0" w:after="0" w:afterAutospacing="0" w:line="360" w:lineRule="auto"/>
              <w:ind w:left="0" w:right="0" w:firstLine="480" w:firstLineChars="200"/>
              <w:rPr>
                <w:rFonts w:hint="default"/>
                <w:color w:val="auto"/>
              </w:rPr>
            </w:pPr>
            <w:r>
              <w:rPr>
                <w:rFonts w:hint="default" w:ascii="Times New Roman" w:hAnsi="Times New Roman"/>
                <w:color w:val="auto"/>
                <w:sz w:val="24"/>
                <w:vertAlign w:val="superscript"/>
              </w:rPr>
              <w:t>192</w:t>
            </w:r>
            <w:r>
              <w:rPr>
                <w:rFonts w:hint="default" w:ascii="Times New Roman" w:hAnsi="Times New Roman"/>
                <w:color w:val="auto"/>
                <w:sz w:val="24"/>
              </w:rPr>
              <w:t>Ir放射源使用一定时间后，其活度不能满足放射治疗需要时，退役源应及时交由生产厂家回收处理，不得储存。</w:t>
            </w:r>
          </w:p>
          <w:p>
            <w:pPr>
              <w:keepNext w:val="0"/>
              <w:keepLines w:val="0"/>
              <w:suppressLineNumbers w:val="0"/>
              <w:spacing w:before="0" w:beforeAutospacing="0" w:after="0" w:afterAutospacing="0" w:line="360" w:lineRule="auto"/>
              <w:ind w:left="0" w:right="0"/>
              <w:rPr>
                <w:rFonts w:hint="default" w:ascii="Times New Roman" w:hAnsi="Times New Roman" w:eastAsia="黑体"/>
                <w:color w:val="auto"/>
                <w:sz w:val="24"/>
              </w:rPr>
            </w:pPr>
            <w:r>
              <w:rPr>
                <w:rFonts w:hint="eastAsia" w:ascii="Times New Roman" w:hAnsi="Times New Roman" w:eastAsia="黑体"/>
                <w:color w:val="auto"/>
                <w:sz w:val="24"/>
                <w:lang w:val="en-US" w:eastAsia="zh-CN"/>
              </w:rPr>
              <w:t>（3）</w:t>
            </w:r>
            <w:r>
              <w:rPr>
                <w:rFonts w:hint="default" w:ascii="Times New Roman" w:hAnsi="Times New Roman" w:eastAsia="黑体"/>
                <w:color w:val="auto"/>
                <w:sz w:val="24"/>
              </w:rPr>
              <w:t>保护目标</w:t>
            </w:r>
            <w:r>
              <w:rPr>
                <w:rFonts w:hint="eastAsia" w:ascii="Times New Roman" w:hAnsi="Times New Roman" w:eastAsia="黑体"/>
                <w:color w:val="auto"/>
                <w:sz w:val="24"/>
                <w:lang w:val="en-US" w:eastAsia="zh-CN"/>
              </w:rPr>
              <w:t>辐射</w:t>
            </w:r>
            <w:r>
              <w:rPr>
                <w:rFonts w:hint="default" w:ascii="Times New Roman" w:hAnsi="Times New Roman" w:eastAsia="黑体"/>
                <w:color w:val="auto"/>
                <w:sz w:val="24"/>
              </w:rPr>
              <w:t>影响分析</w:t>
            </w:r>
          </w:p>
          <w:p>
            <w:pPr>
              <w:keepNext w:val="0"/>
              <w:keepLines w:val="0"/>
              <w:suppressLineNumbers w:val="0"/>
              <w:spacing w:before="0" w:beforeAutospacing="0" w:after="0" w:afterAutospacing="0" w:line="360" w:lineRule="auto"/>
              <w:ind w:left="0" w:right="0" w:firstLine="480" w:firstLineChars="200"/>
              <w:jc w:val="both"/>
              <w:rPr>
                <w:rFonts w:hint="default"/>
                <w:color w:val="auto"/>
              </w:rPr>
            </w:pPr>
            <w:r>
              <w:rPr>
                <w:rFonts w:hint="eastAsia" w:ascii="Times New Roman" w:hAnsi="Times New Roman"/>
                <w:color w:val="auto"/>
                <w:sz w:val="24"/>
              </w:rPr>
              <w:t>由于医院放疗</w:t>
            </w:r>
            <w:r>
              <w:rPr>
                <w:rFonts w:hint="eastAsia" w:ascii="Times New Roman" w:hAnsi="Times New Roman"/>
                <w:color w:val="auto"/>
                <w:sz w:val="24"/>
                <w:lang w:val="en-US" w:eastAsia="zh-CN"/>
              </w:rPr>
              <w:t>中心辐射场所</w:t>
            </w:r>
            <w:r>
              <w:rPr>
                <w:rFonts w:hint="eastAsia" w:ascii="Times New Roman" w:hAnsi="Times New Roman"/>
                <w:color w:val="auto"/>
                <w:sz w:val="24"/>
              </w:rPr>
              <w:t>布置相对集中，放疗</w:t>
            </w:r>
            <w:r>
              <w:rPr>
                <w:rFonts w:hint="eastAsia" w:ascii="Times New Roman" w:hAnsi="Times New Roman"/>
                <w:color w:val="auto"/>
                <w:sz w:val="24"/>
                <w:lang w:val="en-US" w:eastAsia="zh-CN"/>
              </w:rPr>
              <w:t>中心</w:t>
            </w:r>
            <w:r>
              <w:rPr>
                <w:rFonts w:hint="eastAsia" w:ascii="Times New Roman" w:hAnsi="Times New Roman"/>
                <w:color w:val="auto"/>
                <w:sz w:val="24"/>
              </w:rPr>
              <w:t>操作人员和公众同时受</w:t>
            </w:r>
            <w:r>
              <w:rPr>
                <w:rFonts w:hint="eastAsia" w:ascii="Times New Roman" w:hAnsi="Times New Roman"/>
                <w:color w:val="auto"/>
                <w:sz w:val="24"/>
                <w:lang w:val="en-US" w:eastAsia="zh-CN"/>
              </w:rPr>
              <w:t>2台</w:t>
            </w:r>
            <w:r>
              <w:rPr>
                <w:rFonts w:hint="eastAsia" w:ascii="Times New Roman" w:hAnsi="Times New Roman"/>
                <w:color w:val="auto"/>
                <w:sz w:val="24"/>
              </w:rPr>
              <w:t>10MV直线加速器</w:t>
            </w:r>
            <w:r>
              <w:rPr>
                <w:rFonts w:hint="eastAsia" w:ascii="Times New Roman" w:hAnsi="Times New Roman"/>
                <w:color w:val="auto"/>
                <w:sz w:val="24"/>
                <w:lang w:eastAsia="zh-CN"/>
              </w:rPr>
              <w:t>、</w:t>
            </w:r>
            <w:r>
              <w:rPr>
                <w:rFonts w:hint="eastAsia" w:ascii="Times New Roman" w:hAnsi="Times New Roman"/>
                <w:color w:val="auto"/>
                <w:sz w:val="24"/>
                <w:lang w:val="en-US" w:eastAsia="zh-CN"/>
              </w:rPr>
              <w:t>1台</w:t>
            </w:r>
            <w:r>
              <w:rPr>
                <w:rFonts w:hint="eastAsia" w:ascii="Times New Roman" w:hAnsi="Times New Roman"/>
                <w:color w:val="auto"/>
                <w:sz w:val="24"/>
              </w:rPr>
              <w:t>1</w:t>
            </w:r>
            <w:r>
              <w:rPr>
                <w:rFonts w:hint="eastAsia" w:ascii="Times New Roman" w:hAnsi="Times New Roman"/>
                <w:color w:val="auto"/>
                <w:sz w:val="24"/>
                <w:lang w:val="en-US" w:eastAsia="zh-CN"/>
              </w:rPr>
              <w:t>5</w:t>
            </w:r>
            <w:r>
              <w:rPr>
                <w:rFonts w:hint="eastAsia" w:ascii="Times New Roman" w:hAnsi="Times New Roman"/>
                <w:color w:val="auto"/>
                <w:sz w:val="24"/>
              </w:rPr>
              <w:t>MV直线加速器和后装机的影响。</w:t>
            </w:r>
            <w:r>
              <w:rPr>
                <w:rFonts w:hint="eastAsia" w:ascii="Times New Roman" w:hAnsi="Times New Roman"/>
                <w:color w:val="auto"/>
                <w:sz w:val="24"/>
                <w:lang w:val="en-US" w:eastAsia="zh-CN"/>
              </w:rPr>
              <w:t>经叠加后，本项目</w:t>
            </w:r>
            <w:r>
              <w:rPr>
                <w:rFonts w:hint="default" w:ascii="Times New Roman" w:hAnsi="Times New Roman"/>
                <w:color w:val="auto"/>
                <w:sz w:val="24"/>
              </w:rPr>
              <w:t>职业人员的所受最大剂</w:t>
            </w:r>
            <w:r>
              <w:rPr>
                <w:rFonts w:hint="default" w:ascii="Times New Roman" w:hAnsi="Times New Roman"/>
                <w:color w:val="auto"/>
                <w:sz w:val="24"/>
                <w:highlight w:val="none"/>
              </w:rPr>
              <w:t>量为</w:t>
            </w:r>
            <w:r>
              <w:rPr>
                <w:rFonts w:hint="eastAsia" w:ascii="Times New Roman" w:hAnsi="Times New Roman" w:cs="Times New Roman"/>
                <w:bCs/>
                <w:color w:val="auto"/>
                <w:sz w:val="24"/>
                <w:szCs w:val="24"/>
                <w:highlight w:val="none"/>
                <w:lang w:val="en-US" w:eastAsia="zh-CN"/>
              </w:rPr>
              <w:t>1.01</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w:t>
            </w:r>
            <w:r>
              <w:rPr>
                <w:rFonts w:hint="eastAsia" w:ascii="Times New Roman" w:hAnsi="Times New Roman" w:cs="Times New Roman"/>
                <w:color w:val="auto"/>
                <w:sz w:val="24"/>
                <w:szCs w:val="24"/>
                <w:highlight w:val="none"/>
                <w:vertAlign w:val="superscript"/>
                <w:lang w:val="en-US" w:eastAsia="zh-CN"/>
              </w:rPr>
              <w:t>1</w:t>
            </w:r>
            <w:r>
              <w:rPr>
                <w:rFonts w:hint="default" w:ascii="Times New Roman" w:hAnsi="Times New Roman"/>
                <w:bCs/>
                <w:color w:val="auto"/>
                <w:sz w:val="24"/>
                <w:highlight w:val="none"/>
              </w:rPr>
              <w:t>mSv/a，</w:t>
            </w:r>
            <w:r>
              <w:rPr>
                <w:rFonts w:hint="default" w:ascii="Times New Roman" w:hAnsi="Times New Roman"/>
                <w:color w:val="auto"/>
                <w:sz w:val="24"/>
                <w:highlight w:val="none"/>
              </w:rPr>
              <w:t>公众的所受最大剂量为</w:t>
            </w:r>
            <w:r>
              <w:rPr>
                <w:rFonts w:hint="eastAsia" w:ascii="Times New Roman" w:hAnsi="Times New Roman" w:cs="Times New Roman"/>
                <w:color w:val="auto"/>
                <w:sz w:val="24"/>
                <w:szCs w:val="24"/>
                <w:highlight w:val="none"/>
                <w:lang w:val="en-US" w:eastAsia="zh-CN"/>
              </w:rPr>
              <w:t>1.92</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bCs/>
                <w:color w:val="auto"/>
                <w:sz w:val="24"/>
                <w:highlight w:val="none"/>
              </w:rPr>
              <w:t>mSv/a</w:t>
            </w:r>
            <w:r>
              <w:rPr>
                <w:rFonts w:hint="default" w:ascii="Times New Roman" w:hAnsi="Times New Roman"/>
                <w:color w:val="auto"/>
                <w:sz w:val="24"/>
                <w:highlight w:val="none"/>
              </w:rPr>
              <w:t>，分别低于</w:t>
            </w:r>
            <w:r>
              <w:rPr>
                <w:rFonts w:hint="default" w:ascii="Times New Roman" w:hAnsi="Times New Roman"/>
                <w:bCs/>
                <w:color w:val="auto"/>
                <w:sz w:val="24"/>
                <w:highlight w:val="none"/>
              </w:rPr>
              <w:t>5</w:t>
            </w:r>
            <w:r>
              <w:rPr>
                <w:rFonts w:hint="eastAsia" w:ascii="Times New Roman" w:hAnsi="Times New Roman"/>
                <w:bCs/>
                <w:color w:val="auto"/>
                <w:sz w:val="24"/>
                <w:highlight w:val="none"/>
              </w:rPr>
              <w:t>.0</w:t>
            </w:r>
            <w:r>
              <w:rPr>
                <w:rFonts w:hint="default" w:ascii="Times New Roman" w:hAnsi="Times New Roman"/>
                <w:bCs/>
                <w:color w:val="auto"/>
                <w:sz w:val="24"/>
                <w:highlight w:val="none"/>
              </w:rPr>
              <w:t>mSv/a和0.1mSv/a</w:t>
            </w:r>
            <w:r>
              <w:rPr>
                <w:rFonts w:hint="default" w:ascii="Times New Roman" w:hAnsi="Times New Roman"/>
                <w:color w:val="auto"/>
                <w:sz w:val="24"/>
                <w:highlight w:val="none"/>
              </w:rPr>
              <w:t>，</w:t>
            </w:r>
            <w:r>
              <w:rPr>
                <w:rFonts w:hint="eastAsia" w:ascii="Times New Roman" w:hAnsi="Times New Roman"/>
                <w:color w:val="auto"/>
                <w:sz w:val="24"/>
                <w:highlight w:val="none"/>
                <w:lang w:val="en-US" w:eastAsia="zh-CN"/>
              </w:rPr>
              <w:t>远</w:t>
            </w:r>
            <w:r>
              <w:rPr>
                <w:rFonts w:hint="default" w:ascii="Times New Roman" w:hAnsi="Times New Roman"/>
                <w:color w:val="auto"/>
                <w:sz w:val="24"/>
                <w:highlight w:val="none"/>
              </w:rPr>
              <w:t>低于</w:t>
            </w:r>
            <w:r>
              <w:rPr>
                <w:rFonts w:hint="eastAsia" w:ascii="Times New Roman" w:hAnsi="Times New Roman"/>
                <w:color w:val="auto"/>
                <w:sz w:val="24"/>
                <w:highlight w:val="none"/>
                <w:lang w:val="en-US" w:eastAsia="zh-CN"/>
              </w:rPr>
              <w:t>20</w:t>
            </w:r>
            <w:r>
              <w:rPr>
                <w:rFonts w:hint="default" w:ascii="Times New Roman" w:hAnsi="Times New Roman"/>
                <w:color w:val="auto"/>
                <w:sz w:val="24"/>
                <w:highlight w:val="none"/>
              </w:rPr>
              <w:t>mSv和</w:t>
            </w:r>
            <w:r>
              <w:rPr>
                <w:rFonts w:hint="eastAsia" w:ascii="Times New Roman" w:hAnsi="Times New Roman"/>
                <w:color w:val="auto"/>
                <w:sz w:val="24"/>
                <w:highlight w:val="none"/>
                <w:lang w:val="en-US" w:eastAsia="zh-CN"/>
              </w:rPr>
              <w:t>1</w:t>
            </w:r>
            <w:r>
              <w:rPr>
                <w:rFonts w:hint="default" w:ascii="Times New Roman" w:hAnsi="Times New Roman"/>
                <w:color w:val="auto"/>
                <w:sz w:val="24"/>
                <w:highlight w:val="none"/>
              </w:rPr>
              <w:t>mSv的剂量</w:t>
            </w:r>
            <w:r>
              <w:rPr>
                <w:rFonts w:hint="eastAsia" w:ascii="Times New Roman" w:hAnsi="Times New Roman"/>
                <w:color w:val="auto"/>
                <w:sz w:val="24"/>
                <w:highlight w:val="none"/>
                <w:lang w:val="en-US" w:eastAsia="zh-CN"/>
              </w:rPr>
              <w:t>限</w:t>
            </w:r>
            <w:r>
              <w:rPr>
                <w:rFonts w:hint="default" w:ascii="Times New Roman" w:hAnsi="Times New Roman"/>
                <w:color w:val="auto"/>
                <w:sz w:val="24"/>
                <w:highlight w:val="none"/>
              </w:rPr>
              <w:t>值</w:t>
            </w:r>
            <w:r>
              <w:rPr>
                <w:rFonts w:hint="default" w:ascii="Times New Roman" w:hAnsi="Times New Roman"/>
                <w:bCs/>
                <w:color w:val="auto"/>
                <w:sz w:val="24"/>
                <w:highlight w:val="none"/>
              </w:rPr>
              <w:t>的评价约束值。</w:t>
            </w:r>
          </w:p>
          <w:p>
            <w:pPr>
              <w:keepNext/>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lang w:val="en-US" w:eastAsia="zh-CN"/>
              </w:rPr>
            </w:pPr>
            <w:r>
              <w:rPr>
                <w:rFonts w:hint="eastAsia" w:ascii="Times New Roman" w:hAnsi="Times New Roman"/>
                <w:b/>
                <w:bCs/>
                <w:color w:val="auto"/>
                <w:sz w:val="24"/>
                <w:szCs w:val="24"/>
                <w:lang w:eastAsia="zh-CN"/>
              </w:rPr>
              <w:t>（</w:t>
            </w:r>
            <w:r>
              <w:rPr>
                <w:rFonts w:hint="eastAsia" w:ascii="Times New Roman" w:hAnsi="Times New Roman"/>
                <w:b/>
                <w:bCs/>
                <w:color w:val="auto"/>
                <w:sz w:val="24"/>
                <w:szCs w:val="24"/>
                <w:lang w:val="en-US" w:eastAsia="zh-CN"/>
              </w:rPr>
              <w:t>4</w:t>
            </w:r>
            <w:r>
              <w:rPr>
                <w:rFonts w:hint="eastAsia" w:ascii="Times New Roman" w:hAnsi="Times New Roman"/>
                <w:b/>
                <w:bCs/>
                <w:color w:val="auto"/>
                <w:sz w:val="24"/>
                <w:szCs w:val="24"/>
                <w:lang w:eastAsia="zh-CN"/>
              </w:rPr>
              <w:t>）</w:t>
            </w:r>
            <w:r>
              <w:rPr>
                <w:rFonts w:hint="eastAsia" w:ascii="Times New Roman" w:hAnsi="Times New Roman" w:cs="Times New Roman"/>
                <w:b/>
                <w:bCs/>
                <w:color w:val="auto"/>
                <w:sz w:val="24"/>
                <w:szCs w:val="24"/>
                <w:lang w:val="en-US" w:eastAsia="zh-CN"/>
              </w:rPr>
              <w:t>其他环境影响</w:t>
            </w:r>
          </w:p>
          <w:p>
            <w:pPr>
              <w:keepNext/>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①声环境影响分析</w:t>
            </w:r>
          </w:p>
          <w:p>
            <w:pPr>
              <w:keepNext w:val="0"/>
              <w:keepLines w:val="0"/>
              <w:suppressLineNumbers w:val="0"/>
              <w:spacing w:before="0" w:beforeAutospacing="0" w:after="0" w:afterAutospacing="0" w:line="360" w:lineRule="auto"/>
              <w:ind w:left="0" w:right="0" w:firstLine="540"/>
              <w:rPr>
                <w:rFonts w:hint="default" w:ascii="Times New Roman" w:hAnsi="Times New Roman"/>
                <w:color w:val="auto"/>
                <w:sz w:val="24"/>
              </w:rPr>
            </w:pPr>
            <w:r>
              <w:rPr>
                <w:rFonts w:hint="eastAsia" w:ascii="Times New Roman" w:hAnsi="Times New Roman"/>
                <w:color w:val="auto"/>
                <w:sz w:val="24"/>
                <w:lang w:val="en-US" w:eastAsia="zh-CN"/>
              </w:rPr>
              <w:t>本项目所用</w:t>
            </w:r>
            <w:r>
              <w:rPr>
                <w:rFonts w:hint="default" w:ascii="Times New Roman" w:hAnsi="Times New Roman"/>
                <w:color w:val="auto"/>
                <w:sz w:val="24"/>
              </w:rPr>
              <w:t>风机、</w:t>
            </w:r>
            <w:r>
              <w:rPr>
                <w:rFonts w:hint="eastAsia" w:ascii="Calibri" w:hAnsi="Calibri" w:eastAsia="宋体" w:cs="Times New Roman"/>
                <w:bCs/>
                <w:color w:val="auto"/>
                <w:kern w:val="2"/>
                <w:sz w:val="24"/>
                <w:szCs w:val="24"/>
                <w:lang w:val="en-US" w:eastAsia="zh-CN" w:bidi="ar"/>
              </w:rPr>
              <w:t>水冷机房水泵</w:t>
            </w:r>
            <w:r>
              <w:rPr>
                <w:rFonts w:hint="eastAsia" w:cs="Times New Roman"/>
                <w:bCs/>
                <w:color w:val="auto"/>
                <w:kern w:val="2"/>
                <w:sz w:val="24"/>
                <w:szCs w:val="24"/>
                <w:lang w:val="en-US" w:eastAsia="zh-CN" w:bidi="ar"/>
              </w:rPr>
              <w:t>和空调产生的</w:t>
            </w:r>
            <w:r>
              <w:rPr>
                <w:rFonts w:hint="default" w:ascii="Times New Roman" w:hAnsi="Times New Roman"/>
                <w:color w:val="auto"/>
                <w:sz w:val="24"/>
              </w:rPr>
              <w:t>噪声</w:t>
            </w:r>
            <w:r>
              <w:rPr>
                <w:rFonts w:hint="default" w:ascii="Times New Roman" w:hAnsi="Times New Roman" w:cs="Times New Roman"/>
                <w:b w:val="0"/>
                <w:bCs w:val="0"/>
                <w:color w:val="auto"/>
                <w:sz w:val="24"/>
                <w:lang w:val="en-US" w:eastAsia="zh-CN"/>
              </w:rPr>
              <w:t>，所有设备选用低噪声设备</w:t>
            </w:r>
            <w:r>
              <w:rPr>
                <w:rFonts w:hint="eastAsia" w:ascii="Times New Roman" w:hAnsi="Times New Roman"/>
                <w:color w:val="auto"/>
                <w:sz w:val="24"/>
                <w:lang w:eastAsia="zh-CN"/>
              </w:rPr>
              <w:t>，</w:t>
            </w:r>
            <w:r>
              <w:rPr>
                <w:rFonts w:hint="default" w:ascii="Times New Roman" w:hAnsi="Times New Roman" w:cs="Times New Roman"/>
                <w:b w:val="0"/>
                <w:bCs w:val="0"/>
                <w:color w:val="auto"/>
                <w:sz w:val="24"/>
                <w:lang w:val="en-US" w:eastAsia="zh-CN"/>
              </w:rPr>
              <w:t>通过建筑墙体隔声及距离衰减后</w:t>
            </w:r>
            <w:r>
              <w:rPr>
                <w:rFonts w:hint="default" w:ascii="Times New Roman" w:hAnsi="Times New Roman"/>
                <w:color w:val="auto"/>
                <w:sz w:val="24"/>
              </w:rPr>
              <w:t>经距离衰减</w:t>
            </w:r>
            <w:r>
              <w:rPr>
                <w:rFonts w:hint="eastAsia" w:ascii="Times New Roman" w:hAnsi="Times New Roman"/>
                <w:color w:val="auto"/>
                <w:sz w:val="24"/>
              </w:rPr>
              <w:t>，</w:t>
            </w:r>
            <w:r>
              <w:rPr>
                <w:rFonts w:hint="default" w:ascii="Times New Roman" w:hAnsi="Times New Roman" w:cs="Times New Roman"/>
                <w:b w:val="0"/>
                <w:bCs w:val="0"/>
                <w:color w:val="auto"/>
                <w:sz w:val="24"/>
                <w:lang w:val="en-US" w:eastAsia="zh-CN"/>
              </w:rPr>
              <w:t>运行期间厂界噪声</w:t>
            </w:r>
            <w:r>
              <w:rPr>
                <w:rFonts w:hint="eastAsia" w:ascii="Times New Roman" w:hAnsi="Times New Roman"/>
                <w:color w:val="auto"/>
                <w:sz w:val="24"/>
              </w:rPr>
              <w:t>可满足</w:t>
            </w:r>
            <w:r>
              <w:rPr>
                <w:rFonts w:hint="default" w:ascii="Times New Roman" w:hAnsi="Times New Roman"/>
                <w:color w:val="auto"/>
                <w:sz w:val="24"/>
              </w:rPr>
              <w:t>《工业企业厂界环境噪声排放标准》（GB12348-2008）2类标准要求。</w:t>
            </w:r>
          </w:p>
          <w:p>
            <w:pPr>
              <w:keepNext/>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②水</w:t>
            </w:r>
            <w:r>
              <w:rPr>
                <w:rFonts w:hint="default" w:ascii="Times New Roman" w:hAnsi="Times New Roman" w:eastAsia="宋体" w:cs="Times New Roman"/>
                <w:b/>
                <w:bCs/>
                <w:color w:val="auto"/>
                <w:sz w:val="24"/>
                <w:lang w:val="en-US" w:eastAsia="zh-CN"/>
              </w:rPr>
              <w:t>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本项目运行后，废水主要为辐射工作人员和患者产生的生活污水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生活废水依托医院污水处理设施处理达标后排入市政污水管网，经污水处理厂处理达标后排放</w:t>
            </w:r>
            <w:r>
              <w:rPr>
                <w:rFonts w:hint="default" w:ascii="Times New Roman" w:hAnsi="Times New Roman" w:cs="Times New Roman"/>
                <w:b w:val="0"/>
                <w:bCs w:val="0"/>
                <w:color w:val="auto"/>
                <w:sz w:val="24"/>
                <w:lang w:val="en-US" w:eastAsia="zh-CN"/>
              </w:rPr>
              <w:t>。</w:t>
            </w:r>
          </w:p>
          <w:p>
            <w:pPr>
              <w:keepNext/>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③</w:t>
            </w:r>
            <w:r>
              <w:rPr>
                <w:rFonts w:hint="default" w:ascii="Times New Roman" w:hAnsi="Times New Roman" w:eastAsia="宋体" w:cs="Times New Roman"/>
                <w:b/>
                <w:bCs/>
                <w:color w:val="auto"/>
                <w:sz w:val="24"/>
                <w:lang w:val="en-US" w:eastAsia="zh-CN"/>
              </w:rPr>
              <w:t>固体废物影响分析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b/>
                <w:bCs/>
                <w:color w:val="auto"/>
                <w:sz w:val="24"/>
              </w:rPr>
            </w:pPr>
            <w:r>
              <w:rPr>
                <w:rFonts w:hint="default" w:ascii="Times New Roman" w:hAnsi="Times New Roman" w:cs="Times New Roman"/>
                <w:color w:val="auto"/>
                <w:sz w:val="24"/>
              </w:rPr>
              <w:t>本项目辐射工作人员会产生少量的生活垃圾及办公垃圾由环卫部门统一定期清运。</w:t>
            </w:r>
          </w:p>
          <w:p>
            <w:pPr>
              <w:keepNext/>
              <w:keepLines w:val="0"/>
              <w:suppressLineNumbers w:val="0"/>
              <w:spacing w:before="0" w:beforeAutospacing="0" w:after="0" w:afterAutospacing="0" w:line="360" w:lineRule="auto"/>
              <w:ind w:left="0" w:right="0"/>
              <w:rPr>
                <w:rFonts w:hint="default" w:ascii="Times New Roman" w:hAnsi="Times New Roman"/>
                <w:b/>
                <w:bCs/>
                <w:color w:val="auto"/>
                <w:sz w:val="24"/>
                <w:szCs w:val="24"/>
              </w:rPr>
            </w:pPr>
            <w:r>
              <w:rPr>
                <w:rFonts w:hint="eastAsia" w:ascii="Times New Roman" w:hAnsi="Times New Roman"/>
                <w:b/>
                <w:bCs/>
                <w:color w:val="auto"/>
                <w:sz w:val="24"/>
                <w:szCs w:val="24"/>
                <w:lang w:val="en-US" w:eastAsia="zh-CN"/>
              </w:rPr>
              <w:t>六</w:t>
            </w:r>
            <w:r>
              <w:rPr>
                <w:rFonts w:hint="default" w:ascii="Times New Roman" w:hAnsi="Times New Roman"/>
                <w:b/>
                <w:bCs/>
                <w:color w:val="auto"/>
                <w:sz w:val="24"/>
                <w:szCs w:val="24"/>
              </w:rPr>
              <w:t>、事故风险与防范</w:t>
            </w:r>
          </w:p>
          <w:p>
            <w:pPr>
              <w:keepNext/>
              <w:keepLines w:val="0"/>
              <w:suppressLineNumbers w:val="0"/>
              <w:spacing w:before="0" w:beforeAutospacing="0" w:after="0" w:afterAutospacing="0" w:line="360" w:lineRule="auto"/>
              <w:ind w:left="0" w:right="0" w:firstLine="480"/>
              <w:rPr>
                <w:rFonts w:hint="default" w:ascii="Times New Roman" w:hAnsi="Times New Roman"/>
                <w:color w:val="auto"/>
                <w:sz w:val="24"/>
              </w:rPr>
            </w:pPr>
            <w:r>
              <w:rPr>
                <w:rFonts w:hint="default" w:ascii="Times New Roman" w:hAnsi="Times New Roman"/>
                <w:color w:val="auto"/>
                <w:sz w:val="24"/>
              </w:rPr>
              <w:t>医院制订的辐射事故应急预案和安全规章制度内容较全面、措施可行，应认真贯彻实施，以减少和避免发生辐射事故与突发事件。</w:t>
            </w:r>
          </w:p>
          <w:p>
            <w:pPr>
              <w:keepNext/>
              <w:keepLines w:val="0"/>
              <w:suppressLineNumbers w:val="0"/>
              <w:spacing w:before="0" w:beforeAutospacing="0" w:after="0" w:afterAutospacing="0" w:line="360" w:lineRule="auto"/>
              <w:ind w:left="0" w:right="0"/>
              <w:rPr>
                <w:rFonts w:hint="default" w:ascii="Times New Roman" w:hAnsi="Times New Roman"/>
                <w:b/>
                <w:bCs/>
                <w:color w:val="auto"/>
                <w:sz w:val="24"/>
                <w:szCs w:val="24"/>
              </w:rPr>
            </w:pPr>
            <w:r>
              <w:rPr>
                <w:rFonts w:hint="eastAsia" w:ascii="Times New Roman" w:hAnsi="Times New Roman"/>
                <w:b/>
                <w:bCs/>
                <w:color w:val="auto"/>
                <w:sz w:val="24"/>
                <w:szCs w:val="24"/>
                <w:lang w:val="en-US" w:eastAsia="zh-CN"/>
              </w:rPr>
              <w:t>七</w:t>
            </w:r>
            <w:r>
              <w:rPr>
                <w:rFonts w:hint="default" w:ascii="Times New Roman" w:hAnsi="Times New Roman"/>
                <w:b/>
                <w:bCs/>
                <w:color w:val="auto"/>
                <w:sz w:val="24"/>
                <w:szCs w:val="24"/>
              </w:rPr>
              <w:t>、环保设施与保护目标</w:t>
            </w:r>
          </w:p>
          <w:p>
            <w:pPr>
              <w:keepNext/>
              <w:keepLines w:val="0"/>
              <w:suppressLineNumbers w:val="0"/>
              <w:spacing w:before="0" w:beforeAutospacing="0" w:after="0" w:afterAutospacing="0" w:line="360" w:lineRule="auto"/>
              <w:ind w:left="0" w:right="0" w:firstLine="480"/>
              <w:rPr>
                <w:rFonts w:hint="default" w:ascii="Times New Roman" w:hAnsi="Times New Roman"/>
                <w:color w:val="auto"/>
                <w:sz w:val="24"/>
              </w:rPr>
            </w:pPr>
            <w:r>
              <w:rPr>
                <w:rFonts w:hint="eastAsia" w:ascii="Times New Roman" w:hAnsi="Times New Roman"/>
                <w:color w:val="auto"/>
                <w:sz w:val="24"/>
                <w:lang w:val="en-US" w:eastAsia="zh-CN"/>
              </w:rPr>
              <w:t>本项目设计和拟配备</w:t>
            </w:r>
            <w:r>
              <w:rPr>
                <w:rFonts w:hint="default" w:ascii="Times New Roman" w:hAnsi="Times New Roman"/>
                <w:color w:val="auto"/>
                <w:sz w:val="24"/>
              </w:rPr>
              <w:t>环保设施配置较全，总体效能良好，可使本次环评中确定的所有保护目标，所受的辐射剂量，保持在合理的、可达到的尽可能低的水平。</w:t>
            </w:r>
          </w:p>
          <w:p>
            <w:pPr>
              <w:keepNext/>
              <w:keepLines w:val="0"/>
              <w:suppressLineNumbers w:val="0"/>
              <w:spacing w:before="0" w:beforeAutospacing="0" w:after="0" w:afterAutospacing="0" w:line="360" w:lineRule="auto"/>
              <w:ind w:left="0" w:right="0"/>
              <w:rPr>
                <w:rFonts w:hint="default" w:ascii="Times New Roman" w:hAnsi="Times New Roman"/>
                <w:b/>
                <w:bCs/>
                <w:color w:val="auto"/>
                <w:sz w:val="24"/>
                <w:szCs w:val="24"/>
              </w:rPr>
            </w:pPr>
            <w:r>
              <w:rPr>
                <w:rFonts w:hint="eastAsia" w:ascii="Times New Roman" w:hAnsi="Times New Roman"/>
                <w:b/>
                <w:bCs/>
                <w:color w:val="auto"/>
                <w:sz w:val="24"/>
                <w:szCs w:val="24"/>
                <w:lang w:val="en-US" w:eastAsia="zh-CN"/>
              </w:rPr>
              <w:t>八</w:t>
            </w:r>
            <w:r>
              <w:rPr>
                <w:rFonts w:hint="default" w:ascii="Times New Roman" w:hAnsi="Times New Roman"/>
                <w:b/>
                <w:bCs/>
                <w:color w:val="auto"/>
                <w:sz w:val="24"/>
                <w:szCs w:val="24"/>
              </w:rPr>
              <w:t>、医院辐射安全管理的综合能力</w:t>
            </w:r>
          </w:p>
          <w:p>
            <w:pPr>
              <w:keepNext/>
              <w:keepLines w:val="0"/>
              <w:suppressLineNumbers w:val="0"/>
              <w:spacing w:before="0" w:beforeAutospacing="0" w:after="0" w:afterAutospacing="0" w:line="360" w:lineRule="auto"/>
              <w:ind w:left="0" w:right="0" w:firstLine="480"/>
              <w:rPr>
                <w:rFonts w:hint="default" w:ascii="Times New Roman" w:hAnsi="Times New Roman"/>
                <w:color w:val="auto"/>
                <w:sz w:val="24"/>
              </w:rPr>
            </w:pPr>
            <w:r>
              <w:rPr>
                <w:rFonts w:hint="default" w:ascii="Times New Roman" w:hAnsi="Times New Roman"/>
                <w:color w:val="auto"/>
                <w:sz w:val="24"/>
              </w:rPr>
              <w:t>医院</w:t>
            </w:r>
            <w:r>
              <w:rPr>
                <w:rFonts w:hint="eastAsia" w:ascii="Times New Roman" w:hAnsi="Times New Roman"/>
                <w:color w:val="auto"/>
                <w:sz w:val="24"/>
              </w:rPr>
              <w:t>严格落实本报告提出的</w:t>
            </w:r>
            <w:r>
              <w:rPr>
                <w:rFonts w:hint="eastAsia" w:ascii="Times New Roman" w:hAnsi="Times New Roman"/>
                <w:color w:val="auto"/>
                <w:sz w:val="24"/>
                <w:lang w:val="en-US" w:eastAsia="zh-CN"/>
              </w:rPr>
              <w:t>相关管理要求和</w:t>
            </w:r>
            <w:r>
              <w:rPr>
                <w:rFonts w:hint="eastAsia" w:ascii="Times New Roman" w:hAnsi="Times New Roman"/>
                <w:color w:val="auto"/>
                <w:sz w:val="24"/>
              </w:rPr>
              <w:t>环保</w:t>
            </w:r>
            <w:r>
              <w:rPr>
                <w:rFonts w:hint="eastAsia" w:ascii="Times New Roman" w:hAnsi="Times New Roman"/>
                <w:color w:val="auto"/>
                <w:sz w:val="24"/>
                <w:lang w:val="en-US" w:eastAsia="zh-CN"/>
              </w:rPr>
              <w:t>设施及</w:t>
            </w:r>
            <w:r>
              <w:rPr>
                <w:rFonts w:hint="eastAsia" w:ascii="Times New Roman" w:hAnsi="Times New Roman"/>
                <w:color w:val="auto"/>
                <w:sz w:val="24"/>
              </w:rPr>
              <w:t>措施</w:t>
            </w:r>
            <w:r>
              <w:rPr>
                <w:rFonts w:hint="eastAsia" w:ascii="Times New Roman" w:hAnsi="Times New Roman"/>
                <w:color w:val="auto"/>
                <w:sz w:val="24"/>
                <w:lang w:val="en-US" w:eastAsia="zh-CN"/>
              </w:rPr>
              <w:t>后</w:t>
            </w:r>
            <w:r>
              <w:rPr>
                <w:rFonts w:hint="default" w:ascii="Times New Roman" w:hAnsi="Times New Roman"/>
                <w:color w:val="auto"/>
                <w:sz w:val="24"/>
              </w:rPr>
              <w:t>，具备辐射安全管理的综合能力。</w:t>
            </w:r>
          </w:p>
          <w:p>
            <w:pPr>
              <w:keepNext/>
              <w:keepLines w:val="0"/>
              <w:suppressLineNumbers w:val="0"/>
              <w:spacing w:before="0" w:beforeAutospacing="0" w:after="0" w:afterAutospacing="0" w:line="360" w:lineRule="auto"/>
              <w:ind w:left="0" w:right="0"/>
              <w:rPr>
                <w:rFonts w:hint="default" w:ascii="Times New Roman" w:hAnsi="Times New Roman"/>
                <w:b/>
                <w:bCs/>
                <w:color w:val="auto"/>
                <w:sz w:val="24"/>
                <w:szCs w:val="24"/>
              </w:rPr>
            </w:pPr>
            <w:r>
              <w:rPr>
                <w:rFonts w:hint="eastAsia" w:ascii="Times New Roman" w:hAnsi="Times New Roman"/>
                <w:b/>
                <w:bCs/>
                <w:color w:val="auto"/>
                <w:sz w:val="24"/>
                <w:szCs w:val="24"/>
                <w:lang w:val="en-US" w:eastAsia="zh-CN"/>
              </w:rPr>
              <w:t>九</w:t>
            </w:r>
            <w:r>
              <w:rPr>
                <w:rFonts w:hint="default" w:ascii="Times New Roman" w:hAnsi="Times New Roman"/>
                <w:b/>
                <w:bCs/>
                <w:color w:val="auto"/>
                <w:sz w:val="24"/>
                <w:szCs w:val="24"/>
              </w:rPr>
              <w:t>、环境影响评价报告信息公开</w:t>
            </w:r>
          </w:p>
          <w:p>
            <w:pPr>
              <w:keepNext/>
              <w:keepLines w:val="0"/>
              <w:suppressLineNumbers w:val="0"/>
              <w:spacing w:before="0" w:beforeAutospacing="0" w:after="0" w:afterAutospacing="0" w:line="360" w:lineRule="auto"/>
              <w:ind w:left="0" w:right="0" w:firstLine="480"/>
              <w:rPr>
                <w:rFonts w:hint="default" w:ascii="Times New Roman" w:hAnsi="Times New Roman"/>
                <w:color w:val="auto"/>
                <w:sz w:val="24"/>
              </w:rPr>
            </w:pPr>
            <w:r>
              <w:rPr>
                <w:rFonts w:hint="default" w:ascii="Times New Roman" w:hAnsi="Times New Roman"/>
                <w:color w:val="auto"/>
                <w:sz w:val="24"/>
              </w:rPr>
              <w:t>在本项目环境影响报告表送审前，建设单位</w:t>
            </w:r>
            <w:r>
              <w:rPr>
                <w:rFonts w:hint="eastAsia" w:ascii="Times New Roman" w:hAnsi="Times New Roman"/>
                <w:color w:val="auto"/>
                <w:sz w:val="24"/>
                <w:highlight w:val="none"/>
                <w:lang w:val="en-US" w:eastAsia="zh-CN"/>
              </w:rPr>
              <w:t>成都市第五人民医院</w:t>
            </w:r>
            <w:r>
              <w:rPr>
                <w:rFonts w:hint="default" w:ascii="Times New Roman" w:hAnsi="Times New Roman"/>
                <w:color w:val="auto"/>
                <w:sz w:val="24"/>
                <w:highlight w:val="none"/>
              </w:rPr>
              <w:t>网站上</w:t>
            </w:r>
            <w:r>
              <w:rPr>
                <w:rFonts w:hint="default" w:ascii="Times New Roman" w:hAnsi="Times New Roman"/>
                <w:color w:val="auto"/>
                <w:sz w:val="24"/>
              </w:rPr>
              <w:t>进行了公示，截至报告送审前，未收到单位和个人有关项目情况的反馈意见。</w:t>
            </w:r>
          </w:p>
          <w:p>
            <w:pPr>
              <w:keepNext/>
              <w:keepLines w:val="0"/>
              <w:suppressLineNumbers w:val="0"/>
              <w:spacing w:before="0" w:beforeAutospacing="0" w:after="0" w:afterAutospacing="0" w:line="360" w:lineRule="auto"/>
              <w:ind w:left="0" w:right="0"/>
              <w:rPr>
                <w:rFonts w:hint="default" w:ascii="Times New Roman" w:hAnsi="Times New Roman"/>
                <w:b/>
                <w:color w:val="auto"/>
                <w:sz w:val="24"/>
                <w:szCs w:val="24"/>
              </w:rPr>
            </w:pPr>
            <w:r>
              <w:rPr>
                <w:rFonts w:hint="eastAsia" w:ascii="Times New Roman" w:hAnsi="Times New Roman"/>
                <w:b/>
                <w:color w:val="auto"/>
                <w:sz w:val="24"/>
                <w:szCs w:val="24"/>
                <w:lang w:val="en-US" w:eastAsia="zh-CN"/>
              </w:rPr>
              <w:t>十</w:t>
            </w:r>
            <w:r>
              <w:rPr>
                <w:rFonts w:hint="default" w:ascii="Times New Roman" w:hAnsi="Times New Roman"/>
                <w:b/>
                <w:color w:val="auto"/>
                <w:sz w:val="24"/>
                <w:szCs w:val="24"/>
              </w:rPr>
              <w:t>、项目环保可行性结论</w:t>
            </w:r>
          </w:p>
          <w:p>
            <w:pPr>
              <w:pStyle w:val="35"/>
              <w:keepNext/>
              <w:keepLines w:val="0"/>
              <w:suppressLineNumbers w:val="0"/>
              <w:spacing w:before="0" w:beforeAutospacing="0" w:after="0" w:afterAutospacing="0" w:line="360" w:lineRule="auto"/>
              <w:ind w:left="0" w:right="0" w:firstLine="480" w:firstLineChars="0"/>
              <w:rPr>
                <w:rFonts w:hint="default" w:ascii="Times New Roman" w:hAnsi="Times New Roman" w:eastAsia="宋体"/>
                <w:color w:val="auto"/>
                <w:kern w:val="0"/>
                <w:sz w:val="24"/>
              </w:rPr>
            </w:pPr>
            <w:r>
              <w:rPr>
                <w:rFonts w:hint="default" w:ascii="Times New Roman" w:hAnsi="Times New Roman" w:eastAsia="宋体"/>
                <w:color w:val="auto"/>
                <w:kern w:val="0"/>
                <w:sz w:val="24"/>
              </w:rPr>
              <w:t>在坚持“三同时”的原则，采取切实可行的环保措施，落实本报告提出的各项污染防治措施，从环境保护和辐射防护角度</w:t>
            </w:r>
            <w:r>
              <w:rPr>
                <w:rFonts w:hint="eastAsia" w:ascii="Times New Roman" w:hAnsi="Times New Roman" w:eastAsia="宋体"/>
                <w:color w:val="auto"/>
                <w:kern w:val="0"/>
                <w:sz w:val="24"/>
                <w:lang w:val="en-US" w:eastAsia="zh-CN"/>
              </w:rPr>
              <w:t>分析，本</w:t>
            </w:r>
            <w:r>
              <w:rPr>
                <w:rFonts w:hint="default" w:ascii="Times New Roman" w:hAnsi="Times New Roman" w:eastAsia="宋体"/>
                <w:color w:val="auto"/>
                <w:kern w:val="0"/>
                <w:sz w:val="24"/>
              </w:rPr>
              <w:t>项目建设是可行的。</w:t>
            </w:r>
          </w:p>
          <w:p>
            <w:pPr>
              <w:keepNext w:val="0"/>
              <w:keepLines w:val="0"/>
              <w:suppressLineNumbers w:val="0"/>
              <w:spacing w:before="0" w:beforeAutospacing="0" w:after="0" w:afterAutospacing="0" w:line="360" w:lineRule="auto"/>
              <w:ind w:left="0" w:right="0"/>
              <w:rPr>
                <w:rFonts w:hint="default" w:ascii="Times New Roman" w:hAnsi="Times New Roman"/>
                <w:b/>
                <w:bCs/>
                <w:color w:val="auto"/>
                <w:sz w:val="24"/>
              </w:rPr>
            </w:pPr>
            <w:r>
              <w:rPr>
                <w:rFonts w:hint="eastAsia" w:ascii="Times New Roman" w:hAnsi="Times New Roman"/>
                <w:b/>
                <w:bCs/>
                <w:color w:val="auto"/>
                <w:sz w:val="24"/>
                <w:lang w:val="en-US" w:eastAsia="zh-CN"/>
              </w:rPr>
              <w:t>十一</w:t>
            </w:r>
            <w:r>
              <w:rPr>
                <w:rFonts w:hint="default" w:ascii="Times New Roman" w:hAnsi="Times New Roman"/>
                <w:b/>
                <w:bCs/>
                <w:color w:val="auto"/>
                <w:sz w:val="24"/>
              </w:rPr>
              <w:t>、项目竣工验收检查内容</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bCs/>
                <w:color w:val="auto"/>
                <w:sz w:val="24"/>
              </w:rPr>
            </w:pPr>
            <w:r>
              <w:rPr>
                <w:rFonts w:hint="default" w:ascii="Times New Roman" w:hAnsi="Times New Roman"/>
                <w:bCs/>
                <w:color w:val="auto"/>
                <w:sz w:val="24"/>
              </w:rPr>
              <w:t>根据</w:t>
            </w:r>
            <w:r>
              <w:rPr>
                <w:rFonts w:hint="default" w:ascii="Times New Roman" w:hAnsi="Times New Roman"/>
                <w:color w:val="auto"/>
                <w:sz w:val="24"/>
              </w:rPr>
              <w:t>《中华人民共和国环境保护法》、《中华人民共和国放射性污染防 治法》、《放射性同位素和射线装置安全和防护条例》（国务院令第449号）、《放射性同位素与射线装置安全和防护管理办法》、《电离辐射防护与辐射源安全基本标准》、《建设项目环境保护管理条例》、《建设项目竣工环境保护验收暂行办法》等法律和标准，对照本项目环境影响报告表</w:t>
            </w:r>
            <w:r>
              <w:rPr>
                <w:rFonts w:hint="eastAsia" w:ascii="Times New Roman" w:hAnsi="Times New Roman"/>
                <w:color w:val="auto"/>
                <w:sz w:val="24"/>
                <w:lang w:val="en-US" w:eastAsia="zh-CN"/>
              </w:rPr>
              <w:t>开展</w:t>
            </w:r>
            <w:r>
              <w:rPr>
                <w:rFonts w:hint="default" w:ascii="Times New Roman" w:hAnsi="Times New Roman"/>
                <w:color w:val="auto"/>
                <w:sz w:val="24"/>
              </w:rPr>
              <w:t>验收。</w:t>
            </w:r>
            <w:r>
              <w:rPr>
                <w:rFonts w:hint="default" w:ascii="Times New Roman" w:hAnsi="Times New Roman"/>
                <w:bCs/>
                <w:color w:val="auto"/>
                <w:sz w:val="24"/>
              </w:rPr>
              <w:t>建设项目正式投产运行前，建设单位应组织专家完成自主环保验收。本工程</w:t>
            </w:r>
            <w:r>
              <w:rPr>
                <w:rFonts w:hint="eastAsia" w:ascii="Times New Roman" w:hAnsi="Times New Roman"/>
                <w:bCs/>
                <w:color w:val="auto"/>
                <w:sz w:val="24"/>
                <w:lang w:val="en-US" w:eastAsia="zh-CN"/>
              </w:rPr>
              <w:t>环保</w:t>
            </w:r>
            <w:r>
              <w:rPr>
                <w:rFonts w:hint="default" w:ascii="Times New Roman" w:hAnsi="Times New Roman"/>
                <w:bCs/>
                <w:color w:val="auto"/>
                <w:sz w:val="24"/>
              </w:rPr>
              <w:t>验收一览表见表13-1。</w:t>
            </w:r>
          </w:p>
          <w:p>
            <w:pPr>
              <w:keepNext w:val="0"/>
              <w:keepLines w:val="0"/>
              <w:suppressLineNumbers w:val="0"/>
              <w:spacing w:before="0" w:beforeAutospacing="0" w:after="0" w:afterAutospacing="0" w:line="360" w:lineRule="auto"/>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表</w:t>
            </w:r>
            <w:r>
              <w:rPr>
                <w:rFonts w:hint="eastAsia" w:ascii="Times New Roman" w:hAnsi="Times New Roman"/>
                <w:b/>
                <w:bCs/>
                <w:color w:val="auto"/>
                <w:sz w:val="21"/>
                <w:szCs w:val="21"/>
              </w:rPr>
              <w:t>13</w:t>
            </w:r>
            <w:r>
              <w:rPr>
                <w:rFonts w:hint="default" w:ascii="Times New Roman" w:hAnsi="Times New Roman"/>
                <w:b/>
                <w:bCs/>
                <w:color w:val="auto"/>
                <w:sz w:val="21"/>
                <w:szCs w:val="21"/>
              </w:rPr>
              <w:t>-</w:t>
            </w:r>
            <w:r>
              <w:rPr>
                <w:rFonts w:hint="eastAsia" w:ascii="Times New Roman" w:hAnsi="Times New Roman"/>
                <w:b/>
                <w:bCs/>
                <w:color w:val="auto"/>
                <w:sz w:val="21"/>
                <w:szCs w:val="21"/>
              </w:rPr>
              <w:t>1</w:t>
            </w:r>
            <w:r>
              <w:rPr>
                <w:rFonts w:hint="default" w:ascii="Times New Roman" w:hAnsi="Times New Roman"/>
                <w:b/>
                <w:bCs/>
                <w:color w:val="auto"/>
                <w:sz w:val="21"/>
                <w:szCs w:val="21"/>
              </w:rPr>
              <w:t xml:space="preserve"> </w:t>
            </w:r>
            <w:r>
              <w:rPr>
                <w:rFonts w:hint="eastAsia" w:ascii="Times New Roman" w:hAnsi="Times New Roman"/>
                <w:b/>
                <w:bCs/>
                <w:color w:val="auto"/>
                <w:sz w:val="21"/>
                <w:szCs w:val="21"/>
              </w:rPr>
              <w:t>项目环</w:t>
            </w:r>
            <w:r>
              <w:rPr>
                <w:rFonts w:hint="eastAsia" w:ascii="Times New Roman" w:hAnsi="Times New Roman"/>
                <w:b/>
                <w:bCs/>
                <w:color w:val="auto"/>
                <w:sz w:val="21"/>
                <w:szCs w:val="21"/>
                <w:lang w:val="en-US" w:eastAsia="zh-CN"/>
              </w:rPr>
              <w:t>保</w:t>
            </w:r>
            <w:r>
              <w:rPr>
                <w:rFonts w:hint="eastAsia" w:ascii="Times New Roman" w:hAnsi="Times New Roman"/>
                <w:b/>
                <w:bCs/>
                <w:color w:val="auto"/>
                <w:sz w:val="21"/>
                <w:szCs w:val="21"/>
              </w:rPr>
              <w:t>验收检查一览表</w:t>
            </w:r>
          </w:p>
          <w:tbl>
            <w:tblPr>
              <w:tblStyle w:val="17"/>
              <w:tblW w:w="7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9"/>
              <w:gridCol w:w="5961"/>
              <w:gridCol w:w="13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729"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5961"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应具备条件</w:t>
                  </w:r>
                </w:p>
              </w:tc>
              <w:tc>
                <w:tcPr>
                  <w:tcW w:w="1308" w:type="dxa"/>
                  <w:tcBorders>
                    <w:top w:val="single" w:color="auto" w:sz="12" w:space="0"/>
                    <w:bottom w:val="single" w:color="auto" w:sz="12"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7998" w:type="dxa"/>
                  <w:gridSpan w:val="3"/>
                  <w:tcBorders>
                    <w:top w:val="single" w:color="auto" w:sz="4" w:space="0"/>
                    <w:bottom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直线加速器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场所实体设施</w:t>
                  </w:r>
                </w:p>
              </w:tc>
              <w:tc>
                <w:tcPr>
                  <w:tcW w:w="5961" w:type="dxa"/>
                  <w:tcBorders>
                    <w:top w:val="single" w:color="auto" w:sz="4" w:space="0"/>
                  </w:tcBorders>
                  <w:vAlign w:val="center"/>
                </w:tcPr>
                <w:p>
                  <w:pPr>
                    <w:keepNext w:val="0"/>
                    <w:keepLines w:val="0"/>
                    <w:suppressLineNumbers w:val="0"/>
                    <w:autoSpaceDE w:val="0"/>
                    <w:autoSpaceDN w:val="0"/>
                    <w:spacing w:before="0" w:beforeAutospacing="0" w:after="0" w:afterAutospacing="0"/>
                    <w:ind w:left="0" w:leftChars="0" w:right="-2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kern w:val="0"/>
                      <w:sz w:val="21"/>
                      <w:szCs w:val="21"/>
                    </w:rPr>
                    <w:t>四周墙体+</w:t>
                  </w:r>
                  <w:r>
                    <w:rPr>
                      <w:rFonts w:hint="eastAsia" w:ascii="Times New Roman" w:hAnsi="Times New Roman" w:cs="Times New Roman"/>
                      <w:color w:val="auto"/>
                      <w:kern w:val="0"/>
                      <w:sz w:val="21"/>
                      <w:szCs w:val="21"/>
                      <w:lang w:eastAsia="zh-CN"/>
                    </w:rPr>
                    <w:t>迷路</w:t>
                  </w:r>
                  <w:r>
                    <w:rPr>
                      <w:rFonts w:hint="default" w:ascii="Times New Roman" w:hAnsi="Times New Roman" w:eastAsia="宋体" w:cs="Times New Roman"/>
                      <w:color w:val="auto"/>
                      <w:kern w:val="0"/>
                      <w:sz w:val="21"/>
                      <w:szCs w:val="21"/>
                    </w:rPr>
                    <w:t>+屋顶屏蔽</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lang w:val="en-US" w:eastAsia="zh-CN"/>
                    </w:rPr>
                  </w:pP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kern w:val="0"/>
                      <w:sz w:val="21"/>
                      <w:szCs w:val="21"/>
                    </w:rPr>
                    <w:t>铅防护门</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 w:val="21"/>
                      <w:szCs w:val="21"/>
                    </w:rPr>
                    <w:t>通风系统</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kern w:val="2"/>
                      <w:sz w:val="21"/>
                      <w:szCs w:val="21"/>
                      <w:lang w:val="en-US" w:eastAsia="zh-CN" w:bidi="ar-SA"/>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控制台及安全联锁</w:t>
                  </w: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防止非工作人员操作的锁定开关</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加速器治疗床、加速器主机上以及控制台上应具备紧急停机按钮</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rPr>
                    <w:t>条件显示</w:t>
                  </w:r>
                  <w:r>
                    <w:rPr>
                      <w:rFonts w:hint="eastAsia" w:ascii="Times New Roman" w:hAnsi="Times New Roman" w:cs="Times New Roman"/>
                      <w:color w:val="auto"/>
                      <w:sz w:val="21"/>
                      <w:szCs w:val="21"/>
                      <w:lang w:eastAsia="zh-CN"/>
                    </w:rPr>
                    <w:t>联锁</w:t>
                  </w:r>
                  <w:r>
                    <w:rPr>
                      <w:rFonts w:hint="default" w:ascii="Times New Roman" w:hAnsi="Times New Roman" w:eastAsia="宋体" w:cs="Times New Roman"/>
                      <w:color w:val="auto"/>
                      <w:sz w:val="21"/>
                      <w:szCs w:val="21"/>
                    </w:rPr>
                    <w:t>、控制超剂量的联锁装置、时间控制</w:t>
                  </w:r>
                  <w:r>
                    <w:rPr>
                      <w:rFonts w:hint="eastAsia" w:ascii="Times New Roman" w:hAnsi="Times New Roman" w:cs="Times New Roman"/>
                      <w:color w:val="auto"/>
                      <w:sz w:val="21"/>
                      <w:szCs w:val="21"/>
                      <w:lang w:eastAsia="zh-CN"/>
                    </w:rPr>
                    <w:t>联锁</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rPr>
                    <w:t>门机</w:t>
                  </w:r>
                  <w:r>
                    <w:rPr>
                      <w:rFonts w:hint="eastAsia" w:ascii="Times New Roman" w:hAnsi="Times New Roman" w:cs="Times New Roman"/>
                      <w:color w:val="auto"/>
                      <w:sz w:val="21"/>
                      <w:szCs w:val="21"/>
                      <w:lang w:eastAsia="zh-CN"/>
                    </w:rPr>
                    <w:t>联锁</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Cs w:val="21"/>
                    </w:rPr>
                    <w:t>各</w:t>
                  </w: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restart"/>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警示</w:t>
                  </w:r>
                </w:p>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装置</w:t>
                  </w: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入口电离辐射警示标志</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入口加速器工作状态显示</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Times New Roman" w:hAnsi="Times New Roman" w:cs="Times New Roman"/>
                      <w:color w:val="auto"/>
                      <w:sz w:val="21"/>
                      <w:szCs w:val="21"/>
                      <w:lang w:eastAsia="zh-CN"/>
                    </w:rPr>
                    <w:t>治疗室内</w:t>
                  </w:r>
                  <w:r>
                    <w:rPr>
                      <w:rFonts w:hint="default" w:ascii="Times New Roman" w:hAnsi="Times New Roman" w:eastAsia="宋体" w:cs="Times New Roman"/>
                      <w:color w:val="auto"/>
                      <w:sz w:val="21"/>
                      <w:szCs w:val="21"/>
                    </w:rPr>
                    <w:t>准备出束音响提示</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控制台上蜂鸣器</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紧急设施</w:t>
                  </w: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Times New Roman" w:hAnsi="Times New Roman" w:cs="Times New Roman"/>
                      <w:color w:val="auto"/>
                      <w:sz w:val="21"/>
                      <w:szCs w:val="21"/>
                      <w:lang w:val="en-US" w:eastAsia="zh-CN"/>
                    </w:rPr>
                    <w:t>治疗室内</w:t>
                  </w:r>
                  <w:r>
                    <w:rPr>
                      <w:rFonts w:hint="default" w:ascii="Times New Roman" w:hAnsi="Times New Roman" w:eastAsia="宋体" w:cs="Times New Roman"/>
                      <w:color w:val="auto"/>
                      <w:sz w:val="21"/>
                      <w:szCs w:val="21"/>
                    </w:rPr>
                    <w:t>有紧急停机按钮</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Times New Roman" w:hAnsi="Times New Roman" w:cs="Times New Roman"/>
                      <w:color w:val="auto"/>
                      <w:szCs w:val="21"/>
                      <w:lang w:val="en-US" w:eastAsia="zh-CN"/>
                    </w:rPr>
                    <w:t>各3个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电视监控对讲装置</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Times New Roman" w:hAnsi="Times New Roman" w:cs="Times New Roman"/>
                      <w:color w:val="auto"/>
                      <w:sz w:val="21"/>
                      <w:szCs w:val="21"/>
                      <w:lang w:eastAsia="zh-CN"/>
                    </w:rPr>
                    <w:t>有中文标识的紧急开门按钮</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监测设备</w:t>
                  </w: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cs="Times New Roman"/>
                      <w:color w:val="auto"/>
                      <w:sz w:val="21"/>
                      <w:szCs w:val="21"/>
                      <w:lang w:val="en-US" w:eastAsia="zh-CN"/>
                    </w:rPr>
                    <w:t>加速器治疗室</w:t>
                  </w:r>
                  <w:r>
                    <w:rPr>
                      <w:rFonts w:hint="default" w:ascii="Times New Roman" w:hAnsi="Times New Roman" w:eastAsia="宋体" w:cs="Times New Roman"/>
                      <w:color w:val="auto"/>
                      <w:sz w:val="21"/>
                      <w:szCs w:val="21"/>
                    </w:rPr>
                    <w:t>内固定式剂量</w:t>
                  </w:r>
                  <w:r>
                    <w:rPr>
                      <w:rFonts w:hint="default" w:ascii="Times New Roman" w:hAnsi="Times New Roman" w:eastAsia="宋体" w:cs="Times New Roman"/>
                      <w:color w:val="auto"/>
                      <w:sz w:val="21"/>
                      <w:szCs w:val="21"/>
                      <w:lang w:val="en-US" w:eastAsia="zh-CN"/>
                    </w:rPr>
                    <w:t>报警</w:t>
                  </w:r>
                  <w:r>
                    <w:rPr>
                      <w:rFonts w:hint="default" w:ascii="Times New Roman" w:hAnsi="Times New Roman" w:eastAsia="宋体" w:cs="Times New Roman"/>
                      <w:color w:val="auto"/>
                      <w:sz w:val="21"/>
                      <w:szCs w:val="21"/>
                    </w:rPr>
                    <w:t>仪</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lang w:val="en-US" w:eastAsia="zh-CN"/>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便携式辐射监测仪</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1#、2#、3#加速器治疗室、后装治疗室共用）</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Cs w:val="21"/>
                    </w:rPr>
                    <w:t>1</w:t>
                  </w:r>
                  <w:r>
                    <w:rPr>
                      <w:rFonts w:hint="default" w:ascii="Times New Roman" w:hAnsi="Times New Roman" w:cs="Times New Roman"/>
                      <w:color w:val="auto"/>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个人剂量报警仪</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8</w:t>
                  </w:r>
                  <w:r>
                    <w:rPr>
                      <w:rFonts w:hint="default" w:ascii="Times New Roman" w:hAnsi="Times New Roman" w:eastAsia="宋体" w:cs="Times New Roman"/>
                      <w:color w:val="auto"/>
                      <w:szCs w:val="21"/>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个人剂量计</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Cs w:val="21"/>
                      <w:lang w:val="en-US" w:eastAsia="zh-CN"/>
                    </w:rPr>
                    <w:t>1</w:t>
                  </w:r>
                  <w:r>
                    <w:rPr>
                      <w:rFonts w:hint="eastAsia" w:ascii="Times New Roman" w:hAnsi="Times New Roman" w:cs="Times New Roman"/>
                      <w:color w:val="auto"/>
                      <w:szCs w:val="21"/>
                      <w:lang w:val="en-US" w:eastAsia="zh-CN"/>
                    </w:rPr>
                    <w:t>8</w:t>
                  </w:r>
                  <w:r>
                    <w:rPr>
                      <w:rFonts w:hint="default" w:ascii="Times New Roman" w:hAnsi="Times New Roman" w:eastAsia="宋体" w:cs="Times New Roman"/>
                      <w:color w:val="auto"/>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7998" w:type="dxa"/>
                  <w:gridSpan w:val="3"/>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后装机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position w:val="-3"/>
                      <w:sz w:val="21"/>
                      <w:szCs w:val="21"/>
                    </w:rPr>
                    <w:t>装置安全设施</w:t>
                  </w: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防止非工作人员操作的锁定开关</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施源器与源联锁</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管道遇堵自动回源</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仿真源模拟运行系统</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主机外表电离辐射警示标志</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控制台显示放射源位置</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控制台紧急停止照射按钮</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停电或意外中断照射时自动回源装置</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手动回源装置</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Cs w:val="21"/>
                    </w:rPr>
                    <w:t>防护墙体、</w:t>
                  </w:r>
                  <w:r>
                    <w:rPr>
                      <w:rFonts w:hint="eastAsia" w:ascii="Times New Roman" w:hAnsi="Times New Roman" w:cs="Times New Roman"/>
                      <w:b w:val="0"/>
                      <w:bCs/>
                      <w:color w:val="auto"/>
                      <w:sz w:val="21"/>
                      <w:szCs w:val="21"/>
                      <w:lang w:val="en-US" w:eastAsia="zh-CN"/>
                    </w:rPr>
                    <w:t>后装治疗室</w:t>
                  </w:r>
                  <w:r>
                    <w:rPr>
                      <w:rFonts w:hint="eastAsia" w:ascii="Times New Roman" w:hAnsi="Times New Roman" w:cs="Times New Roman"/>
                      <w:b w:val="0"/>
                      <w:bCs/>
                      <w:color w:val="auto"/>
                      <w:szCs w:val="21"/>
                      <w:lang w:eastAsia="zh-CN"/>
                    </w:rPr>
                    <w:t>迷路</w:t>
                  </w:r>
                  <w:r>
                    <w:rPr>
                      <w:rFonts w:hint="default" w:ascii="Times New Roman" w:hAnsi="Times New Roman" w:eastAsia="宋体" w:cs="Times New Roman"/>
                      <w:b w:val="0"/>
                      <w:bCs/>
                      <w:color w:val="auto"/>
                      <w:szCs w:val="21"/>
                    </w:rPr>
                    <w:t>、铅防护门、防盗门窗</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sz w:val="21"/>
                      <w:szCs w:val="21"/>
                    </w:rPr>
                  </w:pPr>
                  <w:r>
                    <w:rPr>
                      <w:rFonts w:hint="default" w:ascii="Times New Roman" w:hAnsi="Times New Roman" w:eastAsia="宋体" w:cs="Times New Roman"/>
                      <w:b w:val="0"/>
                      <w:bCs/>
                      <w:color w:val="auto"/>
                      <w:sz w:val="21"/>
                      <w:szCs w:val="21"/>
                      <w:vertAlign w:val="superscript"/>
                    </w:rPr>
                    <w:t>192</w:t>
                  </w:r>
                  <w:r>
                    <w:rPr>
                      <w:rFonts w:hint="default" w:ascii="Times New Roman" w:hAnsi="Times New Roman" w:eastAsia="宋体" w:cs="Times New Roman"/>
                      <w:b w:val="0"/>
                      <w:bCs/>
                      <w:color w:val="auto"/>
                      <w:sz w:val="21"/>
                      <w:szCs w:val="21"/>
                    </w:rPr>
                    <w:t>Ir源专用贮存柜</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lang w:val="en-US" w:eastAsia="zh-CN"/>
                    </w:rPr>
                    <w:t>设备自带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通风系统</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应急、</w:t>
                  </w:r>
                  <w:r>
                    <w:rPr>
                      <w:rFonts w:hint="eastAsia" w:ascii="宋体" w:hAnsi="宋体" w:cs="宋体"/>
                      <w:color w:val="auto"/>
                      <w:sz w:val="21"/>
                      <w:szCs w:val="21"/>
                      <w:lang w:eastAsia="zh-CN"/>
                    </w:rPr>
                    <w:t>联锁</w:t>
                  </w: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放射源返回储源器的应急开关</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Cs w:val="21"/>
                    </w:rPr>
                    <w:t>1</w:t>
                  </w:r>
                  <w:r>
                    <w:rPr>
                      <w:rFonts w:hint="default" w:ascii="Times New Roman" w:hAnsi="Times New Roman" w:cs="Times New Roman"/>
                      <w:color w:val="auto"/>
                      <w:szCs w:val="21"/>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sz w:val="21"/>
                      <w:szCs w:val="21"/>
                    </w:rPr>
                  </w:pPr>
                  <w:r>
                    <w:rPr>
                      <w:rFonts w:hint="default" w:ascii="Times New Roman" w:hAnsi="Times New Roman" w:eastAsia="宋体" w:cs="Times New Roman"/>
                      <w:b w:val="0"/>
                      <w:bCs/>
                      <w:color w:val="auto"/>
                      <w:sz w:val="21"/>
                      <w:szCs w:val="21"/>
                    </w:rPr>
                    <w:t>门与源联锁</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r>
                    <w:rPr>
                      <w:rFonts w:hint="eastAsia" w:ascii="Times New Roman" w:hAnsi="Times New Roman" w:cs="Times New Roman"/>
                      <w:color w:val="auto"/>
                      <w:sz w:val="21"/>
                      <w:szCs w:val="21"/>
                      <w:lang w:eastAsia="zh-CN"/>
                    </w:rPr>
                    <w:t>有中文标识的紧急开门按钮</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警示装置</w:t>
                  </w: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停电或意外中断照射时声光报警</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Times New Roman" w:hAnsi="Times New Roman" w:cs="Times New Roman"/>
                      <w:b w:val="0"/>
                      <w:bCs/>
                      <w:color w:val="auto"/>
                      <w:sz w:val="21"/>
                      <w:szCs w:val="21"/>
                      <w:lang w:val="en-US" w:eastAsia="zh-CN"/>
                    </w:rPr>
                    <w:t>后装治疗室</w:t>
                  </w:r>
                  <w:r>
                    <w:rPr>
                      <w:rFonts w:hint="default" w:ascii="Times New Roman" w:hAnsi="Times New Roman" w:eastAsia="宋体" w:cs="Times New Roman"/>
                      <w:b w:val="0"/>
                      <w:bCs/>
                      <w:color w:val="auto"/>
                      <w:sz w:val="21"/>
                      <w:szCs w:val="21"/>
                    </w:rPr>
                    <w:t>电视监控对讲装置</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电离辐射警示标志和工作状态指示灯</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Cs w:val="21"/>
                    </w:rPr>
                    <w:t>1</w:t>
                  </w:r>
                  <w:r>
                    <w:rPr>
                      <w:rFonts w:hint="default" w:ascii="Times New Roman" w:hAnsi="Times New Roman" w:cs="Times New Roman"/>
                      <w:color w:val="auto"/>
                      <w:szCs w:val="21"/>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restart"/>
                  <w:tcBorders>
                    <w:top w:val="single" w:color="auto" w:sz="4" w:space="0"/>
                  </w:tcBorders>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w:t>
                  </w:r>
                </w:p>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设备</w:t>
                  </w:r>
                </w:p>
              </w:tc>
              <w:tc>
                <w:tcPr>
                  <w:tcW w:w="5961" w:type="dxa"/>
                  <w:tcBorders>
                    <w:top w:val="single" w:color="auto" w:sz="4" w:space="0"/>
                  </w:tcBorders>
                  <w:vAlign w:val="top"/>
                </w:tcPr>
                <w:p>
                  <w:pPr>
                    <w:keepNext w:val="0"/>
                    <w:keepLines w:val="0"/>
                    <w:suppressLineNumbers w:val="0"/>
                    <w:autoSpaceDE w:val="0"/>
                    <w:autoSpaceDN w:val="0"/>
                    <w:spacing w:before="0" w:beforeAutospacing="0" w:after="0" w:afterAutospacing="0"/>
                    <w:ind w:left="102" w:leftChars="0" w:right="-20" w:rightChars="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便携式辐射监测仪</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1#、2#、3#加速器治疗室、后装治疗室共用）</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lang w:val="en-US" w:eastAsia="zh-CN"/>
                    </w:rPr>
                    <w:t>共用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top"/>
                </w:tcPr>
                <w:p>
                  <w:pPr>
                    <w:keepNext w:val="0"/>
                    <w:keepLines w:val="0"/>
                    <w:suppressLineNumbers w:val="0"/>
                    <w:autoSpaceDE w:val="0"/>
                    <w:autoSpaceDN w:val="0"/>
                    <w:spacing w:before="0" w:beforeAutospacing="0" w:after="0" w:afterAutospacing="0"/>
                    <w:ind w:left="102" w:leftChars="0" w:right="-20" w:rightChars="0"/>
                    <w:jc w:val="center"/>
                    <w:rPr>
                      <w:rFonts w:hint="eastAsia" w:ascii="宋体" w:hAnsi="宋体" w:eastAsia="宋体" w:cs="宋体"/>
                      <w:color w:val="auto"/>
                      <w:sz w:val="21"/>
                      <w:szCs w:val="21"/>
                    </w:rPr>
                  </w:pPr>
                  <w:r>
                    <w:rPr>
                      <w:rFonts w:hint="eastAsia" w:ascii="Times New Roman" w:hAnsi="Times New Roman" w:cs="Times New Roman"/>
                      <w:color w:val="auto"/>
                      <w:sz w:val="21"/>
                      <w:szCs w:val="21"/>
                      <w:lang w:val="en-US" w:eastAsia="zh-CN"/>
                    </w:rPr>
                    <w:t>后装治疗室</w:t>
                  </w:r>
                  <w:r>
                    <w:rPr>
                      <w:rFonts w:hint="default" w:ascii="Times New Roman" w:hAnsi="Times New Roman" w:eastAsia="宋体" w:cs="Times New Roman"/>
                      <w:color w:val="auto"/>
                      <w:sz w:val="21"/>
                      <w:szCs w:val="21"/>
                    </w:rPr>
                    <w:t>内固定式剂量</w:t>
                  </w:r>
                  <w:r>
                    <w:rPr>
                      <w:rFonts w:hint="default" w:ascii="Times New Roman" w:hAnsi="Times New Roman" w:eastAsia="宋体" w:cs="Times New Roman"/>
                      <w:color w:val="auto"/>
                      <w:sz w:val="21"/>
                      <w:szCs w:val="21"/>
                      <w:lang w:val="en-US" w:eastAsia="zh-CN"/>
                    </w:rPr>
                    <w:t>监测</w:t>
                  </w:r>
                  <w:r>
                    <w:rPr>
                      <w:rFonts w:hint="default" w:ascii="Times New Roman" w:hAnsi="Times New Roman" w:eastAsia="宋体" w:cs="Times New Roman"/>
                      <w:color w:val="auto"/>
                      <w:sz w:val="21"/>
                      <w:szCs w:val="21"/>
                    </w:rPr>
                    <w:t>仪</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default" w:ascii="Times New Roman" w:hAnsi="Times New Roman" w:cs="Times New Roman"/>
                      <w:color w:val="auto"/>
                      <w:sz w:val="21"/>
                      <w:szCs w:val="21"/>
                      <w:lang w:val="en-US" w:eastAsia="zh-CN"/>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top"/>
                </w:tcPr>
                <w:p>
                  <w:pPr>
                    <w:keepNext w:val="0"/>
                    <w:keepLines w:val="0"/>
                    <w:suppressLineNumbers w:val="0"/>
                    <w:autoSpaceDE w:val="0"/>
                    <w:autoSpaceDN w:val="0"/>
                    <w:spacing w:before="0" w:beforeAutospacing="0" w:after="0" w:afterAutospacing="0"/>
                    <w:ind w:left="102" w:leftChars="0" w:right="-20" w:rightChars="0"/>
                    <w:jc w:val="center"/>
                    <w:rPr>
                      <w:rFonts w:hint="eastAsia" w:ascii="Times New Roman" w:hAnsi="Times New Roman" w:cs="Times New Roman"/>
                      <w:color w:val="auto"/>
                      <w:sz w:val="21"/>
                      <w:szCs w:val="21"/>
                      <w:lang w:val="en-US" w:eastAsia="zh-CN"/>
                    </w:rPr>
                  </w:pPr>
                  <w:r>
                    <w:rPr>
                      <w:rFonts w:hint="eastAsia"/>
                      <w:color w:val="auto"/>
                      <w:lang w:val="en-US" w:eastAsia="zh-CN"/>
                    </w:rPr>
                    <w:t>后装机放射源在线监控系统</w:t>
                  </w:r>
                </w:p>
              </w:tc>
              <w:tc>
                <w:tcPr>
                  <w:tcW w:w="1308" w:type="dxa"/>
                  <w:tcBorders>
                    <w:top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default" w:ascii="Times New Roman" w:hAnsi="Times New Roman" w:eastAsia="宋体" w:cs="Times New Roman"/>
                      <w:b w:val="0"/>
                      <w:bCs/>
                      <w:color w:val="auto"/>
                      <w:sz w:val="21"/>
                      <w:szCs w:val="21"/>
                    </w:rPr>
                    <w:t>个人剂量报警仪</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highlight w:val="green"/>
                    </w:rPr>
                  </w:pPr>
                  <w:r>
                    <w:rPr>
                      <w:rFonts w:hint="eastAsia" w:ascii="Times New Roman" w:hAnsi="Times New Roman" w:cs="Times New Roman"/>
                      <w:color w:val="auto"/>
                      <w:szCs w:val="21"/>
                      <w:lang w:val="en-US" w:eastAsia="zh-CN"/>
                    </w:rPr>
                    <w:t>8</w:t>
                  </w:r>
                  <w:r>
                    <w:rPr>
                      <w:rFonts w:hint="default" w:ascii="Times New Roman" w:hAnsi="Times New Roman" w:eastAsia="宋体" w:cs="Times New Roman"/>
                      <w:color w:val="auto"/>
                      <w:szCs w:val="21"/>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29" w:type="dxa"/>
                  <w:vMerge w:val="continue"/>
                  <w:vAlign w:val="center"/>
                </w:tcPr>
                <w:p>
                  <w:pPr>
                    <w:keepNext w:val="0"/>
                    <w:keepLines w:val="0"/>
                    <w:suppressLineNumbers w:val="0"/>
                    <w:tabs>
                      <w:tab w:val="left" w:pos="1320"/>
                    </w:tabs>
                    <w:spacing w:before="0" w:beforeAutospacing="0" w:after="0" w:afterAutospacing="0"/>
                    <w:ind w:left="0" w:right="0"/>
                    <w:jc w:val="center"/>
                    <w:rPr>
                      <w:rFonts w:hint="eastAsia" w:ascii="宋体" w:hAnsi="宋体" w:eastAsia="宋体" w:cs="宋体"/>
                      <w:color w:val="auto"/>
                      <w:sz w:val="21"/>
                      <w:szCs w:val="21"/>
                    </w:rPr>
                  </w:pPr>
                </w:p>
              </w:tc>
              <w:tc>
                <w:tcPr>
                  <w:tcW w:w="5961" w:type="dxa"/>
                  <w:tcBorders>
                    <w:top w:val="single" w:color="auto" w:sz="4" w:space="0"/>
                  </w:tcBorders>
                  <w:vAlign w:val="center"/>
                </w:tcPr>
                <w:p>
                  <w:pPr>
                    <w:pStyle w:val="28"/>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sz w:val="21"/>
                      <w:szCs w:val="21"/>
                    </w:rPr>
                  </w:pPr>
                  <w:r>
                    <w:rPr>
                      <w:rFonts w:hint="default" w:ascii="Times New Roman" w:hAnsi="Times New Roman" w:eastAsia="宋体" w:cs="Times New Roman"/>
                      <w:b w:val="0"/>
                      <w:bCs/>
                      <w:color w:val="auto"/>
                      <w:sz w:val="21"/>
                      <w:szCs w:val="21"/>
                    </w:rPr>
                    <w:t>个人剂量计</w:t>
                  </w:r>
                </w:p>
              </w:tc>
              <w:tc>
                <w:tcPr>
                  <w:tcW w:w="1308" w:type="dxa"/>
                  <w:tcBorders>
                    <w:top w:val="single" w:color="auto" w:sz="4" w:space="0"/>
                  </w:tcBorders>
                  <w:vAlign w:val="center"/>
                </w:tcPr>
                <w:p>
                  <w:pPr>
                    <w:keepNext w:val="0"/>
                    <w:keepLines w:val="0"/>
                    <w:suppressLineNumbers w:val="0"/>
                    <w:tabs>
                      <w:tab w:val="left" w:pos="1320"/>
                    </w:tabs>
                    <w:spacing w:before="0" w:beforeAutospacing="0" w:after="0" w:afterAutospacing="0"/>
                    <w:ind w:left="0" w:leftChars="0" w:right="0" w:rightChars="0"/>
                    <w:jc w:val="center"/>
                    <w:rPr>
                      <w:rFonts w:hint="eastAsia" w:ascii="宋体" w:hAnsi="宋体" w:eastAsia="宋体" w:cs="宋体"/>
                      <w:color w:val="auto"/>
                      <w:sz w:val="21"/>
                      <w:szCs w:val="21"/>
                      <w:highlight w:val="green"/>
                    </w:rPr>
                  </w:pPr>
                  <w:r>
                    <w:rPr>
                      <w:rFonts w:hint="eastAsia" w:ascii="Times New Roman" w:hAnsi="Times New Roman" w:cs="Times New Roman"/>
                      <w:color w:val="auto"/>
                      <w:szCs w:val="21"/>
                      <w:lang w:val="en-US" w:eastAsia="zh-CN"/>
                    </w:rPr>
                    <w:t>8</w:t>
                  </w:r>
                  <w:r>
                    <w:rPr>
                      <w:rFonts w:hint="default" w:ascii="Times New Roman" w:hAnsi="Times New Roman" w:eastAsia="宋体" w:cs="Times New Roman"/>
                      <w:color w:val="auto"/>
                      <w:szCs w:val="21"/>
                    </w:rPr>
                    <w:t>套</w:t>
                  </w:r>
                </w:p>
              </w:tc>
            </w:tr>
          </w:tbl>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p>
            <w:pPr>
              <w:pStyle w:val="35"/>
              <w:keepNext/>
              <w:keepLines w:val="0"/>
              <w:suppressLineNumbers w:val="0"/>
              <w:spacing w:before="0" w:beforeAutospacing="0" w:after="0" w:afterAutospacing="0" w:line="360" w:lineRule="auto"/>
              <w:ind w:left="0" w:leftChars="0" w:right="0" w:firstLine="0" w:firstLineChars="0"/>
              <w:rPr>
                <w:rFonts w:hint="eastAsia" w:ascii="Times New Roman" w:hAnsi="Times New Roman" w:eastAsia="宋体"/>
                <w:color w:val="auto"/>
                <w:kern w:val="0"/>
                <w:sz w:val="24"/>
                <w:lang w:eastAsia="zh-CN"/>
              </w:rPr>
            </w:pPr>
          </w:p>
          <w:p>
            <w:pPr>
              <w:pStyle w:val="35"/>
              <w:keepNext/>
              <w:keepLines w:val="0"/>
              <w:suppressLineNumbers w:val="0"/>
              <w:spacing w:before="0" w:beforeAutospacing="0" w:after="0" w:afterAutospacing="0" w:line="360" w:lineRule="auto"/>
              <w:ind w:left="0" w:leftChars="0" w:right="0" w:firstLine="0" w:firstLineChars="0"/>
              <w:rPr>
                <w:rFonts w:hint="eastAsia" w:ascii="Times New Roman" w:hAnsi="Times New Roman" w:eastAsia="宋体"/>
                <w:color w:val="auto"/>
                <w:kern w:val="0"/>
                <w:sz w:val="24"/>
                <w:lang w:eastAsia="zh-CN"/>
              </w:rPr>
            </w:pPr>
          </w:p>
          <w:p>
            <w:pPr>
              <w:pStyle w:val="35"/>
              <w:keepNext/>
              <w:keepLines w:val="0"/>
              <w:suppressLineNumbers w:val="0"/>
              <w:spacing w:before="0" w:beforeAutospacing="0" w:after="0" w:afterAutospacing="0" w:line="360" w:lineRule="auto"/>
              <w:ind w:left="0" w:leftChars="0" w:right="0" w:firstLine="0" w:firstLineChars="0"/>
              <w:rPr>
                <w:rFonts w:hint="eastAsia" w:ascii="Times New Roman" w:hAnsi="Times New Roman" w:eastAsia="宋体"/>
                <w:color w:val="auto"/>
                <w:kern w:val="0"/>
                <w:sz w:val="24"/>
                <w:lang w:eastAsia="zh-CN"/>
              </w:rPr>
            </w:pPr>
          </w:p>
          <w:p>
            <w:pPr>
              <w:pStyle w:val="35"/>
              <w:keepNext/>
              <w:keepLines w:val="0"/>
              <w:suppressLineNumbers w:val="0"/>
              <w:spacing w:before="0" w:beforeAutospacing="0" w:after="0" w:afterAutospacing="0" w:line="360" w:lineRule="auto"/>
              <w:ind w:left="0" w:leftChars="0" w:right="0" w:firstLine="0" w:firstLineChars="0"/>
              <w:rPr>
                <w:rFonts w:hint="eastAsia" w:ascii="Times New Roman" w:hAnsi="Times New Roman" w:eastAsia="宋体"/>
                <w:color w:val="auto"/>
                <w:kern w:val="0"/>
                <w:sz w:val="24"/>
                <w:lang w:eastAsia="zh-CN"/>
              </w:rPr>
            </w:pPr>
          </w:p>
          <w:p>
            <w:pPr>
              <w:pStyle w:val="35"/>
              <w:keepNext/>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6" w:hRule="atLeast"/>
        </w:trPr>
        <w:tc>
          <w:tcPr>
            <w:tcW w:w="8522" w:type="dxa"/>
          </w:tcPr>
          <w:p>
            <w:pPr>
              <w:pStyle w:val="28"/>
              <w:keepNext w:val="0"/>
              <w:keepLines w:val="0"/>
              <w:suppressLineNumbers w:val="0"/>
              <w:spacing w:before="0" w:beforeAutospacing="0" w:after="0" w:afterAutospacing="0" w:line="360" w:lineRule="auto"/>
              <w:ind w:left="0" w:right="0"/>
              <w:rPr>
                <w:rFonts w:hint="default" w:ascii="Times New Roman" w:hAnsi="Times New Roman" w:eastAsia="黑体"/>
                <w:b w:val="0"/>
                <w:bCs w:val="0"/>
                <w:color w:val="auto"/>
                <w:sz w:val="28"/>
                <w:szCs w:val="28"/>
                <w:lang w:val="en-US" w:eastAsia="zh-CN"/>
              </w:rPr>
            </w:pPr>
            <w:r>
              <w:rPr>
                <w:rFonts w:hint="eastAsia" w:ascii="Times New Roman" w:hAnsi="Times New Roman" w:eastAsia="黑体"/>
                <w:b w:val="0"/>
                <w:bCs w:val="0"/>
                <w:color w:val="auto"/>
                <w:sz w:val="28"/>
                <w:szCs w:val="28"/>
                <w:lang w:val="en-US" w:eastAsia="zh-CN"/>
              </w:rPr>
              <w:t>建议和承诺</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olor w:val="auto"/>
                <w:sz w:val="24"/>
              </w:rPr>
            </w:pPr>
            <w:r>
              <w:rPr>
                <w:rFonts w:hint="eastAsia" w:ascii="Times New Roman" w:hAnsi="Times New Roman"/>
                <w:color w:val="auto"/>
                <w:sz w:val="24"/>
                <w:lang w:val="en-US" w:eastAsia="zh-CN"/>
              </w:rPr>
              <w:t>1</w:t>
            </w:r>
            <w:r>
              <w:rPr>
                <w:rFonts w:hint="default" w:ascii="Times New Roman" w:hAnsi="Times New Roman"/>
                <w:color w:val="auto"/>
                <w:sz w:val="24"/>
              </w:rPr>
              <w:t>、落实本报告中的各项辐射防护措施和安全管理制度</w:t>
            </w:r>
            <w:r>
              <w:rPr>
                <w:rFonts w:hint="eastAsia" w:ascii="Times New Roman" w:hAnsi="Times New Roman"/>
                <w:color w:val="auto"/>
                <w:sz w:val="24"/>
                <w:lang w:eastAsia="zh-CN"/>
              </w:rPr>
              <w:t>，</w:t>
            </w:r>
            <w:r>
              <w:rPr>
                <w:rFonts w:hint="eastAsia" w:ascii="Times New Roman" w:hAnsi="Times New Roman"/>
                <w:color w:val="auto"/>
                <w:sz w:val="24"/>
                <w:lang w:val="en-US" w:eastAsia="zh-CN"/>
              </w:rPr>
              <w:t>严格落实</w:t>
            </w:r>
            <w:r>
              <w:rPr>
                <w:rFonts w:hint="default" w:ascii="Times New Roman" w:hAnsi="Times New Roman"/>
                <w:color w:val="auto"/>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olor w:val="auto"/>
                <w:sz w:val="24"/>
              </w:rPr>
            </w:pPr>
            <w:r>
              <w:rPr>
                <w:rFonts w:hint="eastAsia" w:ascii="Times New Roman" w:hAnsi="Times New Roman"/>
                <w:color w:val="auto"/>
                <w:sz w:val="24"/>
                <w:lang w:val="en-US" w:eastAsia="zh-CN"/>
              </w:rPr>
              <w:t>2</w:t>
            </w:r>
            <w:r>
              <w:rPr>
                <w:rFonts w:hint="default" w:ascii="Times New Roman" w:hAnsi="Times New Roman"/>
                <w:color w:val="auto"/>
                <w:sz w:val="24"/>
              </w:rPr>
              <w:t>、每年要对射线装置使用情况进行年度评估，每年1月31日前将评估结果报送</w:t>
            </w:r>
            <w:r>
              <w:rPr>
                <w:rFonts w:hint="eastAsia" w:ascii="Times New Roman" w:hAnsi="Times New Roman"/>
                <w:color w:val="auto"/>
                <w:sz w:val="24"/>
                <w:lang w:eastAsia="zh-CN"/>
              </w:rPr>
              <w:t>省生态环境厅</w:t>
            </w:r>
            <w:r>
              <w:rPr>
                <w:rFonts w:hint="default" w:ascii="Times New Roman" w:hAnsi="Times New Roman"/>
                <w:color w:val="auto"/>
                <w:sz w:val="24"/>
              </w:rPr>
              <w:t>和当地</w:t>
            </w:r>
            <w:r>
              <w:rPr>
                <w:rFonts w:hint="eastAsia" w:ascii="Times New Roman" w:hAnsi="Times New Roman"/>
                <w:color w:val="auto"/>
                <w:sz w:val="24"/>
                <w:lang w:eastAsia="zh-CN"/>
              </w:rPr>
              <w:t>生态环境部门</w:t>
            </w:r>
            <w:r>
              <w:rPr>
                <w:rFonts w:hint="default" w:ascii="Times New Roman" w:hAnsi="Times New Roman"/>
                <w:color w:val="auto"/>
                <w:sz w:val="24"/>
              </w:rPr>
              <w:t>，安全和防护状况年度评估报告要按照《四川省核技术利用单位放射性同位素与射线装置</w:t>
            </w:r>
            <w:bookmarkStart w:id="74" w:name="_Toc459894594"/>
            <w:r>
              <w:rPr>
                <w:rFonts w:hint="default" w:ascii="Times New Roman" w:hAnsi="Times New Roman"/>
                <w:color w:val="auto"/>
                <w:sz w:val="24"/>
              </w:rPr>
              <w:t>安全和防护状况年度评估报告</w:t>
            </w:r>
            <w:bookmarkEnd w:id="74"/>
            <w:r>
              <w:rPr>
                <w:rFonts w:hint="default" w:ascii="Times New Roman" w:hAnsi="Times New Roman"/>
                <w:color w:val="auto"/>
                <w:sz w:val="24"/>
              </w:rPr>
              <w:t>》固定的格式进行编制；并且年度评估报告的电子档还应上传至全国核技术利用辐射安全申报系统（网址：</w:t>
            </w:r>
            <w:r>
              <w:rPr>
                <w:rFonts w:hint="default" w:ascii="Times New Roman" w:hAnsi="Times New Roman"/>
                <w:color w:val="auto"/>
                <w:sz w:val="24"/>
                <w:shd w:val="clear" w:color="auto" w:fill="FFFFFF"/>
              </w:rPr>
              <w:fldChar w:fldCharType="begin"/>
            </w:r>
            <w:r>
              <w:rPr>
                <w:rFonts w:hint="default" w:ascii="Times New Roman" w:hAnsi="Times New Roman"/>
                <w:color w:val="auto"/>
                <w:sz w:val="24"/>
                <w:shd w:val="clear" w:color="auto" w:fill="FFFFFF"/>
              </w:rPr>
              <w:instrText xml:space="preserve"> HYPERLINK "http://rr.mee.gov.cn）。" </w:instrText>
            </w:r>
            <w:r>
              <w:rPr>
                <w:rFonts w:hint="default" w:ascii="Times New Roman" w:hAnsi="Times New Roman"/>
                <w:color w:val="auto"/>
                <w:sz w:val="24"/>
                <w:shd w:val="clear" w:color="auto" w:fill="FFFFFF"/>
              </w:rPr>
              <w:fldChar w:fldCharType="separate"/>
            </w:r>
            <w:r>
              <w:rPr>
                <w:rStyle w:val="22"/>
                <w:rFonts w:hint="default" w:ascii="Times New Roman" w:hAnsi="Times New Roman"/>
                <w:color w:val="auto"/>
                <w:sz w:val="24"/>
                <w:shd w:val="clear" w:color="auto" w:fill="FFFFFF"/>
              </w:rPr>
              <w:t>http://rr.mee.gov.cn</w:t>
            </w:r>
            <w:r>
              <w:rPr>
                <w:rStyle w:val="22"/>
                <w:rFonts w:hint="default" w:ascii="Times New Roman" w:hAnsi="Times New Roman"/>
                <w:color w:val="auto"/>
                <w:sz w:val="24"/>
              </w:rPr>
              <w:t>）。</w:t>
            </w:r>
            <w:r>
              <w:rPr>
                <w:rFonts w:hint="default" w:ascii="Times New Roman" w:hAnsi="Times New Roman"/>
                <w:color w:val="auto"/>
                <w:sz w:val="24"/>
                <w:shd w:val="clear" w:color="auto" w:fill="FFFFFF"/>
              </w:rPr>
              <w:fldChar w:fldCharType="end"/>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、医院在</w:t>
            </w:r>
            <w:r>
              <w:rPr>
                <w:rFonts w:hint="eastAsia" w:ascii="Times New Roman" w:hAnsi="Times New Roman" w:cs="Times New Roman"/>
                <w:color w:val="auto"/>
                <w:sz w:val="24"/>
                <w:lang w:eastAsia="zh-CN"/>
              </w:rPr>
              <w:t>申请</w:t>
            </w:r>
            <w:r>
              <w:rPr>
                <w:rFonts w:hint="default" w:ascii="Times New Roman" w:hAnsi="Times New Roman" w:cs="Times New Roman"/>
                <w:color w:val="auto"/>
                <w:sz w:val="24"/>
              </w:rPr>
              <w:t>辐射安全许可证</w:t>
            </w:r>
            <w:r>
              <w:rPr>
                <w:rFonts w:hint="eastAsia" w:ascii="Times New Roman" w:hAnsi="Times New Roman" w:cs="Times New Roman"/>
                <w:color w:val="auto"/>
                <w:sz w:val="24"/>
                <w:lang w:val="en-US" w:eastAsia="zh-CN"/>
              </w:rPr>
              <w:t>变更</w:t>
            </w:r>
            <w:r>
              <w:rPr>
                <w:rFonts w:hint="default" w:ascii="Times New Roman" w:hAnsi="Times New Roman" w:cs="Times New Roman"/>
                <w:color w:val="auto"/>
                <w:sz w:val="24"/>
              </w:rPr>
              <w:t>前，需登录全国核技术利用辐射安全申报系统（网址：</w:t>
            </w:r>
            <w:r>
              <w:rPr>
                <w:rFonts w:hint="default" w:ascii="Times New Roman" w:hAnsi="Times New Roman" w:cs="Times New Roman"/>
                <w:color w:val="auto"/>
                <w:sz w:val="24"/>
                <w:shd w:val="clear" w:color="auto" w:fill="FFFFFF"/>
              </w:rPr>
              <w:t>http://rr.mee.gov.cn</w:t>
            </w:r>
            <w:r>
              <w:rPr>
                <w:rFonts w:hint="default" w:ascii="Times New Roman" w:hAnsi="Times New Roman" w:cs="Times New Roman"/>
                <w:color w:val="auto"/>
                <w:sz w:val="24"/>
              </w:rPr>
              <w:t>），对相关信息进行修改。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bCs/>
                <w:color w:val="auto"/>
                <w:sz w:val="24"/>
              </w:rPr>
            </w:pP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、本次环评仅</w:t>
            </w:r>
            <w:r>
              <w:rPr>
                <w:rFonts w:hint="eastAsia" w:ascii="Times New Roman" w:hAnsi="Times New Roman" w:cs="Times New Roman"/>
                <w:color w:val="auto"/>
                <w:sz w:val="24"/>
                <w:lang w:val="en-US" w:eastAsia="zh-CN"/>
              </w:rPr>
              <w:t>对本项目</w:t>
            </w:r>
            <w:r>
              <w:rPr>
                <w:rFonts w:hint="default" w:ascii="Times New Roman" w:hAnsi="Times New Roman" w:cs="Times New Roman"/>
                <w:color w:val="auto"/>
                <w:sz w:val="24"/>
              </w:rPr>
              <w:t>工作场所</w:t>
            </w:r>
            <w:r>
              <w:rPr>
                <w:rFonts w:hint="eastAsia" w:ascii="Times New Roman" w:hAnsi="Times New Roman" w:cs="Times New Roman"/>
                <w:color w:val="auto"/>
                <w:sz w:val="24"/>
                <w:lang w:val="en-US" w:eastAsia="zh-CN"/>
              </w:rPr>
              <w:t>进行评价</w:t>
            </w:r>
            <w:r>
              <w:rPr>
                <w:rFonts w:hint="default" w:ascii="Times New Roman" w:hAnsi="Times New Roman" w:cs="Times New Roman"/>
                <w:color w:val="auto"/>
                <w:sz w:val="24"/>
              </w:rPr>
              <w:t>，日后如有变化，应另作环境影响评价。</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lang w:val="en-US" w:eastAsia="zh-CN"/>
              </w:rPr>
            </w:pPr>
            <w:r>
              <w:rPr>
                <w:rFonts w:hint="eastAsia" w:ascii="Times New Roman" w:hAnsi="Times New Roman"/>
                <w:color w:val="auto"/>
                <w:sz w:val="24"/>
                <w:lang w:val="en-US" w:eastAsia="zh-CN"/>
              </w:rPr>
              <w:t>5</w:t>
            </w:r>
            <w:r>
              <w:rPr>
                <w:rFonts w:hint="default" w:ascii="Times New Roman" w:hAnsi="Times New Roman"/>
                <w:color w:val="auto"/>
                <w:sz w:val="24"/>
              </w:rPr>
              <w:t>、</w:t>
            </w:r>
            <w:r>
              <w:rPr>
                <w:rFonts w:hint="default"/>
                <w:color w:val="auto"/>
                <w:sz w:val="24"/>
              </w:rPr>
              <w:t>射线装置在报废处置时，应当对射线装置内的高压射线管进行拆解和去功能化。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eastAsia" w:ascii="Times New Roman" w:hAnsi="Times New Roman"/>
                <w:color w:val="auto"/>
                <w:sz w:val="24"/>
                <w:lang w:val="en-US" w:eastAsia="zh-CN"/>
              </w:rPr>
              <w:t>6</w:t>
            </w:r>
            <w:r>
              <w:rPr>
                <w:rFonts w:hint="default" w:ascii="Times New Roman" w:hAnsi="Times New Roman"/>
                <w:color w:val="auto"/>
                <w:sz w:val="24"/>
              </w:rPr>
              <w:t xml:space="preserve">、根据《建设项目环境保护管理条例》（国务院令第682号，2017年10月1日实施）文件第十七条规定：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（1）编制环境影响报告表的建设项目竣工后，建设单位应当按照国务院</w:t>
            </w:r>
            <w:r>
              <w:rPr>
                <w:rFonts w:hint="eastAsia" w:ascii="Times New Roman" w:hAnsi="Times New Roman"/>
                <w:color w:val="auto"/>
                <w:sz w:val="24"/>
                <w:lang w:eastAsia="zh-CN"/>
              </w:rPr>
              <w:t>生态环境行政主管部门</w:t>
            </w:r>
            <w:r>
              <w:rPr>
                <w:rFonts w:hint="default" w:ascii="Times New Roman" w:hAnsi="Times New Roman"/>
                <w:color w:val="auto"/>
                <w:sz w:val="24"/>
              </w:rPr>
              <w:t xml:space="preserve">规定的标准和程序，对配套建设的环境保护设施进行验收，编制验收报告。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 xml:space="preserve">（2）建设单位在环境保护设施验收过程中，应当如实查验、监测、记载建设项目环境保护设施的建设和调试情况，不得弄虚作假。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 xml:space="preserve">（3）除按照国家规定需要保密的情形外，建设单位应当依法向社会公开验收报告。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eastAsia" w:ascii="Times New Roman" w:hAnsi="Times New Roman"/>
                <w:color w:val="auto"/>
                <w:sz w:val="24"/>
                <w:lang w:val="en-US" w:eastAsia="zh-CN"/>
              </w:rPr>
              <w:t>7</w:t>
            </w:r>
            <w:r>
              <w:rPr>
                <w:rFonts w:hint="default" w:ascii="Times New Roman" w:hAnsi="Times New Roman"/>
                <w:color w:val="auto"/>
                <w:sz w:val="24"/>
              </w:rPr>
              <w:t>、根据</w:t>
            </w:r>
            <w:r>
              <w:rPr>
                <w:rFonts w:hint="eastAsia" w:ascii="Times New Roman" w:hAnsi="Times New Roman"/>
                <w:color w:val="auto"/>
                <w:sz w:val="24"/>
                <w:lang w:val="en-US" w:eastAsia="zh-CN"/>
              </w:rPr>
              <w:t>原</w:t>
            </w:r>
            <w:r>
              <w:rPr>
                <w:rFonts w:hint="default" w:ascii="Times New Roman" w:hAnsi="Times New Roman"/>
                <w:color w:val="auto"/>
                <w:sz w:val="24"/>
              </w:rPr>
              <w:t xml:space="preserve">环保部《建设项目竣工环境保护验收暂行办法》（国环规环评（2017）4号）规定：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（1）建设单位可登陆</w:t>
            </w:r>
            <w:r>
              <w:rPr>
                <w:rFonts w:hint="eastAsia" w:ascii="Times New Roman" w:hAnsi="Times New Roman"/>
                <w:color w:val="auto"/>
                <w:sz w:val="24"/>
                <w:lang w:val="en-US" w:eastAsia="zh-CN"/>
              </w:rPr>
              <w:t>生态环境部</w:t>
            </w:r>
            <w:r>
              <w:rPr>
                <w:rFonts w:hint="default" w:ascii="Times New Roman" w:hAnsi="Times New Roman"/>
                <w:color w:val="auto"/>
                <w:sz w:val="24"/>
              </w:rPr>
              <w:t xml:space="preserve">网站查询建设项目竣工环境保护验收相关技术规范（http://kjs.mee.gov.cn/hjbhbz/bzwb/other）。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 xml:space="preserve">（2）项目竣工后，建设单位应当如实查验、监测、记载建设项目环境保护设施的建设和调试情况，编制验收监测（调查）报告。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 xml:space="preserve">（3）本项目配套建设的环境保护设施经验收合格后，方可投入使用，未经验收或者验收不合格的，不得投入生产或者使用。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（4）除按照国家需要保密的情形外，建设单位应当通过其网站或其他便于公众知晓的方式，向社会公开下列信息：</w:t>
            </w:r>
          </w:p>
          <w:p>
            <w:pPr>
              <w:keepNext w:val="0"/>
              <w:keepLines w:val="0"/>
              <w:suppressLineNumbers w:val="0"/>
              <w:spacing w:before="0" w:beforeAutospacing="0" w:after="0" w:afterAutospacing="0" w:line="360" w:lineRule="auto"/>
              <w:ind w:left="0" w:right="0" w:firstLine="480" w:firstLineChars="200"/>
              <w:rPr>
                <w:rFonts w:hint="default"/>
                <w:color w:val="auto"/>
              </w:rPr>
            </w:pPr>
            <w:r>
              <w:rPr>
                <w:rFonts w:hint="default" w:ascii="Times New Roman" w:hAnsi="Times New Roman"/>
                <w:color w:val="auto"/>
                <w:sz w:val="24"/>
              </w:rPr>
              <w:t>①本项目配套建设的环境保护设施竣工后，</w:t>
            </w:r>
            <w:r>
              <w:rPr>
                <w:rFonts w:hint="eastAsia" w:ascii="Times New Roman" w:hAnsi="Times New Roman"/>
                <w:color w:val="auto"/>
                <w:sz w:val="24"/>
                <w:lang w:eastAsia="zh-CN"/>
              </w:rPr>
              <w:t>及时办理《辐射安全许可证》，并在取得《辐射安全许可证》</w:t>
            </w:r>
            <w:r>
              <w:rPr>
                <w:rFonts w:hint="eastAsia" w:ascii="Times New Roman" w:hAnsi="Times New Roman"/>
                <w:color w:val="auto"/>
                <w:sz w:val="24"/>
                <w:lang w:val="en-US" w:eastAsia="zh-CN"/>
              </w:rPr>
              <w:t>3</w:t>
            </w:r>
            <w:r>
              <w:rPr>
                <w:rFonts w:hint="default" w:ascii="Times New Roman" w:hAnsi="Times New Roman"/>
                <w:color w:val="auto"/>
                <w:sz w:val="24"/>
              </w:rPr>
              <w:t>个月内完成</w:t>
            </w:r>
            <w:r>
              <w:rPr>
                <w:rFonts w:hint="eastAsia" w:ascii="Times New Roman" w:hAnsi="Times New Roman"/>
                <w:color w:val="auto"/>
                <w:sz w:val="24"/>
                <w:lang w:eastAsia="zh-CN"/>
              </w:rPr>
              <w:t>本</w:t>
            </w:r>
            <w:r>
              <w:rPr>
                <w:rFonts w:hint="default" w:ascii="Times New Roman" w:hAnsi="Times New Roman"/>
                <w:color w:val="auto"/>
                <w:sz w:val="24"/>
              </w:rPr>
              <w:t>项目自主验收；②对项目配套建设的环境保护设施进行调试前，公开和项目竣工时间和调试的起止日期；③验收报告编制完成后5个工作日内，公开验收报告，公示的期限不得少于20个工作日。 建设单位公开上述信息的同时，应当在建设项目环境影响评价信息平台（http://114.251.10.205 /#/pub-message）中备案，且向项目所在地</w:t>
            </w:r>
            <w:r>
              <w:rPr>
                <w:rFonts w:hint="eastAsia" w:ascii="Times New Roman" w:hAnsi="Times New Roman"/>
                <w:color w:val="auto"/>
                <w:sz w:val="24"/>
                <w:lang w:val="en-US" w:eastAsia="zh-CN"/>
              </w:rPr>
              <w:t>生态环境</w:t>
            </w:r>
            <w:r>
              <w:rPr>
                <w:rFonts w:hint="default" w:ascii="Times New Roman" w:hAnsi="Times New Roman"/>
                <w:color w:val="auto"/>
                <w:sz w:val="24"/>
              </w:rPr>
              <w:t>主管部门报送相关信息，并接受监督检查。</w:t>
            </w: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p>
            <w:pPr>
              <w:pStyle w:val="35"/>
              <w:keepNext/>
              <w:keepLines w:val="0"/>
              <w:suppressLineNumbers w:val="0"/>
              <w:spacing w:before="0" w:beforeAutospacing="0" w:after="0" w:afterAutospacing="0" w:line="360" w:lineRule="auto"/>
              <w:ind w:left="0" w:right="0" w:firstLine="0" w:firstLineChars="0"/>
              <w:rPr>
                <w:rFonts w:hint="default" w:ascii="Times New Roman" w:hAnsi="Times New Roman" w:eastAsia="宋体"/>
                <w:bCs/>
                <w:color w:val="auto"/>
                <w:sz w:val="24"/>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320"/>
        <w:tab w:val="right" w:pos="8640"/>
        <w:tab w:val="clear" w:pos="4153"/>
        <w:tab w:val="clear" w:pos="8306"/>
      </w:tabs>
      <w:rPr>
        <w:rStyle w:val="20"/>
      </w:rPr>
    </w:pPr>
  </w:p>
  <w:p>
    <w:pPr>
      <w:pStyle w:val="12"/>
      <w:tabs>
        <w:tab w:val="center" w:pos="4320"/>
        <w:tab w:val="right" w:pos="8640"/>
        <w:tab w:val="clear" w:pos="4153"/>
        <w:tab w:val="clear" w:pos="8306"/>
      </w:tabs>
      <w:rPr>
        <w:rStyle w:val="20"/>
      </w:rPr>
    </w:pPr>
  </w:p>
  <w:p>
    <w:pPr>
      <w:pStyle w:val="12"/>
      <w:tabs>
        <w:tab w:val="center" w:pos="4320"/>
        <w:tab w:val="right" w:pos="8640"/>
        <w:tab w:val="clear" w:pos="4153"/>
        <w:tab w:val="clear"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320"/>
        <w:tab w:val="right" w:pos="8640"/>
        <w:tab w:val="clear" w:pos="4153"/>
        <w:tab w:val="clear" w:pos="8306"/>
      </w:tabs>
      <w:rPr>
        <w:rStyle w:val="20"/>
      </w:rPr>
    </w:pPr>
  </w:p>
  <w:p>
    <w:pPr>
      <w:pStyle w:val="12"/>
      <w:tabs>
        <w:tab w:val="center" w:pos="4320"/>
        <w:tab w:val="right" w:pos="8640"/>
        <w:tab w:val="clear" w:pos="4153"/>
        <w:tab w:val="clear" w:pos="8306"/>
      </w:tabs>
      <w:rPr>
        <w:rStyle w:val="20"/>
      </w:rPr>
    </w:pPr>
  </w:p>
  <w:p>
    <w:pPr>
      <w:pStyle w:val="12"/>
      <w:tabs>
        <w:tab w:val="center" w:pos="4320"/>
        <w:tab w:val="right" w:pos="8640"/>
        <w:tab w:val="clear" w:pos="4153"/>
        <w:tab w:val="clear" w:pos="8306"/>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320"/>
        <w:tab w:val="right" w:pos="8640"/>
        <w:tab w:val="clear" w:pos="4153"/>
        <w:tab w:val="clear" w:pos="8306"/>
      </w:tabs>
      <w:rPr>
        <w:rStyle w:val="20"/>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PAGE  \* MERGEFORMAT </w:instrText>
                          </w:r>
                          <w:r>
                            <w:rPr>
                              <w:rFonts w:ascii="Times New Roman" w:hAnsi="Times New Roman"/>
                              <w:szCs w:val="21"/>
                            </w:rPr>
                            <w:fldChar w:fldCharType="separate"/>
                          </w:r>
                          <w:r>
                            <w:rPr>
                              <w:rFonts w:ascii="Times New Roman" w:hAnsi="Times New Roman"/>
                              <w:szCs w:val="21"/>
                            </w:rPr>
                            <w:t>29</w:t>
                          </w:r>
                          <w:r>
                            <w:rPr>
                              <w:rFonts w:ascii="Times New Roman" w:hAnsi="Times New Roman"/>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wCuE6AgAAcw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EcArhOgIAAHMEAAAOAAAAAAAAAAEAIAAAAB8BAABkcnMvZTJvRG9j&#10;LnhtbFBLBQYAAAAABgAGAFkBAADLBQAAAAA=&#10;">
              <v:fill on="f" focussize="0,0"/>
              <v:stroke on="f" weight="0.5pt"/>
              <v:imagedata o:title=""/>
              <o:lock v:ext="edit" aspectratio="f"/>
              <v:textbox inset="0mm,0mm,0mm,0mm" style="mso-fit-shape-to-text:t;">
                <w:txbxContent>
                  <w:p>
                    <w:pPr>
                      <w:snapToGrid w:val="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PAGE  \* MERGEFORMAT </w:instrText>
                    </w:r>
                    <w:r>
                      <w:rPr>
                        <w:rFonts w:ascii="Times New Roman" w:hAnsi="Times New Roman"/>
                        <w:szCs w:val="21"/>
                      </w:rPr>
                      <w:fldChar w:fldCharType="separate"/>
                    </w:r>
                    <w:r>
                      <w:rPr>
                        <w:rFonts w:ascii="Times New Roman" w:hAnsi="Times New Roman"/>
                        <w:szCs w:val="21"/>
                      </w:rPr>
                      <w:t>29</w:t>
                    </w:r>
                    <w:r>
                      <w:rPr>
                        <w:rFonts w:ascii="Times New Roman" w:hAnsi="Times New Roman"/>
                        <w:szCs w:val="21"/>
                      </w:rPr>
                      <w:fldChar w:fldCharType="end"/>
                    </w:r>
                  </w:p>
                </w:txbxContent>
              </v:textbox>
            </v:shape>
          </w:pict>
        </mc:Fallback>
      </mc:AlternateContent>
    </w:r>
  </w:p>
  <w:p>
    <w:pPr>
      <w:pStyle w:val="12"/>
      <w:tabs>
        <w:tab w:val="center" w:pos="4320"/>
        <w:tab w:val="right" w:pos="8640"/>
        <w:tab w:val="clear" w:pos="4153"/>
        <w:tab w:val="clear" w:pos="8306"/>
      </w:tabs>
      <w:rPr>
        <w:rStyle w:val="20"/>
      </w:rPr>
    </w:pPr>
  </w:p>
  <w:p>
    <w:pPr>
      <w:pStyle w:val="12"/>
      <w:tabs>
        <w:tab w:val="center" w:pos="4320"/>
        <w:tab w:val="right" w:pos="8640"/>
        <w:tab w:val="clear" w:pos="4153"/>
        <w:tab w:val="clear" w:pos="8306"/>
      </w:tabs>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49D263"/>
    <w:multiLevelType w:val="singleLevel"/>
    <w:tmpl w:val="8C49D263"/>
    <w:lvl w:ilvl="0" w:tentative="0">
      <w:start w:val="6"/>
      <w:numFmt w:val="decimal"/>
      <w:suff w:val="nothing"/>
      <w:lvlText w:val="%1、"/>
      <w:lvlJc w:val="left"/>
    </w:lvl>
  </w:abstractNum>
  <w:abstractNum w:abstractNumId="1">
    <w:nsid w:val="D255E023"/>
    <w:multiLevelType w:val="singleLevel"/>
    <w:tmpl w:val="D255E023"/>
    <w:lvl w:ilvl="0" w:tentative="0">
      <w:start w:val="2"/>
      <w:numFmt w:val="decimal"/>
      <w:suff w:val="nothing"/>
      <w:lvlText w:val="（%1）"/>
      <w:lvlJc w:val="left"/>
    </w:lvl>
  </w:abstractNum>
  <w:abstractNum w:abstractNumId="2">
    <w:nsid w:val="E7F02151"/>
    <w:multiLevelType w:val="singleLevel"/>
    <w:tmpl w:val="E7F02151"/>
    <w:lvl w:ilvl="0" w:tentative="0">
      <w:start w:val="1"/>
      <w:numFmt w:val="decimal"/>
      <w:suff w:val="nothing"/>
      <w:lvlText w:val="（%1）"/>
      <w:lvlJc w:val="left"/>
    </w:lvl>
  </w:abstractNum>
  <w:abstractNum w:abstractNumId="3">
    <w:nsid w:val="3FEE0B39"/>
    <w:multiLevelType w:val="singleLevel"/>
    <w:tmpl w:val="3FEE0B39"/>
    <w:lvl w:ilvl="0" w:tentative="0">
      <w:start w:val="1"/>
      <w:numFmt w:val="decimal"/>
      <w:suff w:val="nothing"/>
      <w:lvlText w:val="（%1）"/>
      <w:lvlJc w:val="left"/>
    </w:lvl>
  </w:abstractNum>
  <w:abstractNum w:abstractNumId="4">
    <w:nsid w:val="570C94AA"/>
    <w:multiLevelType w:val="singleLevel"/>
    <w:tmpl w:val="570C94AA"/>
    <w:lvl w:ilvl="0" w:tentative="0">
      <w:start w:val="1"/>
      <w:numFmt w:val="chineseCounting"/>
      <w:suff w:val="nothing"/>
      <w:lvlText w:val="（%1）"/>
      <w:lvlJc w:val="left"/>
    </w:lvl>
  </w:abstractNum>
  <w:abstractNum w:abstractNumId="5">
    <w:nsid w:val="574D3D2A"/>
    <w:multiLevelType w:val="singleLevel"/>
    <w:tmpl w:val="574D3D2A"/>
    <w:lvl w:ilvl="0" w:tentative="0">
      <w:start w:val="1"/>
      <w:numFmt w:val="decimal"/>
      <w:suff w:val="nothing"/>
      <w:lvlText w:val="（%1）"/>
      <w:lvlJc w:val="left"/>
    </w:lvl>
  </w:abstractNum>
  <w:abstractNum w:abstractNumId="6">
    <w:nsid w:val="57A4429B"/>
    <w:multiLevelType w:val="singleLevel"/>
    <w:tmpl w:val="57A4429B"/>
    <w:lvl w:ilvl="0" w:tentative="0">
      <w:start w:val="4"/>
      <w:numFmt w:val="chineseCounting"/>
      <w:suff w:val="nothing"/>
      <w:lvlText w:val="%1、"/>
      <w:lvlJc w:val="left"/>
    </w:lvl>
  </w:abstractNum>
  <w:num w:numId="1">
    <w:abstractNumId w:val="4"/>
  </w:num>
  <w:num w:numId="2">
    <w:abstractNumId w:val="5"/>
  </w:num>
  <w:num w:numId="3">
    <w:abstractNumId w:val="2"/>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BA14BF"/>
    <w:rsid w:val="065E4F2C"/>
    <w:rsid w:val="08413991"/>
    <w:rsid w:val="0B664612"/>
    <w:rsid w:val="10FD697D"/>
    <w:rsid w:val="13BA14BF"/>
    <w:rsid w:val="1B302B68"/>
    <w:rsid w:val="1C0457C7"/>
    <w:rsid w:val="2B8F7790"/>
    <w:rsid w:val="33EF5297"/>
    <w:rsid w:val="39166F10"/>
    <w:rsid w:val="423157ED"/>
    <w:rsid w:val="44CB24BD"/>
    <w:rsid w:val="48380579"/>
    <w:rsid w:val="4A962E9C"/>
    <w:rsid w:val="4ABB3824"/>
    <w:rsid w:val="4DEA2FD2"/>
    <w:rsid w:val="4FCB5718"/>
    <w:rsid w:val="57924F5A"/>
    <w:rsid w:val="5AA50F34"/>
    <w:rsid w:val="655317EF"/>
    <w:rsid w:val="66CA0F9B"/>
    <w:rsid w:val="692E40A7"/>
    <w:rsid w:val="70686093"/>
    <w:rsid w:val="76451D15"/>
    <w:rsid w:val="7BF26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240" w:after="120"/>
      <w:outlineLvl w:val="0"/>
    </w:pPr>
    <w:rPr>
      <w:b/>
      <w:sz w:val="44"/>
    </w:rPr>
  </w:style>
  <w:style w:type="paragraph" w:styleId="4">
    <w:name w:val="heading 3"/>
    <w:basedOn w:val="1"/>
    <w:next w:val="1"/>
    <w:qFormat/>
    <w:uiPriority w:val="0"/>
    <w:pPr>
      <w:keepNext/>
      <w:keepLines/>
      <w:outlineLvl w:val="2"/>
    </w:pPr>
    <w:rPr>
      <w:b/>
      <w:sz w:val="32"/>
    </w:rPr>
  </w:style>
  <w:style w:type="paragraph" w:styleId="5">
    <w:name w:val="heading 4"/>
    <w:basedOn w:val="1"/>
    <w:next w:val="6"/>
    <w:qFormat/>
    <w:uiPriority w:val="0"/>
    <w:pPr>
      <w:keepNext/>
      <w:keepLines/>
      <w:outlineLvl w:val="3"/>
    </w:pPr>
    <w:rPr>
      <w:rFonts w:ascii="Arial" w:hAnsi="Arial" w:eastAsia="黑体"/>
      <w:b/>
      <w:kern w:val="28"/>
      <w:sz w:val="28"/>
    </w:rPr>
  </w:style>
  <w:style w:type="character" w:default="1" w:styleId="19">
    <w:name w:val="Default Paragraph Font"/>
    <w:semiHidden/>
    <w:uiPriority w:val="0"/>
  </w:style>
  <w:style w:type="table" w:default="1" w:styleId="17">
    <w:name w:val="Normal Table"/>
    <w:semiHidden/>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6">
    <w:name w:val="报告"/>
    <w:basedOn w:val="1"/>
    <w:qFormat/>
    <w:uiPriority w:val="0"/>
    <w:pPr>
      <w:spacing w:line="360" w:lineRule="auto"/>
      <w:ind w:firstLine="505"/>
    </w:pPr>
  </w:style>
  <w:style w:type="paragraph" w:styleId="7">
    <w:name w:val="annotation text"/>
    <w:basedOn w:val="1"/>
    <w:qFormat/>
    <w:uiPriority w:val="0"/>
    <w:pPr>
      <w:jc w:val="left"/>
    </w:pPr>
  </w:style>
  <w:style w:type="paragraph" w:styleId="8">
    <w:name w:val="Body Text"/>
    <w:basedOn w:val="1"/>
    <w:qFormat/>
    <w:uiPriority w:val="0"/>
    <w:pPr>
      <w:spacing w:line="360" w:lineRule="auto"/>
    </w:pPr>
    <w:rPr>
      <w:b/>
      <w:bCs/>
      <w:kern w:val="0"/>
      <w:sz w:val="24"/>
    </w:rPr>
  </w:style>
  <w:style w:type="paragraph" w:styleId="9">
    <w:name w:val="Body Text Indent"/>
    <w:basedOn w:val="1"/>
    <w:qFormat/>
    <w:uiPriority w:val="0"/>
    <w:pPr>
      <w:ind w:firstLine="560"/>
    </w:pPr>
    <w:rPr>
      <w:sz w:val="28"/>
    </w:rPr>
  </w:style>
  <w:style w:type="paragraph" w:styleId="10">
    <w:name w:val="Plain Text"/>
    <w:basedOn w:val="1"/>
    <w:qFormat/>
    <w:uiPriority w:val="0"/>
    <w:rPr>
      <w:rFonts w:ascii="宋体" w:hAnsi="Courier New"/>
    </w:rPr>
  </w:style>
  <w:style w:type="paragraph" w:styleId="11">
    <w:name w:val="Body Text Indent 2"/>
    <w:basedOn w:val="1"/>
    <w:qFormat/>
    <w:uiPriority w:val="0"/>
    <w:pPr>
      <w:spacing w:line="360" w:lineRule="auto"/>
      <w:ind w:firstLine="360" w:firstLineChars="150"/>
    </w:pPr>
    <w:rPr>
      <w:sz w:val="24"/>
      <w:szCs w:val="20"/>
    </w:rPr>
  </w:style>
  <w:style w:type="paragraph" w:styleId="12">
    <w:name w:val="footer"/>
    <w:basedOn w:val="1"/>
    <w:qFormat/>
    <w:uiPriority w:val="0"/>
    <w:pPr>
      <w:tabs>
        <w:tab w:val="center" w:pos="4153"/>
        <w:tab w:val="right" w:pos="8306"/>
      </w:tabs>
      <w:snapToGrid w:val="0"/>
      <w:jc w:val="left"/>
    </w:pPr>
    <w:rPr>
      <w:sz w:val="18"/>
    </w:rPr>
  </w:style>
  <w:style w:type="paragraph" w:styleId="13">
    <w:name w:val="toc 1"/>
    <w:basedOn w:val="1"/>
    <w:next w:val="1"/>
    <w:qFormat/>
    <w:uiPriority w:val="0"/>
    <w:pPr>
      <w:tabs>
        <w:tab w:val="right" w:leader="dot" w:pos="8312"/>
      </w:tabs>
    </w:pPr>
    <w:rPr>
      <w:b/>
    </w:rPr>
  </w:style>
  <w:style w:type="paragraph" w:styleId="14">
    <w:name w:val="List"/>
    <w:basedOn w:val="1"/>
    <w:qFormat/>
    <w:uiPriority w:val="0"/>
    <w:pPr>
      <w:ind w:left="200" w:hanging="200" w:hangingChars="200"/>
    </w:pPr>
  </w:style>
  <w:style w:type="paragraph" w:styleId="15">
    <w:name w:val="Normal (Web)"/>
    <w:basedOn w:val="1"/>
    <w:qFormat/>
    <w:uiPriority w:val="0"/>
    <w:pPr>
      <w:widowControl/>
      <w:spacing w:beforeAutospacing="1" w:afterAutospacing="1"/>
    </w:pPr>
    <w:rPr>
      <w:rFonts w:ascii="宋体" w:hAnsi="宋体" w:cs="宋体"/>
    </w:rPr>
  </w:style>
  <w:style w:type="paragraph" w:styleId="16">
    <w:name w:val="Body Text First Indent 2"/>
    <w:basedOn w:val="9"/>
    <w:qFormat/>
    <w:uiPriority w:val="0"/>
    <w:pPr>
      <w:ind w:firstLine="420"/>
      <w:jc w:val="left"/>
    </w:pPr>
    <w:rPr>
      <w:rFonts w:hAnsi="Times New Roman"/>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rPr>
      <w:rFonts w:ascii="宋体" w:hAnsi="宋体" w:eastAsia="宋体"/>
    </w:rPr>
  </w:style>
  <w:style w:type="character" w:styleId="21">
    <w:name w:val="Emphasis"/>
    <w:basedOn w:val="19"/>
    <w:qFormat/>
    <w:uiPriority w:val="0"/>
    <w:rPr>
      <w:i/>
    </w:rPr>
  </w:style>
  <w:style w:type="character" w:styleId="22">
    <w:name w:val="Hyperlink"/>
    <w:basedOn w:val="19"/>
    <w:qFormat/>
    <w:uiPriority w:val="0"/>
    <w:rPr>
      <w:rFonts w:hint="default" w:ascii="ˎ̥" w:hAnsi="ˎ̥"/>
      <w:color w:val="3193C1"/>
      <w:sz w:val="18"/>
      <w:szCs w:val="18"/>
      <w:u w:val="none"/>
    </w:rPr>
  </w:style>
  <w:style w:type="paragraph" w:customStyle="1" w:styleId="23">
    <w:name w:val="应填表格"/>
    <w:basedOn w:val="24"/>
    <w:qFormat/>
    <w:uiPriority w:val="0"/>
    <w:pPr>
      <w:jc w:val="left"/>
    </w:pPr>
    <w:rPr>
      <w:b w:val="0"/>
    </w:rPr>
  </w:style>
  <w:style w:type="paragraph" w:customStyle="1" w:styleId="24">
    <w:name w:val="已有表格"/>
    <w:basedOn w:val="1"/>
    <w:qFormat/>
    <w:uiPriority w:val="0"/>
    <w:pPr>
      <w:jc w:val="center"/>
    </w:pPr>
    <w:rPr>
      <w:b/>
    </w:rPr>
  </w:style>
  <w:style w:type="paragraph" w:customStyle="1" w:styleId="25">
    <w:name w:val="Table Paragraph"/>
    <w:basedOn w:val="1"/>
    <w:qFormat/>
    <w:uiPriority w:val="1"/>
    <w:pPr>
      <w:autoSpaceDE w:val="0"/>
      <w:autoSpaceDN w:val="0"/>
      <w:adjustRightInd w:val="0"/>
      <w:jc w:val="left"/>
    </w:pPr>
    <w:rPr>
      <w:kern w:val="0"/>
    </w:rPr>
  </w:style>
  <w:style w:type="paragraph" w:customStyle="1" w:styleId="26">
    <w:name w:val="页脚 New New New New New"/>
    <w:basedOn w:val="1"/>
    <w:qFormat/>
    <w:uiPriority w:val="0"/>
    <w:pPr>
      <w:tabs>
        <w:tab w:val="center" w:pos="4153"/>
        <w:tab w:val="right" w:pos="8306"/>
      </w:tabs>
      <w:snapToGrid w:val="0"/>
      <w:jc w:val="left"/>
    </w:pPr>
    <w:rPr>
      <w:sz w:val="18"/>
      <w:szCs w:val="18"/>
    </w:rPr>
  </w:style>
  <w:style w:type="paragraph" w:customStyle="1" w:styleId="27">
    <w:name w:val="p0"/>
    <w:basedOn w:val="1"/>
    <w:qFormat/>
    <w:uiPriority w:val="0"/>
    <w:pPr>
      <w:widowControl/>
    </w:pPr>
    <w:rPr>
      <w:szCs w:val="21"/>
    </w:rPr>
  </w:style>
  <w:style w:type="paragraph" w:customStyle="1" w:styleId="28">
    <w:name w:val="样式2"/>
    <w:basedOn w:val="1"/>
    <w:qFormat/>
    <w:uiPriority w:val="0"/>
    <w:pPr>
      <w:ind w:left="170"/>
    </w:pPr>
    <w:rPr>
      <w:b/>
    </w:rPr>
  </w:style>
  <w:style w:type="paragraph" w:customStyle="1" w:styleId="2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30">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纯文本1"/>
    <w:basedOn w:val="1"/>
    <w:qFormat/>
    <w:uiPriority w:val="0"/>
    <w:pPr>
      <w:adjustRightInd w:val="0"/>
      <w:jc w:val="left"/>
      <w:textAlignment w:val="baseline"/>
    </w:pPr>
    <w:rPr>
      <w:rFonts w:ascii="宋体" w:hAnsi="Courier New"/>
      <w:sz w:val="24"/>
      <w:szCs w:val="20"/>
    </w:rPr>
  </w:style>
  <w:style w:type="character" w:customStyle="1" w:styleId="32">
    <w:name w:val="font01"/>
    <w:basedOn w:val="19"/>
    <w:qFormat/>
    <w:uiPriority w:val="0"/>
    <w:rPr>
      <w:rFonts w:hint="default" w:ascii="Times New Roman" w:hAnsi="Times New Roman" w:cs="Times New Roman"/>
      <w:b/>
      <w:color w:val="000000"/>
      <w:sz w:val="21"/>
      <w:szCs w:val="21"/>
      <w:u w:val="none"/>
    </w:rPr>
  </w:style>
  <w:style w:type="character" w:customStyle="1" w:styleId="33">
    <w:name w:val="font31"/>
    <w:basedOn w:val="19"/>
    <w:qFormat/>
    <w:uiPriority w:val="0"/>
    <w:rPr>
      <w:rFonts w:hint="eastAsia" w:ascii="宋体" w:hAnsi="宋体" w:eastAsia="宋体" w:cs="宋体"/>
      <w:b/>
      <w:color w:val="000000"/>
      <w:sz w:val="21"/>
      <w:szCs w:val="21"/>
      <w:u w:val="none"/>
    </w:rPr>
  </w:style>
  <w:style w:type="paragraph" w:customStyle="1" w:styleId="34">
    <w:name w:val="标准正文"/>
    <w:basedOn w:val="1"/>
    <w:qFormat/>
    <w:uiPriority w:val="0"/>
    <w:pPr>
      <w:spacing w:line="460" w:lineRule="atLeast"/>
      <w:ind w:firstLine="567"/>
    </w:pPr>
    <w:rPr>
      <w:kern w:val="28"/>
      <w:sz w:val="28"/>
    </w:rPr>
  </w:style>
  <w:style w:type="paragraph" w:customStyle="1" w:styleId="35">
    <w:name w:val="填表内容"/>
    <w:basedOn w:val="1"/>
    <w:qFormat/>
    <w:uiPriority w:val="0"/>
    <w:pPr>
      <w:spacing w:line="480" w:lineRule="exact"/>
      <w:ind w:firstLine="560" w:firstLineChars="200"/>
    </w:pPr>
    <w:rPr>
      <w:rFonts w:ascii="楷体_GB2312" w:eastAsia="楷体_GB2312"/>
      <w:sz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54.wmf"/><Relationship Id="rId98" Type="http://schemas.openxmlformats.org/officeDocument/2006/relationships/oleObject" Target="embeddings/oleObject39.bin"/><Relationship Id="rId97" Type="http://schemas.openxmlformats.org/officeDocument/2006/relationships/image" Target="media/image53.wmf"/><Relationship Id="rId96" Type="http://schemas.openxmlformats.org/officeDocument/2006/relationships/oleObject" Target="embeddings/oleObject38.bin"/><Relationship Id="rId95" Type="http://schemas.openxmlformats.org/officeDocument/2006/relationships/image" Target="media/image52.wmf"/><Relationship Id="rId94" Type="http://schemas.openxmlformats.org/officeDocument/2006/relationships/oleObject" Target="embeddings/oleObject37.bin"/><Relationship Id="rId93" Type="http://schemas.openxmlformats.org/officeDocument/2006/relationships/image" Target="media/image51.wmf"/><Relationship Id="rId92" Type="http://schemas.openxmlformats.org/officeDocument/2006/relationships/oleObject" Target="embeddings/oleObject36.bin"/><Relationship Id="rId91" Type="http://schemas.openxmlformats.org/officeDocument/2006/relationships/oleObject" Target="embeddings/oleObject35.bin"/><Relationship Id="rId90" Type="http://schemas.openxmlformats.org/officeDocument/2006/relationships/oleObject" Target="embeddings/oleObject34.bin"/><Relationship Id="rId9" Type="http://schemas.openxmlformats.org/officeDocument/2006/relationships/image" Target="media/image3.png"/><Relationship Id="rId89" Type="http://schemas.openxmlformats.org/officeDocument/2006/relationships/oleObject" Target="embeddings/oleObject33.bin"/><Relationship Id="rId88" Type="http://schemas.openxmlformats.org/officeDocument/2006/relationships/oleObject" Target="embeddings/oleObject32.bin"/><Relationship Id="rId87" Type="http://schemas.openxmlformats.org/officeDocument/2006/relationships/image" Target="media/image50.wmf"/><Relationship Id="rId86" Type="http://schemas.openxmlformats.org/officeDocument/2006/relationships/oleObject" Target="embeddings/oleObject31.bin"/><Relationship Id="rId85" Type="http://schemas.openxmlformats.org/officeDocument/2006/relationships/oleObject" Target="embeddings/oleObject30.bin"/><Relationship Id="rId84" Type="http://schemas.openxmlformats.org/officeDocument/2006/relationships/oleObject" Target="embeddings/oleObject29.bin"/><Relationship Id="rId83" Type="http://schemas.openxmlformats.org/officeDocument/2006/relationships/image" Target="media/image49.wmf"/><Relationship Id="rId82" Type="http://schemas.openxmlformats.org/officeDocument/2006/relationships/oleObject" Target="embeddings/oleObject28.bin"/><Relationship Id="rId81" Type="http://schemas.openxmlformats.org/officeDocument/2006/relationships/oleObject" Target="embeddings/oleObject27.bin"/><Relationship Id="rId80" Type="http://schemas.openxmlformats.org/officeDocument/2006/relationships/image" Target="media/image48.wmf"/><Relationship Id="rId8" Type="http://schemas.openxmlformats.org/officeDocument/2006/relationships/image" Target="media/image2.jpeg"/><Relationship Id="rId79" Type="http://schemas.openxmlformats.org/officeDocument/2006/relationships/oleObject" Target="embeddings/oleObject26.bin"/><Relationship Id="rId78" Type="http://schemas.openxmlformats.org/officeDocument/2006/relationships/image" Target="media/image47.wmf"/><Relationship Id="rId77" Type="http://schemas.openxmlformats.org/officeDocument/2006/relationships/oleObject" Target="embeddings/oleObject25.bin"/><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wmf"/><Relationship Id="rId73" Type="http://schemas.openxmlformats.org/officeDocument/2006/relationships/oleObject" Target="embeddings/oleObject24.bin"/><Relationship Id="rId72" Type="http://schemas.openxmlformats.org/officeDocument/2006/relationships/image" Target="media/image43.wmf"/><Relationship Id="rId71" Type="http://schemas.openxmlformats.org/officeDocument/2006/relationships/oleObject" Target="embeddings/oleObject23.bin"/><Relationship Id="rId70" Type="http://schemas.openxmlformats.org/officeDocument/2006/relationships/image" Target="media/image42.wmf"/><Relationship Id="rId7" Type="http://schemas.openxmlformats.org/officeDocument/2006/relationships/image" Target="media/image1.jpeg"/><Relationship Id="rId69" Type="http://schemas.openxmlformats.org/officeDocument/2006/relationships/oleObject" Target="embeddings/oleObject22.bin"/><Relationship Id="rId68" Type="http://schemas.openxmlformats.org/officeDocument/2006/relationships/image" Target="media/image41.wmf"/><Relationship Id="rId67" Type="http://schemas.openxmlformats.org/officeDocument/2006/relationships/oleObject" Target="embeddings/oleObject21.bin"/><Relationship Id="rId66" Type="http://schemas.openxmlformats.org/officeDocument/2006/relationships/image" Target="media/image40.wmf"/><Relationship Id="rId65" Type="http://schemas.openxmlformats.org/officeDocument/2006/relationships/oleObject" Target="embeddings/oleObject20.bin"/><Relationship Id="rId64" Type="http://schemas.openxmlformats.org/officeDocument/2006/relationships/image" Target="media/image39.wmf"/><Relationship Id="rId63" Type="http://schemas.openxmlformats.org/officeDocument/2006/relationships/oleObject" Target="embeddings/oleObject19.bin"/><Relationship Id="rId62" Type="http://schemas.openxmlformats.org/officeDocument/2006/relationships/image" Target="media/image38.wmf"/><Relationship Id="rId61" Type="http://schemas.openxmlformats.org/officeDocument/2006/relationships/oleObject" Target="embeddings/oleObject18.bin"/><Relationship Id="rId60" Type="http://schemas.openxmlformats.org/officeDocument/2006/relationships/image" Target="media/image37.wmf"/><Relationship Id="rId6" Type="http://schemas.openxmlformats.org/officeDocument/2006/relationships/theme" Target="theme/theme1.xml"/><Relationship Id="rId59" Type="http://schemas.openxmlformats.org/officeDocument/2006/relationships/oleObject" Target="embeddings/oleObject17.bin"/><Relationship Id="rId58" Type="http://schemas.openxmlformats.org/officeDocument/2006/relationships/image" Target="media/image36.wmf"/><Relationship Id="rId57" Type="http://schemas.openxmlformats.org/officeDocument/2006/relationships/oleObject" Target="embeddings/oleObject16.bin"/><Relationship Id="rId56" Type="http://schemas.openxmlformats.org/officeDocument/2006/relationships/image" Target="media/image35.wmf"/><Relationship Id="rId55" Type="http://schemas.openxmlformats.org/officeDocument/2006/relationships/oleObject" Target="embeddings/oleObject15.bin"/><Relationship Id="rId54" Type="http://schemas.openxmlformats.org/officeDocument/2006/relationships/image" Target="media/image34.wmf"/><Relationship Id="rId53" Type="http://schemas.openxmlformats.org/officeDocument/2006/relationships/oleObject" Target="embeddings/oleObject14.bin"/><Relationship Id="rId52" Type="http://schemas.openxmlformats.org/officeDocument/2006/relationships/image" Target="media/image33.wmf"/><Relationship Id="rId51" Type="http://schemas.openxmlformats.org/officeDocument/2006/relationships/oleObject" Target="embeddings/oleObject13.bin"/><Relationship Id="rId50" Type="http://schemas.openxmlformats.org/officeDocument/2006/relationships/image" Target="media/image32.wmf"/><Relationship Id="rId5" Type="http://schemas.openxmlformats.org/officeDocument/2006/relationships/footer" Target="footer3.xml"/><Relationship Id="rId49" Type="http://schemas.openxmlformats.org/officeDocument/2006/relationships/oleObject" Target="embeddings/oleObject12.bin"/><Relationship Id="rId48" Type="http://schemas.openxmlformats.org/officeDocument/2006/relationships/image" Target="media/image31.wmf"/><Relationship Id="rId47" Type="http://schemas.openxmlformats.org/officeDocument/2006/relationships/image" Target="media/image30.wmf"/><Relationship Id="rId46" Type="http://schemas.openxmlformats.org/officeDocument/2006/relationships/image" Target="media/image29.wmf"/><Relationship Id="rId45" Type="http://schemas.openxmlformats.org/officeDocument/2006/relationships/image" Target="media/image28.wmf"/><Relationship Id="rId44" Type="http://schemas.openxmlformats.org/officeDocument/2006/relationships/oleObject" Target="embeddings/oleObject11.bin"/><Relationship Id="rId43" Type="http://schemas.openxmlformats.org/officeDocument/2006/relationships/image" Target="media/image27.wmf"/><Relationship Id="rId42" Type="http://schemas.openxmlformats.org/officeDocument/2006/relationships/oleObject" Target="embeddings/oleObject10.bin"/><Relationship Id="rId41" Type="http://schemas.openxmlformats.org/officeDocument/2006/relationships/image" Target="media/image26.wmf"/><Relationship Id="rId40" Type="http://schemas.openxmlformats.org/officeDocument/2006/relationships/oleObject" Target="embeddings/oleObject9.bin"/><Relationship Id="rId4" Type="http://schemas.openxmlformats.org/officeDocument/2006/relationships/footer" Target="footer2.xml"/><Relationship Id="rId39" Type="http://schemas.openxmlformats.org/officeDocument/2006/relationships/image" Target="media/image25.wmf"/><Relationship Id="rId38" Type="http://schemas.openxmlformats.org/officeDocument/2006/relationships/oleObject" Target="embeddings/oleObject8.bin"/><Relationship Id="rId37" Type="http://schemas.openxmlformats.org/officeDocument/2006/relationships/image" Target="media/image24.wmf"/><Relationship Id="rId36" Type="http://schemas.openxmlformats.org/officeDocument/2006/relationships/oleObject" Target="embeddings/oleObject7.bin"/><Relationship Id="rId35" Type="http://schemas.openxmlformats.org/officeDocument/2006/relationships/image" Target="media/image23.wmf"/><Relationship Id="rId34" Type="http://schemas.openxmlformats.org/officeDocument/2006/relationships/oleObject" Target="embeddings/oleObject6.bin"/><Relationship Id="rId33" Type="http://schemas.openxmlformats.org/officeDocument/2006/relationships/image" Target="media/image22.wmf"/><Relationship Id="rId32" Type="http://schemas.openxmlformats.org/officeDocument/2006/relationships/oleObject" Target="embeddings/oleObject5.bin"/><Relationship Id="rId31" Type="http://schemas.openxmlformats.org/officeDocument/2006/relationships/image" Target="media/image21.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oleObject" Target="embeddings/oleObject3.bin"/><Relationship Id="rId27" Type="http://schemas.openxmlformats.org/officeDocument/2006/relationships/image" Target="media/image19.png"/><Relationship Id="rId26" Type="http://schemas.openxmlformats.org/officeDocument/2006/relationships/image" Target="media/image18.png"/><Relationship Id="rId255" Type="http://schemas.openxmlformats.org/officeDocument/2006/relationships/fontTable" Target="fontTable.xml"/><Relationship Id="rId254" Type="http://schemas.openxmlformats.org/officeDocument/2006/relationships/numbering" Target="numbering.xml"/><Relationship Id="rId253" Type="http://schemas.openxmlformats.org/officeDocument/2006/relationships/customXml" Target="../customXml/item1.xml"/><Relationship Id="rId252" Type="http://schemas.openxmlformats.org/officeDocument/2006/relationships/image" Target="media/image131.wmf"/><Relationship Id="rId251" Type="http://schemas.openxmlformats.org/officeDocument/2006/relationships/oleObject" Target="embeddings/oleObject115.bin"/><Relationship Id="rId250" Type="http://schemas.openxmlformats.org/officeDocument/2006/relationships/image" Target="media/image130.wmf"/><Relationship Id="rId25" Type="http://schemas.openxmlformats.org/officeDocument/2006/relationships/image" Target="media/image17.png"/><Relationship Id="rId249" Type="http://schemas.openxmlformats.org/officeDocument/2006/relationships/oleObject" Target="embeddings/oleObject114.bin"/><Relationship Id="rId248" Type="http://schemas.openxmlformats.org/officeDocument/2006/relationships/oleObject" Target="embeddings/oleObject113.bin"/><Relationship Id="rId247" Type="http://schemas.openxmlformats.org/officeDocument/2006/relationships/image" Target="media/image129.wmf"/><Relationship Id="rId246" Type="http://schemas.openxmlformats.org/officeDocument/2006/relationships/oleObject" Target="embeddings/oleObject112.bin"/><Relationship Id="rId245" Type="http://schemas.openxmlformats.org/officeDocument/2006/relationships/image" Target="media/image128.wmf"/><Relationship Id="rId244" Type="http://schemas.openxmlformats.org/officeDocument/2006/relationships/oleObject" Target="embeddings/oleObject111.bin"/><Relationship Id="rId243" Type="http://schemas.openxmlformats.org/officeDocument/2006/relationships/image" Target="media/image127.wmf"/><Relationship Id="rId242" Type="http://schemas.openxmlformats.org/officeDocument/2006/relationships/oleObject" Target="embeddings/oleObject110.bin"/><Relationship Id="rId241" Type="http://schemas.openxmlformats.org/officeDocument/2006/relationships/image" Target="media/image126.wmf"/><Relationship Id="rId240" Type="http://schemas.openxmlformats.org/officeDocument/2006/relationships/oleObject" Target="embeddings/oleObject109.bin"/><Relationship Id="rId24" Type="http://schemas.openxmlformats.org/officeDocument/2006/relationships/image" Target="media/image16.png"/><Relationship Id="rId239" Type="http://schemas.openxmlformats.org/officeDocument/2006/relationships/image" Target="media/image125.wmf"/><Relationship Id="rId238" Type="http://schemas.openxmlformats.org/officeDocument/2006/relationships/oleObject" Target="embeddings/oleObject108.bin"/><Relationship Id="rId237" Type="http://schemas.openxmlformats.org/officeDocument/2006/relationships/image" Target="media/image124.wmf"/><Relationship Id="rId236" Type="http://schemas.openxmlformats.org/officeDocument/2006/relationships/oleObject" Target="embeddings/oleObject107.bin"/><Relationship Id="rId235" Type="http://schemas.openxmlformats.org/officeDocument/2006/relationships/image" Target="media/image123.wmf"/><Relationship Id="rId234" Type="http://schemas.openxmlformats.org/officeDocument/2006/relationships/oleObject" Target="embeddings/oleObject106.bin"/><Relationship Id="rId233" Type="http://schemas.openxmlformats.org/officeDocument/2006/relationships/image" Target="media/image122.wmf"/><Relationship Id="rId232" Type="http://schemas.openxmlformats.org/officeDocument/2006/relationships/oleObject" Target="embeddings/oleObject105.bin"/><Relationship Id="rId231" Type="http://schemas.openxmlformats.org/officeDocument/2006/relationships/image" Target="media/image121.wmf"/><Relationship Id="rId230" Type="http://schemas.openxmlformats.org/officeDocument/2006/relationships/oleObject" Target="embeddings/oleObject104.bin"/><Relationship Id="rId23" Type="http://schemas.openxmlformats.org/officeDocument/2006/relationships/image" Target="media/image15.png"/><Relationship Id="rId229" Type="http://schemas.openxmlformats.org/officeDocument/2006/relationships/image" Target="media/image120.wmf"/><Relationship Id="rId228" Type="http://schemas.openxmlformats.org/officeDocument/2006/relationships/oleObject" Target="embeddings/oleObject103.bin"/><Relationship Id="rId227" Type="http://schemas.openxmlformats.org/officeDocument/2006/relationships/image" Target="media/image119.wmf"/><Relationship Id="rId226" Type="http://schemas.openxmlformats.org/officeDocument/2006/relationships/oleObject" Target="embeddings/oleObject102.bin"/><Relationship Id="rId225" Type="http://schemas.openxmlformats.org/officeDocument/2006/relationships/image" Target="media/image118.wmf"/><Relationship Id="rId224" Type="http://schemas.openxmlformats.org/officeDocument/2006/relationships/oleObject" Target="embeddings/oleObject101.bin"/><Relationship Id="rId223" Type="http://schemas.openxmlformats.org/officeDocument/2006/relationships/image" Target="media/image117.wmf"/><Relationship Id="rId222" Type="http://schemas.openxmlformats.org/officeDocument/2006/relationships/oleObject" Target="embeddings/oleObject100.bin"/><Relationship Id="rId221" Type="http://schemas.openxmlformats.org/officeDocument/2006/relationships/image" Target="media/image116.wmf"/><Relationship Id="rId220" Type="http://schemas.openxmlformats.org/officeDocument/2006/relationships/oleObject" Target="embeddings/oleObject99.bin"/><Relationship Id="rId22" Type="http://schemas.openxmlformats.org/officeDocument/2006/relationships/image" Target="media/image14.png"/><Relationship Id="rId219" Type="http://schemas.openxmlformats.org/officeDocument/2006/relationships/oleObject" Target="embeddings/oleObject98.bin"/><Relationship Id="rId218" Type="http://schemas.openxmlformats.org/officeDocument/2006/relationships/image" Target="media/image115.wmf"/><Relationship Id="rId217" Type="http://schemas.openxmlformats.org/officeDocument/2006/relationships/image" Target="media/image114.wmf"/><Relationship Id="rId216" Type="http://schemas.openxmlformats.org/officeDocument/2006/relationships/image" Target="media/image113.png"/><Relationship Id="rId215" Type="http://schemas.openxmlformats.org/officeDocument/2006/relationships/image" Target="media/image112.png"/><Relationship Id="rId214" Type="http://schemas.openxmlformats.org/officeDocument/2006/relationships/image" Target="media/image111.wmf"/><Relationship Id="rId213" Type="http://schemas.openxmlformats.org/officeDocument/2006/relationships/oleObject" Target="embeddings/oleObject97.bin"/><Relationship Id="rId212" Type="http://schemas.openxmlformats.org/officeDocument/2006/relationships/image" Target="media/image110.wmf"/><Relationship Id="rId211" Type="http://schemas.openxmlformats.org/officeDocument/2006/relationships/oleObject" Target="embeddings/oleObject96.bin"/><Relationship Id="rId210" Type="http://schemas.openxmlformats.org/officeDocument/2006/relationships/image" Target="media/image109.wmf"/><Relationship Id="rId21" Type="http://schemas.openxmlformats.org/officeDocument/2006/relationships/image" Target="media/image13.png"/><Relationship Id="rId209" Type="http://schemas.openxmlformats.org/officeDocument/2006/relationships/oleObject" Target="embeddings/oleObject95.bin"/><Relationship Id="rId208" Type="http://schemas.openxmlformats.org/officeDocument/2006/relationships/image" Target="media/image108.wmf"/><Relationship Id="rId207" Type="http://schemas.openxmlformats.org/officeDocument/2006/relationships/oleObject" Target="embeddings/oleObject94.bin"/><Relationship Id="rId206" Type="http://schemas.openxmlformats.org/officeDocument/2006/relationships/image" Target="media/image107.wmf"/><Relationship Id="rId205" Type="http://schemas.openxmlformats.org/officeDocument/2006/relationships/oleObject" Target="embeddings/oleObject93.bin"/><Relationship Id="rId204" Type="http://schemas.openxmlformats.org/officeDocument/2006/relationships/image" Target="media/image106.wmf"/><Relationship Id="rId203" Type="http://schemas.openxmlformats.org/officeDocument/2006/relationships/oleObject" Target="embeddings/oleObject92.bin"/><Relationship Id="rId202" Type="http://schemas.openxmlformats.org/officeDocument/2006/relationships/image" Target="media/image105.wmf"/><Relationship Id="rId201" Type="http://schemas.openxmlformats.org/officeDocument/2006/relationships/oleObject" Target="embeddings/oleObject91.bin"/><Relationship Id="rId200" Type="http://schemas.openxmlformats.org/officeDocument/2006/relationships/image" Target="media/image104.wmf"/><Relationship Id="rId20" Type="http://schemas.openxmlformats.org/officeDocument/2006/relationships/image" Target="media/image12.wmf"/><Relationship Id="rId2" Type="http://schemas.openxmlformats.org/officeDocument/2006/relationships/settings" Target="settings.xml"/><Relationship Id="rId199" Type="http://schemas.openxmlformats.org/officeDocument/2006/relationships/oleObject" Target="embeddings/oleObject90.bin"/><Relationship Id="rId198" Type="http://schemas.openxmlformats.org/officeDocument/2006/relationships/image" Target="media/image103.wmf"/><Relationship Id="rId197" Type="http://schemas.openxmlformats.org/officeDocument/2006/relationships/oleObject" Target="embeddings/oleObject89.bin"/><Relationship Id="rId196" Type="http://schemas.openxmlformats.org/officeDocument/2006/relationships/image" Target="media/image102.wmf"/><Relationship Id="rId195" Type="http://schemas.openxmlformats.org/officeDocument/2006/relationships/oleObject" Target="embeddings/oleObject88.bin"/><Relationship Id="rId194" Type="http://schemas.openxmlformats.org/officeDocument/2006/relationships/image" Target="media/image101.wmf"/><Relationship Id="rId193" Type="http://schemas.openxmlformats.org/officeDocument/2006/relationships/oleObject" Target="embeddings/oleObject87.bin"/><Relationship Id="rId192" Type="http://schemas.openxmlformats.org/officeDocument/2006/relationships/oleObject" Target="embeddings/oleObject86.bin"/><Relationship Id="rId191" Type="http://schemas.openxmlformats.org/officeDocument/2006/relationships/image" Target="media/image100.wmf"/><Relationship Id="rId190" Type="http://schemas.openxmlformats.org/officeDocument/2006/relationships/oleObject" Target="embeddings/oleObject85.bin"/><Relationship Id="rId19" Type="http://schemas.openxmlformats.org/officeDocument/2006/relationships/oleObject" Target="embeddings/oleObject2.bin"/><Relationship Id="rId189" Type="http://schemas.openxmlformats.org/officeDocument/2006/relationships/image" Target="media/image99.wmf"/><Relationship Id="rId188" Type="http://schemas.openxmlformats.org/officeDocument/2006/relationships/oleObject" Target="embeddings/oleObject84.bin"/><Relationship Id="rId187" Type="http://schemas.openxmlformats.org/officeDocument/2006/relationships/image" Target="media/image98.wmf"/><Relationship Id="rId186" Type="http://schemas.openxmlformats.org/officeDocument/2006/relationships/oleObject" Target="embeddings/oleObject83.bin"/><Relationship Id="rId185" Type="http://schemas.openxmlformats.org/officeDocument/2006/relationships/image" Target="media/image97.wmf"/><Relationship Id="rId184" Type="http://schemas.openxmlformats.org/officeDocument/2006/relationships/oleObject" Target="embeddings/oleObject82.bin"/><Relationship Id="rId183" Type="http://schemas.openxmlformats.org/officeDocument/2006/relationships/image" Target="media/image96.wmf"/><Relationship Id="rId182" Type="http://schemas.openxmlformats.org/officeDocument/2006/relationships/oleObject" Target="embeddings/oleObject81.bin"/><Relationship Id="rId181" Type="http://schemas.openxmlformats.org/officeDocument/2006/relationships/image" Target="media/image95.wmf"/><Relationship Id="rId180" Type="http://schemas.openxmlformats.org/officeDocument/2006/relationships/oleObject" Target="embeddings/oleObject80.bin"/><Relationship Id="rId18" Type="http://schemas.openxmlformats.org/officeDocument/2006/relationships/image" Target="media/image11.wmf"/><Relationship Id="rId179" Type="http://schemas.openxmlformats.org/officeDocument/2006/relationships/image" Target="media/image94.wmf"/><Relationship Id="rId178" Type="http://schemas.openxmlformats.org/officeDocument/2006/relationships/oleObject" Target="embeddings/oleObject79.bin"/><Relationship Id="rId177" Type="http://schemas.openxmlformats.org/officeDocument/2006/relationships/image" Target="media/image93.wmf"/><Relationship Id="rId176" Type="http://schemas.openxmlformats.org/officeDocument/2006/relationships/oleObject" Target="embeddings/oleObject78.bin"/><Relationship Id="rId175" Type="http://schemas.openxmlformats.org/officeDocument/2006/relationships/image" Target="media/image92.wmf"/><Relationship Id="rId174" Type="http://schemas.openxmlformats.org/officeDocument/2006/relationships/oleObject" Target="embeddings/oleObject77.bin"/><Relationship Id="rId173" Type="http://schemas.openxmlformats.org/officeDocument/2006/relationships/image" Target="media/image91.wmf"/><Relationship Id="rId172" Type="http://schemas.openxmlformats.org/officeDocument/2006/relationships/oleObject" Target="embeddings/oleObject76.bin"/><Relationship Id="rId171" Type="http://schemas.openxmlformats.org/officeDocument/2006/relationships/image" Target="media/image90.wmf"/><Relationship Id="rId170" Type="http://schemas.openxmlformats.org/officeDocument/2006/relationships/oleObject" Target="embeddings/oleObject75.bin"/><Relationship Id="rId17" Type="http://schemas.openxmlformats.org/officeDocument/2006/relationships/oleObject" Target="embeddings/oleObject1.bin"/><Relationship Id="rId169" Type="http://schemas.openxmlformats.org/officeDocument/2006/relationships/image" Target="media/image89.wmf"/><Relationship Id="rId168" Type="http://schemas.openxmlformats.org/officeDocument/2006/relationships/oleObject" Target="embeddings/oleObject74.bin"/><Relationship Id="rId167" Type="http://schemas.openxmlformats.org/officeDocument/2006/relationships/image" Target="media/image88.wmf"/><Relationship Id="rId166" Type="http://schemas.openxmlformats.org/officeDocument/2006/relationships/oleObject" Target="embeddings/oleObject73.bin"/><Relationship Id="rId165" Type="http://schemas.openxmlformats.org/officeDocument/2006/relationships/image" Target="media/image87.wmf"/><Relationship Id="rId164" Type="http://schemas.openxmlformats.org/officeDocument/2006/relationships/oleObject" Target="embeddings/oleObject72.bin"/><Relationship Id="rId163" Type="http://schemas.openxmlformats.org/officeDocument/2006/relationships/image" Target="media/image86.wmf"/><Relationship Id="rId162" Type="http://schemas.openxmlformats.org/officeDocument/2006/relationships/oleObject" Target="embeddings/oleObject71.bin"/><Relationship Id="rId161" Type="http://schemas.openxmlformats.org/officeDocument/2006/relationships/image" Target="media/image85.wmf"/><Relationship Id="rId160" Type="http://schemas.openxmlformats.org/officeDocument/2006/relationships/oleObject" Target="embeddings/oleObject70.bin"/><Relationship Id="rId16" Type="http://schemas.openxmlformats.org/officeDocument/2006/relationships/image" Target="media/image10.png"/><Relationship Id="rId159" Type="http://schemas.openxmlformats.org/officeDocument/2006/relationships/image" Target="media/image84.wmf"/><Relationship Id="rId158" Type="http://schemas.openxmlformats.org/officeDocument/2006/relationships/oleObject" Target="embeddings/oleObject69.bin"/><Relationship Id="rId157" Type="http://schemas.openxmlformats.org/officeDocument/2006/relationships/image" Target="media/image83.wmf"/><Relationship Id="rId156" Type="http://schemas.openxmlformats.org/officeDocument/2006/relationships/oleObject" Target="embeddings/oleObject68.bin"/><Relationship Id="rId155" Type="http://schemas.openxmlformats.org/officeDocument/2006/relationships/image" Target="media/image82.wmf"/><Relationship Id="rId154" Type="http://schemas.openxmlformats.org/officeDocument/2006/relationships/oleObject" Target="embeddings/oleObject67.bin"/><Relationship Id="rId153" Type="http://schemas.openxmlformats.org/officeDocument/2006/relationships/image" Target="media/image81.wmf"/><Relationship Id="rId152" Type="http://schemas.openxmlformats.org/officeDocument/2006/relationships/oleObject" Target="embeddings/oleObject66.bin"/><Relationship Id="rId151" Type="http://schemas.openxmlformats.org/officeDocument/2006/relationships/image" Target="media/image80.wmf"/><Relationship Id="rId150" Type="http://schemas.openxmlformats.org/officeDocument/2006/relationships/oleObject" Target="embeddings/oleObject65.bin"/><Relationship Id="rId15" Type="http://schemas.openxmlformats.org/officeDocument/2006/relationships/image" Target="media/image9.png"/><Relationship Id="rId149" Type="http://schemas.openxmlformats.org/officeDocument/2006/relationships/image" Target="media/image79.wmf"/><Relationship Id="rId148" Type="http://schemas.openxmlformats.org/officeDocument/2006/relationships/oleObject" Target="embeddings/oleObject64.bin"/><Relationship Id="rId147" Type="http://schemas.openxmlformats.org/officeDocument/2006/relationships/image" Target="media/image78.wmf"/><Relationship Id="rId146" Type="http://schemas.openxmlformats.org/officeDocument/2006/relationships/oleObject" Target="embeddings/oleObject63.bin"/><Relationship Id="rId145" Type="http://schemas.openxmlformats.org/officeDocument/2006/relationships/image" Target="media/image77.wmf"/><Relationship Id="rId144" Type="http://schemas.openxmlformats.org/officeDocument/2006/relationships/oleObject" Target="embeddings/oleObject62.bin"/><Relationship Id="rId143" Type="http://schemas.openxmlformats.org/officeDocument/2006/relationships/image" Target="media/image76.wmf"/><Relationship Id="rId142" Type="http://schemas.openxmlformats.org/officeDocument/2006/relationships/oleObject" Target="embeddings/oleObject61.bin"/><Relationship Id="rId141" Type="http://schemas.openxmlformats.org/officeDocument/2006/relationships/image" Target="media/image75.wmf"/><Relationship Id="rId140" Type="http://schemas.openxmlformats.org/officeDocument/2006/relationships/oleObject" Target="embeddings/oleObject60.bin"/><Relationship Id="rId14" Type="http://schemas.openxmlformats.org/officeDocument/2006/relationships/image" Target="media/image8.png"/><Relationship Id="rId139" Type="http://schemas.openxmlformats.org/officeDocument/2006/relationships/image" Target="media/image74.wmf"/><Relationship Id="rId138" Type="http://schemas.openxmlformats.org/officeDocument/2006/relationships/oleObject" Target="embeddings/oleObject59.bin"/><Relationship Id="rId137" Type="http://schemas.openxmlformats.org/officeDocument/2006/relationships/image" Target="media/image73.wmf"/><Relationship Id="rId136" Type="http://schemas.openxmlformats.org/officeDocument/2006/relationships/oleObject" Target="embeddings/oleObject58.bin"/><Relationship Id="rId135" Type="http://schemas.openxmlformats.org/officeDocument/2006/relationships/image" Target="media/image72.wmf"/><Relationship Id="rId134" Type="http://schemas.openxmlformats.org/officeDocument/2006/relationships/oleObject" Target="embeddings/oleObject57.bin"/><Relationship Id="rId133" Type="http://schemas.openxmlformats.org/officeDocument/2006/relationships/image" Target="media/image71.wmf"/><Relationship Id="rId132" Type="http://schemas.openxmlformats.org/officeDocument/2006/relationships/oleObject" Target="embeddings/oleObject56.bin"/><Relationship Id="rId131" Type="http://schemas.openxmlformats.org/officeDocument/2006/relationships/image" Target="media/image70.wmf"/><Relationship Id="rId130" Type="http://schemas.openxmlformats.org/officeDocument/2006/relationships/oleObject" Target="embeddings/oleObject55.bin"/><Relationship Id="rId13" Type="http://schemas.openxmlformats.org/officeDocument/2006/relationships/image" Target="media/image7.png"/><Relationship Id="rId129" Type="http://schemas.openxmlformats.org/officeDocument/2006/relationships/image" Target="media/image69.wmf"/><Relationship Id="rId128" Type="http://schemas.openxmlformats.org/officeDocument/2006/relationships/oleObject" Target="embeddings/oleObject54.bin"/><Relationship Id="rId127" Type="http://schemas.openxmlformats.org/officeDocument/2006/relationships/image" Target="media/image68.wmf"/><Relationship Id="rId126" Type="http://schemas.openxmlformats.org/officeDocument/2006/relationships/oleObject" Target="embeddings/oleObject53.bin"/><Relationship Id="rId125" Type="http://schemas.openxmlformats.org/officeDocument/2006/relationships/image" Target="media/image67.wmf"/><Relationship Id="rId124" Type="http://schemas.openxmlformats.org/officeDocument/2006/relationships/oleObject" Target="embeddings/oleObject52.bin"/><Relationship Id="rId123" Type="http://schemas.openxmlformats.org/officeDocument/2006/relationships/image" Target="media/image66.wmf"/><Relationship Id="rId122" Type="http://schemas.openxmlformats.org/officeDocument/2006/relationships/oleObject" Target="embeddings/oleObject51.bin"/><Relationship Id="rId121" Type="http://schemas.openxmlformats.org/officeDocument/2006/relationships/image" Target="media/image65.wmf"/><Relationship Id="rId120" Type="http://schemas.openxmlformats.org/officeDocument/2006/relationships/oleObject" Target="embeddings/oleObject50.bin"/><Relationship Id="rId12" Type="http://schemas.openxmlformats.org/officeDocument/2006/relationships/image" Target="media/image6.png"/><Relationship Id="rId119" Type="http://schemas.openxmlformats.org/officeDocument/2006/relationships/image" Target="media/image64.wmf"/><Relationship Id="rId118" Type="http://schemas.openxmlformats.org/officeDocument/2006/relationships/oleObject" Target="embeddings/oleObject49.bin"/><Relationship Id="rId117" Type="http://schemas.openxmlformats.org/officeDocument/2006/relationships/image" Target="media/image63.wmf"/><Relationship Id="rId116" Type="http://schemas.openxmlformats.org/officeDocument/2006/relationships/oleObject" Target="embeddings/oleObject48.bin"/><Relationship Id="rId115" Type="http://schemas.openxmlformats.org/officeDocument/2006/relationships/image" Target="media/image62.wmf"/><Relationship Id="rId114" Type="http://schemas.openxmlformats.org/officeDocument/2006/relationships/oleObject" Target="embeddings/oleObject47.bin"/><Relationship Id="rId113" Type="http://schemas.openxmlformats.org/officeDocument/2006/relationships/image" Target="media/image61.wmf"/><Relationship Id="rId112" Type="http://schemas.openxmlformats.org/officeDocument/2006/relationships/oleObject" Target="embeddings/oleObject46.bin"/><Relationship Id="rId111" Type="http://schemas.openxmlformats.org/officeDocument/2006/relationships/image" Target="media/image60.wmf"/><Relationship Id="rId110" Type="http://schemas.openxmlformats.org/officeDocument/2006/relationships/oleObject" Target="embeddings/oleObject45.bin"/><Relationship Id="rId11" Type="http://schemas.openxmlformats.org/officeDocument/2006/relationships/image" Target="media/image5.png"/><Relationship Id="rId109" Type="http://schemas.openxmlformats.org/officeDocument/2006/relationships/image" Target="media/image59.wmf"/><Relationship Id="rId108" Type="http://schemas.openxmlformats.org/officeDocument/2006/relationships/oleObject" Target="embeddings/oleObject44.bin"/><Relationship Id="rId107" Type="http://schemas.openxmlformats.org/officeDocument/2006/relationships/image" Target="media/image58.wmf"/><Relationship Id="rId106" Type="http://schemas.openxmlformats.org/officeDocument/2006/relationships/oleObject" Target="embeddings/oleObject43.bin"/><Relationship Id="rId105" Type="http://schemas.openxmlformats.org/officeDocument/2006/relationships/image" Target="media/image57.wmf"/><Relationship Id="rId104" Type="http://schemas.openxmlformats.org/officeDocument/2006/relationships/oleObject" Target="embeddings/oleObject42.bin"/><Relationship Id="rId103" Type="http://schemas.openxmlformats.org/officeDocument/2006/relationships/image" Target="media/image56.wmf"/><Relationship Id="rId102" Type="http://schemas.openxmlformats.org/officeDocument/2006/relationships/oleObject" Target="embeddings/oleObject41.bin"/><Relationship Id="rId101" Type="http://schemas.openxmlformats.org/officeDocument/2006/relationships/image" Target="media/image55.wmf"/><Relationship Id="rId100" Type="http://schemas.openxmlformats.org/officeDocument/2006/relationships/oleObject" Target="embeddings/oleObject40.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61496</Words>
  <Characters>76587</Characters>
  <Lines>0</Lines>
  <Paragraphs>0</Paragraphs>
  <TotalTime>17</TotalTime>
  <ScaleCrop>false</ScaleCrop>
  <LinksUpToDate>false</LinksUpToDate>
  <CharactersWithSpaces>77576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2021-03-12T12:01:00Z</dcterms:created>
  <dc:creator>赵赵赵同学</dc:creator>
  <cp:lastModifiedBy>赵赵赵同学</cp:lastModifiedBy>
  <dcterms:modified xsi:type="dcterms:W3CDTF">2021-03-15T09:15:57Z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