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成本一体化</w:t>
      </w:r>
      <w:r>
        <w:rPr>
          <w:rFonts w:hint="eastAsia" w:ascii="方正小标宋_GBK" w:hAnsi="方正小标宋_GBK" w:eastAsia="方正小标宋_GBK" w:cs="方正小标宋_GBK"/>
          <w:sz w:val="44"/>
          <w:szCs w:val="44"/>
          <w:lang w:eastAsia="zh-CN"/>
        </w:rPr>
        <w:t>管理</w:t>
      </w:r>
      <w:bookmarkStart w:id="1" w:name="_GoBack"/>
      <w:bookmarkEnd w:id="1"/>
      <w:r>
        <w:rPr>
          <w:rFonts w:hint="eastAsia" w:ascii="方正小标宋_GBK" w:hAnsi="方正小标宋_GBK" w:eastAsia="方正小标宋_GBK" w:cs="方正小标宋_GBK"/>
          <w:sz w:val="44"/>
          <w:szCs w:val="44"/>
        </w:rPr>
        <w:t>系统参数</w:t>
      </w:r>
    </w:p>
    <w:p>
      <w:pPr>
        <w:spacing w:line="700" w:lineRule="exact"/>
        <w:jc w:val="lef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Lines="50" w:line="579" w:lineRule="exact"/>
        <w:ind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一、建设原则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本项目旨在建设一套契合医院综合运营管理目标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体现医院成本一体化管理流程化、精细化、智能化</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应用系统。该系统从医院宏观管理的大局视角出发，符合公立医院改革目标与医院管理特色。在具体实施中，基于顶层设计、分步实施的思路对医院业务流程进行精细化管理，对成本核算进行系统性、精细化建设。</w:t>
      </w:r>
    </w:p>
    <w:p>
      <w:pPr>
        <w:keepNext w:val="0"/>
        <w:keepLines w:val="0"/>
        <w:pageBreakBefore w:val="0"/>
        <w:widowControl w:val="0"/>
        <w:numPr>
          <w:ilvl w:val="0"/>
          <w:numId w:val="1"/>
        </w:numPr>
        <w:kinsoku/>
        <w:wordWrap/>
        <w:overflowPunct/>
        <w:topLinePunct w:val="0"/>
        <w:autoSpaceDE/>
        <w:autoSpaceDN/>
        <w:bidi w:val="0"/>
        <w:adjustRightInd/>
        <w:snapToGrid/>
        <w:spacing w:beforeLines="50" w:afterLines="50" w:line="579" w:lineRule="exact"/>
        <w:ind w:left="641" w:right="0" w:rightChars="0"/>
        <w:jc w:val="left"/>
        <w:textAlignment w:val="auto"/>
        <w:outlineLvl w:val="9"/>
        <w:rPr>
          <w:rFonts w:ascii="黑体" w:hAnsi="黑体" w:eastAsia="黑体" w:cs="黑体"/>
          <w:sz w:val="32"/>
          <w:szCs w:val="32"/>
        </w:rPr>
      </w:pPr>
      <w:r>
        <w:rPr>
          <w:rFonts w:hint="eastAsia" w:ascii="黑体" w:hAnsi="黑体" w:eastAsia="黑体" w:cs="黑体"/>
          <w:sz w:val="32"/>
          <w:szCs w:val="32"/>
        </w:rPr>
        <w:t>具体要求</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首先，本项目要求医院成本管理流程与应用设计须完全符合财政部、卫健委等相关制度规范的要求。其次，应基于统一平台完成医院运营业务管理及成本核算体系建设，该系统内含各分系统之间必须无缝衔接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统一运行。另外，该系统须与医院现有的综合运营管理平台相兼容：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基于现有理论知识和成本分摊方法，建立符合本医院</w:t>
      </w:r>
      <w:r>
        <w:rPr>
          <w:rFonts w:hint="eastAsia" w:ascii="方正仿宋_GBK" w:hAnsi="方正仿宋_GBK" w:eastAsia="方正仿宋_GBK" w:cs="方正仿宋_GBK"/>
          <w:color w:val="000000"/>
          <w:sz w:val="32"/>
          <w:szCs w:val="32"/>
          <w:lang w:eastAsia="zh-CN"/>
        </w:rPr>
        <w:t>实际</w:t>
      </w:r>
      <w:r>
        <w:rPr>
          <w:rFonts w:hint="eastAsia" w:ascii="方正仿宋_GBK" w:hAnsi="方正仿宋_GBK" w:eastAsia="方正仿宋_GBK" w:cs="方正仿宋_GBK"/>
          <w:color w:val="000000"/>
          <w:sz w:val="32"/>
          <w:szCs w:val="32"/>
        </w:rPr>
        <w:t>、具有本医院特色的全成本核算体系，形成以成本核算为数据处理前沿的业务管理模式。</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2.</w:t>
      </w:r>
      <w:r>
        <w:rPr>
          <w:rFonts w:hint="eastAsia" w:ascii="方正仿宋_GBK" w:hAnsi="方正仿宋_GBK" w:eastAsia="方正仿宋_GBK" w:cs="方正仿宋_GBK"/>
          <w:color w:val="000000"/>
          <w:sz w:val="32"/>
          <w:szCs w:val="32"/>
        </w:rPr>
        <w:t>医疗项目成本是医院科室成本核算工作的延伸，是针对每个具体医疗项目所核算的成本。项目成本可以反映医疗项目所耗费的资金，主要作用在于分析医疗项目的盈亏，同时可以作为补偿和定价的依据。</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病种成本是科室成本和项目成本的细化，反映在治疗某病种时所耗费的人力成本、材料成本等资金消耗的总和。可以综合评价治疗过程的有效性，为病种收费提供依据，同时为医保的结算开辟新的途径。</w:t>
      </w:r>
    </w:p>
    <w:p>
      <w:pPr>
        <w:spacing w:beforeLines="50" w:afterLines="100" w:line="580" w:lineRule="exact"/>
        <w:ind w:left="641"/>
        <w:jc w:val="left"/>
        <w:rPr>
          <w:rFonts w:ascii="黑体" w:hAnsi="黑体" w:eastAsia="黑体" w:cs="黑体"/>
          <w:sz w:val="32"/>
          <w:szCs w:val="32"/>
        </w:rPr>
      </w:pPr>
      <w:r>
        <w:rPr>
          <w:rFonts w:hint="eastAsia" w:ascii="黑体" w:hAnsi="黑体" w:eastAsia="黑体" w:cs="黑体"/>
          <w:sz w:val="32"/>
          <w:szCs w:val="32"/>
        </w:rPr>
        <w:t>三、功能项目</w:t>
      </w:r>
    </w:p>
    <w:tbl>
      <w:tblPr>
        <w:tblStyle w:val="8"/>
        <w:tblW w:w="9214" w:type="dxa"/>
        <w:tblInd w:w="108" w:type="dxa"/>
        <w:tblLayout w:type="fixed"/>
        <w:tblCellMar>
          <w:top w:w="0" w:type="dxa"/>
          <w:left w:w="108" w:type="dxa"/>
          <w:bottom w:w="0" w:type="dxa"/>
          <w:right w:w="108" w:type="dxa"/>
        </w:tblCellMar>
      </w:tblPr>
      <w:tblGrid>
        <w:gridCol w:w="1276"/>
        <w:gridCol w:w="1559"/>
        <w:gridCol w:w="6379"/>
      </w:tblGrid>
      <w:tr>
        <w:trPr>
          <w:trHeight w:val="510"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模块名称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子功能</w:t>
            </w:r>
          </w:p>
        </w:tc>
        <w:tc>
          <w:tcPr>
            <w:tcW w:w="637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功能要求</w:t>
            </w:r>
          </w:p>
        </w:tc>
      </w:tr>
      <w:tr>
        <w:tblPrEx>
          <w:tblCellMar>
            <w:top w:w="0" w:type="dxa"/>
            <w:left w:w="108" w:type="dxa"/>
            <w:bottom w:w="0" w:type="dxa"/>
            <w:right w:w="108" w:type="dxa"/>
          </w:tblCellMar>
        </w:tblPrEx>
        <w:trPr>
          <w:trHeight w:val="1048"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科室成本</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olor w:val="000000"/>
                <w:kern w:val="0"/>
                <w:szCs w:val="21"/>
              </w:rPr>
            </w:pPr>
            <w:r>
              <w:rPr>
                <w:rFonts w:ascii="Times New Roman" w:hAnsi="Times New Roman" w:eastAsia="仿宋"/>
                <w:szCs w:val="21"/>
              </w:rPr>
              <w:t>基础数据</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2" w:lineRule="exact"/>
              <w:jc w:val="left"/>
              <w:rPr>
                <w:rFonts w:ascii="Times New Roman" w:hAnsi="Times New Roman" w:eastAsia="仿宋"/>
                <w:color w:val="000000"/>
                <w:kern w:val="0"/>
                <w:szCs w:val="21"/>
              </w:rPr>
            </w:pPr>
            <w:r>
              <w:rPr>
                <w:rFonts w:ascii="Times New Roman" w:hAnsi="Times New Roman" w:eastAsia="仿宋"/>
                <w:szCs w:val="21"/>
              </w:rPr>
              <w:t>基础</w:t>
            </w:r>
            <w:r>
              <w:rPr>
                <w:rFonts w:hint="eastAsia" w:ascii="Times New Roman" w:hAnsi="Times New Roman" w:eastAsia="仿宋"/>
                <w:szCs w:val="21"/>
                <w:lang w:eastAsia="zh-CN"/>
              </w:rPr>
              <w:t>数据</w:t>
            </w:r>
            <w:r>
              <w:rPr>
                <w:rFonts w:ascii="Times New Roman" w:hAnsi="Times New Roman" w:eastAsia="仿宋"/>
                <w:szCs w:val="21"/>
              </w:rPr>
              <w:t>包括成本核算所需要的收入数据、成本数据、工作量数据以及其他数据。</w:t>
            </w:r>
          </w:p>
        </w:tc>
      </w:tr>
      <w:tr>
        <w:tblPrEx>
          <w:tblCellMar>
            <w:top w:w="0" w:type="dxa"/>
            <w:left w:w="108" w:type="dxa"/>
            <w:bottom w:w="0" w:type="dxa"/>
            <w:right w:w="108" w:type="dxa"/>
          </w:tblCellMar>
        </w:tblPrEx>
        <w:trPr>
          <w:trHeight w:val="159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olor w:val="000000"/>
                <w:kern w:val="0"/>
                <w:szCs w:val="21"/>
              </w:rPr>
            </w:pPr>
            <w:r>
              <w:rPr>
                <w:rFonts w:ascii="Times New Roman" w:hAnsi="Times New Roman" w:eastAsia="仿宋"/>
                <w:szCs w:val="21"/>
              </w:rPr>
              <w:t>核算模型</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2" w:lineRule="exact"/>
              <w:jc w:val="left"/>
              <w:rPr>
                <w:rFonts w:ascii="Times New Roman" w:hAnsi="Times New Roman" w:eastAsia="仿宋"/>
                <w:color w:val="000000"/>
                <w:kern w:val="0"/>
                <w:szCs w:val="21"/>
              </w:rPr>
            </w:pPr>
            <w:r>
              <w:rPr>
                <w:rFonts w:ascii="Times New Roman" w:hAnsi="Times New Roman" w:eastAsia="仿宋"/>
                <w:szCs w:val="21"/>
              </w:rPr>
              <w:t>该模块是对科室成本核算办法的软件表达。提供按科室成本要素设置分摊方法，支持</w:t>
            </w:r>
            <w:r>
              <w:rPr>
                <w:rFonts w:hint="eastAsia" w:ascii="Times New Roman" w:hAnsi="Times New Roman" w:eastAsia="仿宋"/>
                <w:szCs w:val="21"/>
                <w:lang w:eastAsia="zh-CN"/>
              </w:rPr>
              <w:t>指定</w:t>
            </w:r>
            <w:r>
              <w:rPr>
                <w:rFonts w:ascii="Times New Roman" w:hAnsi="Times New Roman" w:eastAsia="仿宋"/>
                <w:szCs w:val="21"/>
              </w:rPr>
              <w:t>的分摊规则及平级分摊。</w:t>
            </w:r>
          </w:p>
        </w:tc>
      </w:tr>
      <w:tr>
        <w:tblPrEx>
          <w:tblCellMar>
            <w:top w:w="0" w:type="dxa"/>
            <w:left w:w="108" w:type="dxa"/>
            <w:bottom w:w="0" w:type="dxa"/>
            <w:right w:w="108" w:type="dxa"/>
          </w:tblCellMar>
        </w:tblPrEx>
        <w:trPr>
          <w:trHeight w:val="9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olor w:val="000000"/>
                <w:kern w:val="0"/>
                <w:szCs w:val="21"/>
              </w:rPr>
            </w:pPr>
            <w:r>
              <w:rPr>
                <w:rFonts w:ascii="Times New Roman" w:hAnsi="Times New Roman" w:eastAsia="仿宋"/>
                <w:szCs w:val="21"/>
              </w:rPr>
              <w:t>分摊计算</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utoSpaceDE w:val="0"/>
              <w:autoSpaceDN w:val="0"/>
              <w:adjustRightInd w:val="0"/>
              <w:spacing w:line="360" w:lineRule="auto"/>
              <w:ind w:right="17"/>
              <w:rPr>
                <w:rFonts w:ascii="Times New Roman" w:hAnsi="Times New Roman" w:eastAsia="仿宋"/>
                <w:color w:val="000000"/>
                <w:kern w:val="0"/>
                <w:szCs w:val="21"/>
              </w:rPr>
            </w:pPr>
            <w:r>
              <w:rPr>
                <w:rFonts w:ascii="Times New Roman" w:hAnsi="Times New Roman" w:eastAsia="仿宋"/>
                <w:szCs w:val="21"/>
              </w:rPr>
              <w:t>科室成本分摊共包括四步：第一步，采集成本分摊模型中各分摊参数的数值；第二步，按照科室成本模型设定的规则进行科室成本三级分级计算，根据计算结果进行成本来源的跟踪与图表分析；第三步，对结果数据进行审核校验；第四步，产生成本分析的相关指标数据，为绩效、预算管理传递数据。</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成本报表</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utoSpaceDE w:val="0"/>
              <w:autoSpaceDN w:val="0"/>
              <w:adjustRightInd w:val="0"/>
              <w:spacing w:line="360" w:lineRule="auto"/>
              <w:ind w:right="17"/>
              <w:rPr>
                <w:rFonts w:ascii="Times New Roman" w:hAnsi="Times New Roman" w:eastAsia="仿宋"/>
                <w:color w:val="000000"/>
                <w:kern w:val="0"/>
                <w:szCs w:val="21"/>
              </w:rPr>
            </w:pPr>
            <w:r>
              <w:rPr>
                <w:rFonts w:ascii="Times New Roman" w:hAnsi="Times New Roman" w:eastAsia="仿宋"/>
                <w:szCs w:val="21"/>
              </w:rPr>
              <w:t>成本报表包括全国公立医院要求的14张报表；自定义报表是用户根据自己的需求，设计报表样式和各单元格的数据内容，并生成报表进行导出、打印等功能。</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成本分析</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utoSpaceDE w:val="0"/>
              <w:autoSpaceDN w:val="0"/>
              <w:adjustRightInd w:val="0"/>
              <w:spacing w:line="360" w:lineRule="auto"/>
              <w:ind w:right="17"/>
              <w:rPr>
                <w:rFonts w:ascii="Times New Roman" w:hAnsi="Times New Roman" w:eastAsia="仿宋"/>
                <w:color w:val="000000"/>
                <w:kern w:val="0"/>
                <w:szCs w:val="21"/>
              </w:rPr>
            </w:pPr>
            <w:r>
              <w:rPr>
                <w:rFonts w:ascii="Times New Roman" w:hAnsi="Times New Roman" w:eastAsia="仿宋"/>
                <w:szCs w:val="21"/>
              </w:rPr>
              <w:t>成本分析包括综合分析、运营分析、本量利分析</w:t>
            </w:r>
            <w:r>
              <w:rPr>
                <w:rFonts w:hint="eastAsia" w:ascii="Times New Roman" w:hAnsi="Times New Roman" w:eastAsia="仿宋"/>
                <w:szCs w:val="21"/>
                <w:lang w:eastAsia="zh-CN"/>
              </w:rPr>
              <w:t>等</w:t>
            </w:r>
            <w:r>
              <w:rPr>
                <w:rFonts w:ascii="Times New Roman" w:hAnsi="Times New Roman" w:eastAsia="仿宋"/>
                <w:szCs w:val="21"/>
              </w:rPr>
              <w:t>子功能。</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成本预测</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utoSpaceDE w:val="0"/>
              <w:autoSpaceDN w:val="0"/>
              <w:adjustRightInd w:val="0"/>
              <w:spacing w:line="360" w:lineRule="auto"/>
              <w:ind w:right="17"/>
              <w:rPr>
                <w:rFonts w:ascii="Times New Roman" w:hAnsi="Times New Roman" w:eastAsia="仿宋"/>
                <w:color w:val="000000"/>
                <w:kern w:val="0"/>
                <w:szCs w:val="21"/>
              </w:rPr>
            </w:pPr>
            <w:r>
              <w:rPr>
                <w:rFonts w:ascii="Times New Roman" w:hAnsi="Times New Roman" w:eastAsia="仿宋"/>
                <w:szCs w:val="21"/>
              </w:rPr>
              <w:t>包括本利量预算、高低点预算、回归预算三种预测方法，并可对三种预算方法进行对比分析以及将实际执行数据与预算数据进行对比分析。</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成本监测</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2" w:lineRule="exact"/>
              <w:jc w:val="left"/>
              <w:rPr>
                <w:rFonts w:ascii="Times New Roman" w:hAnsi="Times New Roman" w:eastAsia="仿宋"/>
                <w:color w:val="000000"/>
                <w:kern w:val="0"/>
                <w:szCs w:val="21"/>
              </w:rPr>
            </w:pPr>
            <w:r>
              <w:rPr>
                <w:rFonts w:ascii="Times New Roman" w:hAnsi="Times New Roman" w:eastAsia="仿宋"/>
                <w:szCs w:val="21"/>
              </w:rPr>
              <w:t>生成国卫办财务函</w:t>
            </w:r>
            <w:r>
              <w:rPr>
                <w:rFonts w:hint="eastAsia" w:ascii="Times New Roman" w:hAnsi="Times New Roman" w:eastAsia="仿宋"/>
                <w:szCs w:val="21"/>
              </w:rPr>
              <w:t>〔</w:t>
            </w:r>
            <w:r>
              <w:rPr>
                <w:rFonts w:ascii="Times New Roman" w:hAnsi="Times New Roman" w:eastAsia="仿宋"/>
                <w:szCs w:val="21"/>
              </w:rPr>
              <w:t>2013</w:t>
            </w:r>
            <w:r>
              <w:rPr>
                <w:rFonts w:hint="eastAsia" w:ascii="Times New Roman" w:hAnsi="Times New Roman" w:eastAsia="仿宋"/>
                <w:szCs w:val="21"/>
              </w:rPr>
              <w:t>〕</w:t>
            </w:r>
            <w:r>
              <w:rPr>
                <w:rFonts w:ascii="Times New Roman" w:hAnsi="Times New Roman" w:eastAsia="仿宋"/>
                <w:szCs w:val="21"/>
              </w:rPr>
              <w:t>472号文件要求的《全国医疗服务价格和成本监测》平台所需提供的相关报表。</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分析报告</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2" w:lineRule="exact"/>
              <w:jc w:val="left"/>
              <w:rPr>
                <w:rFonts w:ascii="Times New Roman" w:hAnsi="Times New Roman" w:eastAsia="仿宋"/>
                <w:szCs w:val="21"/>
              </w:rPr>
            </w:pPr>
            <w:r>
              <w:rPr>
                <w:rFonts w:ascii="Times New Roman" w:hAnsi="Times New Roman" w:eastAsia="仿宋"/>
                <w:szCs w:val="21"/>
              </w:rPr>
              <w:t>支持分析报告设置、生成、查询</w:t>
            </w:r>
          </w:p>
        </w:tc>
      </w:tr>
      <w:tr>
        <w:tblPrEx>
          <w:tblCellMar>
            <w:top w:w="0" w:type="dxa"/>
            <w:left w:w="108" w:type="dxa"/>
            <w:bottom w:w="0" w:type="dxa"/>
            <w:right w:w="108" w:type="dxa"/>
          </w:tblCellMar>
        </w:tblPrEx>
        <w:trPr>
          <w:trHeight w:val="109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基础设置</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utoSpaceDE w:val="0"/>
              <w:autoSpaceDN w:val="0"/>
              <w:adjustRightInd w:val="0"/>
              <w:spacing w:line="360" w:lineRule="auto"/>
              <w:ind w:right="17"/>
              <w:rPr>
                <w:rFonts w:ascii="Times New Roman" w:hAnsi="Times New Roman" w:eastAsia="仿宋"/>
                <w:color w:val="000000"/>
                <w:kern w:val="0"/>
                <w:szCs w:val="21"/>
              </w:rPr>
            </w:pPr>
            <w:r>
              <w:rPr>
                <w:rFonts w:ascii="Times New Roman" w:hAnsi="Times New Roman" w:eastAsia="仿宋"/>
                <w:szCs w:val="21"/>
              </w:rPr>
              <w:t>包括启用设置、参数设置、字典设置、关系设置、校验规则和公告设置六部分内容。</w:t>
            </w:r>
          </w:p>
        </w:tc>
      </w:tr>
      <w:tr>
        <w:tblPrEx>
          <w:tblCellMar>
            <w:top w:w="0" w:type="dxa"/>
            <w:left w:w="108" w:type="dxa"/>
            <w:bottom w:w="0" w:type="dxa"/>
            <w:right w:w="108" w:type="dxa"/>
          </w:tblCellMar>
        </w:tblPrEx>
        <w:trPr>
          <w:trHeight w:val="1095" w:hRule="atLeast"/>
        </w:trPr>
        <w:tc>
          <w:tcPr>
            <w:tcW w:w="1276"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bookmarkStart w:id="0" w:name="_Toc514772375"/>
            <w:r>
              <w:rPr>
                <w:rFonts w:ascii="Times New Roman" w:hAnsi="Times New Roman" w:eastAsia="仿宋"/>
                <w:szCs w:val="21"/>
              </w:rPr>
              <w:t>医疗项目成本</w:t>
            </w:r>
            <w:bookmarkEnd w:id="0"/>
            <w:r>
              <w:rPr>
                <w:rFonts w:ascii="Times New Roman" w:hAnsi="Times New Roman" w:eastAsia="仿宋"/>
                <w:szCs w:val="21"/>
              </w:rPr>
              <w:t>管理系统</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基础数据</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基础</w:t>
            </w:r>
            <w:r>
              <w:rPr>
                <w:rFonts w:hint="eastAsia" w:ascii="Times New Roman" w:hAnsi="Times New Roman" w:eastAsia="仿宋"/>
                <w:szCs w:val="21"/>
                <w:lang w:eastAsia="zh-CN"/>
              </w:rPr>
              <w:t>数据</w:t>
            </w:r>
            <w:r>
              <w:rPr>
                <w:rFonts w:ascii="Times New Roman" w:hAnsi="Times New Roman" w:eastAsia="仿宋"/>
                <w:szCs w:val="21"/>
              </w:rPr>
              <w:t>包括成本核算所需要的收入数据、成本数据以及其他数据的管理功能。</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color w:val="000000"/>
                <w:szCs w:val="21"/>
              </w:rPr>
              <w:t>核算模型</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color w:val="000000"/>
                <w:szCs w:val="21"/>
              </w:rPr>
              <w:t>是核算方法的软件表达，成本核算需要至少支持三种核算方法：作业成本法、比例系数法、成本当量法。</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color w:val="000000"/>
                <w:szCs w:val="21"/>
              </w:rPr>
              <w:t>成本计算</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color w:val="000000"/>
                <w:szCs w:val="21"/>
              </w:rPr>
              <w:t>成本核算按照核算模型的规定，根据基础数据计算出各个医疗服务项目成本。成本计算包括核算方案、实际成本计算、目标成本计算、成本查询四个子功能。</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调价与</w:t>
            </w:r>
          </w:p>
          <w:p>
            <w:pPr>
              <w:widowControl/>
              <w:jc w:val="center"/>
              <w:rPr>
                <w:rFonts w:ascii="Times New Roman" w:hAnsi="Times New Roman" w:eastAsia="仿宋"/>
                <w:szCs w:val="21"/>
              </w:rPr>
            </w:pPr>
            <w:r>
              <w:rPr>
                <w:rFonts w:ascii="Times New Roman" w:hAnsi="Times New Roman" w:eastAsia="仿宋"/>
                <w:szCs w:val="21"/>
              </w:rPr>
              <w:t>补偿测算</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该功能实现医院自行测算项目调价对医院造成的影响，进而可根据测算结果对医院自主定价提供数据测算依据；实现根据医院项目成本的核算结果测算医院应得的政府补偿，提供和政府谈判</w:t>
            </w:r>
            <w:r>
              <w:rPr>
                <w:rFonts w:hint="eastAsia" w:ascii="Times New Roman" w:hAnsi="Times New Roman" w:eastAsia="仿宋"/>
                <w:szCs w:val="21"/>
                <w:lang w:eastAsia="zh-CN"/>
              </w:rPr>
              <w:t>的</w:t>
            </w:r>
            <w:r>
              <w:rPr>
                <w:rFonts w:ascii="Times New Roman" w:hAnsi="Times New Roman" w:eastAsia="仿宋"/>
                <w:szCs w:val="21"/>
              </w:rPr>
              <w:t>数据基础。</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知识库</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内置了如标准医疗服务项目的项目作业库、项目耗材库、项目设备库，用户在进行成本核算时，可以根据自己医院的情况建立，也可以将医院的医疗服务项目与标准医疗服务项目建立对应关系。</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成本报表</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包括成本收益、成本分析、成本结构、成本控制四大类17张报表。</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成本分析</w:t>
            </w:r>
          </w:p>
        </w:tc>
        <w:tc>
          <w:tcPr>
            <w:tcW w:w="6379" w:type="dxa"/>
            <w:tcBorders>
              <w:top w:val="single" w:color="auto" w:sz="4" w:space="0"/>
              <w:left w:val="nil"/>
              <w:bottom w:val="single" w:color="auto" w:sz="4" w:space="0"/>
              <w:right w:val="single" w:color="000000"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包括人员效率分析、设备使用率分析、物资利用率分析以及目标成本分析。</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分析报告</w:t>
            </w:r>
          </w:p>
        </w:tc>
        <w:tc>
          <w:tcPr>
            <w:tcW w:w="6379" w:type="dxa"/>
            <w:tcBorders>
              <w:top w:val="single" w:color="auto" w:sz="4" w:space="0"/>
              <w:left w:val="nil"/>
              <w:bottom w:val="single" w:color="auto" w:sz="4" w:space="0"/>
              <w:right w:val="single" w:color="000000" w:sz="4" w:space="0"/>
            </w:tcBorders>
            <w:shd w:val="clear" w:color="auto" w:fill="auto"/>
            <w:vAlign w:val="center"/>
          </w:tcPr>
          <w:p>
            <w:pPr>
              <w:widowControl/>
              <w:spacing w:line="572" w:lineRule="exact"/>
              <w:jc w:val="left"/>
              <w:rPr>
                <w:rFonts w:ascii="Times New Roman" w:hAnsi="Times New Roman" w:eastAsia="仿宋"/>
                <w:szCs w:val="21"/>
              </w:rPr>
            </w:pPr>
            <w:r>
              <w:rPr>
                <w:rFonts w:ascii="Times New Roman" w:hAnsi="Times New Roman" w:eastAsia="仿宋"/>
                <w:szCs w:val="21"/>
              </w:rPr>
              <w:t>支持分析报告设置、生成、查询</w:t>
            </w:r>
          </w:p>
        </w:tc>
      </w:tr>
      <w:tr>
        <w:tblPrEx>
          <w:tblCellMar>
            <w:top w:w="0" w:type="dxa"/>
            <w:left w:w="108" w:type="dxa"/>
            <w:bottom w:w="0" w:type="dxa"/>
            <w:right w:w="108" w:type="dxa"/>
          </w:tblCellMar>
        </w:tblPrEx>
        <w:trPr>
          <w:trHeight w:val="1095" w:hRule="atLeast"/>
        </w:trPr>
        <w:tc>
          <w:tcPr>
            <w:tcW w:w="1276"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r>
              <w:rPr>
                <w:rFonts w:ascii="Times New Roman" w:hAnsi="Times New Roman" w:eastAsia="仿宋"/>
                <w:szCs w:val="21"/>
              </w:rPr>
              <w:t>病种成本管理系统</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基础数据</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该功能实现病人数据维护，维护数据包括病人病案首页数据、病人病历收费明细数据以及临床路径的添加、修改、删除、查询等功能和项目成本核算的查看功能。</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核算模型</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该功能实现按照给定的规则筛选样本病历数据，按病种的定义进行合并，再除以样本数量，得到病种的核算模型</w:t>
            </w:r>
            <w:r>
              <w:rPr>
                <w:rFonts w:hint="eastAsia" w:ascii="Times New Roman" w:hAnsi="Times New Roman" w:eastAsia="仿宋"/>
                <w:szCs w:val="21"/>
                <w:lang w:eastAsia="zh-CN"/>
              </w:rPr>
              <w:t>、</w:t>
            </w:r>
            <w:r>
              <w:rPr>
                <w:rFonts w:ascii="Times New Roman" w:hAnsi="Times New Roman" w:eastAsia="仿宋"/>
                <w:szCs w:val="21"/>
              </w:rPr>
              <w:t>分科室级核算模型、院级核算模型。</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成本计算</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成本计算包括核算方案、实际成本计算和目标成本计算三个子模块。</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病种成本分析</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仿宋"/>
                <w:color w:val="000000"/>
                <w:kern w:val="0"/>
                <w:szCs w:val="21"/>
              </w:rPr>
            </w:pPr>
            <w:r>
              <w:rPr>
                <w:rFonts w:ascii="Times New Roman" w:hAnsi="Times New Roman" w:eastAsia="仿宋"/>
                <w:szCs w:val="21"/>
              </w:rPr>
              <w:t>从病人成本、科室病种成本、院级病种成本、成本控制几个角度进行分析。分析从盈亏的总体情况挖掘到各个收费类别再到具体的收费项目。</w:t>
            </w:r>
          </w:p>
        </w:tc>
      </w:tr>
      <w:tr>
        <w:tblPrEx>
          <w:tblCellMar>
            <w:top w:w="0" w:type="dxa"/>
            <w:left w:w="108" w:type="dxa"/>
            <w:bottom w:w="0" w:type="dxa"/>
            <w:right w:w="108" w:type="dxa"/>
          </w:tblCellMar>
        </w:tblPrEx>
        <w:trPr>
          <w:trHeight w:val="1095" w:hRule="atLeast"/>
        </w:trPr>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szCs w:val="21"/>
              </w:rPr>
            </w:pPr>
            <w:r>
              <w:rPr>
                <w:rFonts w:ascii="Times New Roman" w:hAnsi="Times New Roman" w:eastAsia="仿宋"/>
                <w:szCs w:val="21"/>
              </w:rPr>
              <w:t>分析报告</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2" w:lineRule="exact"/>
              <w:jc w:val="left"/>
              <w:rPr>
                <w:rFonts w:ascii="Times New Roman" w:hAnsi="Times New Roman" w:eastAsia="仿宋"/>
                <w:szCs w:val="21"/>
              </w:rPr>
            </w:pPr>
            <w:r>
              <w:rPr>
                <w:rFonts w:ascii="Times New Roman" w:hAnsi="Times New Roman" w:eastAsia="仿宋"/>
                <w:szCs w:val="21"/>
              </w:rPr>
              <w:t>支持分析报告设置、生成、查询</w:t>
            </w:r>
          </w:p>
        </w:tc>
      </w:tr>
    </w:tbl>
    <w:p>
      <w:pPr>
        <w:spacing w:line="518" w:lineRule="exact"/>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mbria">
    <w:panose1 w:val="02040503050406030204"/>
    <w:charset w:val="00"/>
    <w:family w:val="modern"/>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1" w:csb1="00000000"/>
  </w:font>
  <w:font w:name="仿宋">
    <w:panose1 w:val="02010609060101010101"/>
    <w:charset w:val="86"/>
    <w:family w:val="swiss"/>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985CA"/>
    <w:multiLevelType w:val="singleLevel"/>
    <w:tmpl w:val="822985CA"/>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0DC"/>
    <w:rsid w:val="00014E56"/>
    <w:rsid w:val="00026325"/>
    <w:rsid w:val="000268C1"/>
    <w:rsid w:val="000309A3"/>
    <w:rsid w:val="000312F8"/>
    <w:rsid w:val="00050585"/>
    <w:rsid w:val="00051CD7"/>
    <w:rsid w:val="000522C4"/>
    <w:rsid w:val="00064FEE"/>
    <w:rsid w:val="000919FE"/>
    <w:rsid w:val="000923F4"/>
    <w:rsid w:val="00097F26"/>
    <w:rsid w:val="000A090A"/>
    <w:rsid w:val="000A27C8"/>
    <w:rsid w:val="000B4396"/>
    <w:rsid w:val="000C3C4C"/>
    <w:rsid w:val="000D1224"/>
    <w:rsid w:val="000F1B91"/>
    <w:rsid w:val="00101C4E"/>
    <w:rsid w:val="00106CCD"/>
    <w:rsid w:val="00123942"/>
    <w:rsid w:val="001324D7"/>
    <w:rsid w:val="00140211"/>
    <w:rsid w:val="00146385"/>
    <w:rsid w:val="0015313F"/>
    <w:rsid w:val="001540CD"/>
    <w:rsid w:val="00155A10"/>
    <w:rsid w:val="00156601"/>
    <w:rsid w:val="00165E6C"/>
    <w:rsid w:val="00194A8A"/>
    <w:rsid w:val="001B0F2B"/>
    <w:rsid w:val="001C27F4"/>
    <w:rsid w:val="001C2EC9"/>
    <w:rsid w:val="001D52CA"/>
    <w:rsid w:val="001D6C79"/>
    <w:rsid w:val="001E1990"/>
    <w:rsid w:val="001E2972"/>
    <w:rsid w:val="001E591B"/>
    <w:rsid w:val="001F771E"/>
    <w:rsid w:val="00200701"/>
    <w:rsid w:val="00204DA2"/>
    <w:rsid w:val="00207B0D"/>
    <w:rsid w:val="00211CDC"/>
    <w:rsid w:val="002325B6"/>
    <w:rsid w:val="00243D67"/>
    <w:rsid w:val="00243E68"/>
    <w:rsid w:val="00246B54"/>
    <w:rsid w:val="00246C70"/>
    <w:rsid w:val="002532EC"/>
    <w:rsid w:val="00261B00"/>
    <w:rsid w:val="00263DCB"/>
    <w:rsid w:val="00273BD9"/>
    <w:rsid w:val="00276AD6"/>
    <w:rsid w:val="00286EA0"/>
    <w:rsid w:val="002A1DBA"/>
    <w:rsid w:val="002B05C3"/>
    <w:rsid w:val="002B7DF6"/>
    <w:rsid w:val="002D31DD"/>
    <w:rsid w:val="002E6511"/>
    <w:rsid w:val="002F46DF"/>
    <w:rsid w:val="002F650B"/>
    <w:rsid w:val="00303184"/>
    <w:rsid w:val="00305FF8"/>
    <w:rsid w:val="00314A4B"/>
    <w:rsid w:val="00320FC8"/>
    <w:rsid w:val="00341341"/>
    <w:rsid w:val="00343D33"/>
    <w:rsid w:val="00344D3F"/>
    <w:rsid w:val="00353DCA"/>
    <w:rsid w:val="0035685D"/>
    <w:rsid w:val="00362E86"/>
    <w:rsid w:val="003657C4"/>
    <w:rsid w:val="003735D9"/>
    <w:rsid w:val="00380630"/>
    <w:rsid w:val="003835AA"/>
    <w:rsid w:val="00386DE3"/>
    <w:rsid w:val="003A692A"/>
    <w:rsid w:val="003B428C"/>
    <w:rsid w:val="003B473D"/>
    <w:rsid w:val="003C2987"/>
    <w:rsid w:val="003D255E"/>
    <w:rsid w:val="003D4D5C"/>
    <w:rsid w:val="004105DA"/>
    <w:rsid w:val="004365E4"/>
    <w:rsid w:val="004439DC"/>
    <w:rsid w:val="004504D4"/>
    <w:rsid w:val="00457970"/>
    <w:rsid w:val="004662CC"/>
    <w:rsid w:val="00470EB8"/>
    <w:rsid w:val="0047280D"/>
    <w:rsid w:val="00474C29"/>
    <w:rsid w:val="00481229"/>
    <w:rsid w:val="00483918"/>
    <w:rsid w:val="004841ED"/>
    <w:rsid w:val="00485923"/>
    <w:rsid w:val="00487666"/>
    <w:rsid w:val="004A0BAB"/>
    <w:rsid w:val="004B41E7"/>
    <w:rsid w:val="004B6168"/>
    <w:rsid w:val="004E58D8"/>
    <w:rsid w:val="0052050B"/>
    <w:rsid w:val="0052058E"/>
    <w:rsid w:val="005258C1"/>
    <w:rsid w:val="00535F6D"/>
    <w:rsid w:val="00536FE0"/>
    <w:rsid w:val="00546C2A"/>
    <w:rsid w:val="0055487E"/>
    <w:rsid w:val="0055652D"/>
    <w:rsid w:val="0055679C"/>
    <w:rsid w:val="00561161"/>
    <w:rsid w:val="00577B7F"/>
    <w:rsid w:val="00591241"/>
    <w:rsid w:val="00592694"/>
    <w:rsid w:val="005A0E21"/>
    <w:rsid w:val="005A78D7"/>
    <w:rsid w:val="005B13DF"/>
    <w:rsid w:val="005C1EFB"/>
    <w:rsid w:val="005C21E3"/>
    <w:rsid w:val="005D1042"/>
    <w:rsid w:val="005D6CCB"/>
    <w:rsid w:val="005D7943"/>
    <w:rsid w:val="005F43CC"/>
    <w:rsid w:val="005F6103"/>
    <w:rsid w:val="0061394C"/>
    <w:rsid w:val="00613CA8"/>
    <w:rsid w:val="006154E5"/>
    <w:rsid w:val="00615D1D"/>
    <w:rsid w:val="00616205"/>
    <w:rsid w:val="00616DF9"/>
    <w:rsid w:val="00632CF1"/>
    <w:rsid w:val="0064199D"/>
    <w:rsid w:val="006728C2"/>
    <w:rsid w:val="00673E71"/>
    <w:rsid w:val="00675227"/>
    <w:rsid w:val="0069140A"/>
    <w:rsid w:val="006C7289"/>
    <w:rsid w:val="006D7B78"/>
    <w:rsid w:val="006D7D67"/>
    <w:rsid w:val="006E0E1C"/>
    <w:rsid w:val="006E3A8E"/>
    <w:rsid w:val="006E5BC7"/>
    <w:rsid w:val="006E61D3"/>
    <w:rsid w:val="006F359E"/>
    <w:rsid w:val="00705781"/>
    <w:rsid w:val="00725E54"/>
    <w:rsid w:val="00733DEC"/>
    <w:rsid w:val="0073515B"/>
    <w:rsid w:val="0074597B"/>
    <w:rsid w:val="007550CC"/>
    <w:rsid w:val="0076241D"/>
    <w:rsid w:val="0077101B"/>
    <w:rsid w:val="00771849"/>
    <w:rsid w:val="007751F7"/>
    <w:rsid w:val="00776110"/>
    <w:rsid w:val="007879F7"/>
    <w:rsid w:val="00790F09"/>
    <w:rsid w:val="007A7C96"/>
    <w:rsid w:val="007B5FA4"/>
    <w:rsid w:val="007C025F"/>
    <w:rsid w:val="007C4B03"/>
    <w:rsid w:val="007D5782"/>
    <w:rsid w:val="007E46EB"/>
    <w:rsid w:val="00801D07"/>
    <w:rsid w:val="00810219"/>
    <w:rsid w:val="00810579"/>
    <w:rsid w:val="00812917"/>
    <w:rsid w:val="00822B7F"/>
    <w:rsid w:val="008368B5"/>
    <w:rsid w:val="00840AF0"/>
    <w:rsid w:val="00847A12"/>
    <w:rsid w:val="008533FB"/>
    <w:rsid w:val="00853E97"/>
    <w:rsid w:val="00860D54"/>
    <w:rsid w:val="00866135"/>
    <w:rsid w:val="0086723A"/>
    <w:rsid w:val="00873C2D"/>
    <w:rsid w:val="00877F0C"/>
    <w:rsid w:val="008A6F78"/>
    <w:rsid w:val="008B1CE6"/>
    <w:rsid w:val="008D2955"/>
    <w:rsid w:val="008D51FF"/>
    <w:rsid w:val="008E2286"/>
    <w:rsid w:val="008E7EB2"/>
    <w:rsid w:val="008F0141"/>
    <w:rsid w:val="008F1546"/>
    <w:rsid w:val="00920591"/>
    <w:rsid w:val="00921C67"/>
    <w:rsid w:val="00946A6D"/>
    <w:rsid w:val="00950A5A"/>
    <w:rsid w:val="00961A15"/>
    <w:rsid w:val="00963251"/>
    <w:rsid w:val="00974B0B"/>
    <w:rsid w:val="009758AB"/>
    <w:rsid w:val="00977F98"/>
    <w:rsid w:val="00995C27"/>
    <w:rsid w:val="009A024F"/>
    <w:rsid w:val="009A4925"/>
    <w:rsid w:val="009B423F"/>
    <w:rsid w:val="009D10ED"/>
    <w:rsid w:val="009E244F"/>
    <w:rsid w:val="009F7C2B"/>
    <w:rsid w:val="00A00B77"/>
    <w:rsid w:val="00A03D19"/>
    <w:rsid w:val="00A05930"/>
    <w:rsid w:val="00A07113"/>
    <w:rsid w:val="00A258EA"/>
    <w:rsid w:val="00A265AB"/>
    <w:rsid w:val="00A27603"/>
    <w:rsid w:val="00A2789F"/>
    <w:rsid w:val="00A32102"/>
    <w:rsid w:val="00A32152"/>
    <w:rsid w:val="00A44BD5"/>
    <w:rsid w:val="00A724A3"/>
    <w:rsid w:val="00A909E0"/>
    <w:rsid w:val="00AA1243"/>
    <w:rsid w:val="00AA5191"/>
    <w:rsid w:val="00AD2770"/>
    <w:rsid w:val="00AD45D6"/>
    <w:rsid w:val="00AE6355"/>
    <w:rsid w:val="00B05E05"/>
    <w:rsid w:val="00B2341F"/>
    <w:rsid w:val="00B30758"/>
    <w:rsid w:val="00B4238B"/>
    <w:rsid w:val="00B4304E"/>
    <w:rsid w:val="00B523B8"/>
    <w:rsid w:val="00B5664E"/>
    <w:rsid w:val="00B61CA2"/>
    <w:rsid w:val="00B65232"/>
    <w:rsid w:val="00B664ED"/>
    <w:rsid w:val="00B849E5"/>
    <w:rsid w:val="00B84F06"/>
    <w:rsid w:val="00BA0343"/>
    <w:rsid w:val="00BA3B1C"/>
    <w:rsid w:val="00BA6A3E"/>
    <w:rsid w:val="00BB4F1E"/>
    <w:rsid w:val="00BC60AE"/>
    <w:rsid w:val="00BD09EF"/>
    <w:rsid w:val="00BD7FDE"/>
    <w:rsid w:val="00BF0019"/>
    <w:rsid w:val="00C00E16"/>
    <w:rsid w:val="00C200DF"/>
    <w:rsid w:val="00C250DC"/>
    <w:rsid w:val="00C402F2"/>
    <w:rsid w:val="00C47AC4"/>
    <w:rsid w:val="00C72982"/>
    <w:rsid w:val="00C75E22"/>
    <w:rsid w:val="00C87F5B"/>
    <w:rsid w:val="00C95275"/>
    <w:rsid w:val="00CA5C12"/>
    <w:rsid w:val="00CA6777"/>
    <w:rsid w:val="00CA7224"/>
    <w:rsid w:val="00CB33DE"/>
    <w:rsid w:val="00CE2CBA"/>
    <w:rsid w:val="00CF41EB"/>
    <w:rsid w:val="00CF5440"/>
    <w:rsid w:val="00CF5F9F"/>
    <w:rsid w:val="00D018C8"/>
    <w:rsid w:val="00D023F9"/>
    <w:rsid w:val="00D10040"/>
    <w:rsid w:val="00D330DF"/>
    <w:rsid w:val="00D51F68"/>
    <w:rsid w:val="00D619C1"/>
    <w:rsid w:val="00D80C91"/>
    <w:rsid w:val="00D907E4"/>
    <w:rsid w:val="00DB4BE1"/>
    <w:rsid w:val="00DB6473"/>
    <w:rsid w:val="00DC11C7"/>
    <w:rsid w:val="00DC6530"/>
    <w:rsid w:val="00DD4118"/>
    <w:rsid w:val="00DE1A50"/>
    <w:rsid w:val="00DE77A9"/>
    <w:rsid w:val="00DF3B7D"/>
    <w:rsid w:val="00E07FBF"/>
    <w:rsid w:val="00E1341D"/>
    <w:rsid w:val="00E32FED"/>
    <w:rsid w:val="00E3585D"/>
    <w:rsid w:val="00E53E3A"/>
    <w:rsid w:val="00E57701"/>
    <w:rsid w:val="00E60AB4"/>
    <w:rsid w:val="00E61DAC"/>
    <w:rsid w:val="00E63893"/>
    <w:rsid w:val="00E67677"/>
    <w:rsid w:val="00E9296F"/>
    <w:rsid w:val="00EA0D7A"/>
    <w:rsid w:val="00EA3DF7"/>
    <w:rsid w:val="00EB54A1"/>
    <w:rsid w:val="00EC027C"/>
    <w:rsid w:val="00EC263D"/>
    <w:rsid w:val="00ED05F1"/>
    <w:rsid w:val="00EE65F9"/>
    <w:rsid w:val="00EE7294"/>
    <w:rsid w:val="00F01840"/>
    <w:rsid w:val="00F136B7"/>
    <w:rsid w:val="00F15831"/>
    <w:rsid w:val="00F15A0B"/>
    <w:rsid w:val="00F25002"/>
    <w:rsid w:val="00F26ACA"/>
    <w:rsid w:val="00F42C64"/>
    <w:rsid w:val="00F44280"/>
    <w:rsid w:val="00F527D3"/>
    <w:rsid w:val="00F648DB"/>
    <w:rsid w:val="00F97CE2"/>
    <w:rsid w:val="00FC1DBE"/>
    <w:rsid w:val="00FC2408"/>
    <w:rsid w:val="00FF2DD8"/>
    <w:rsid w:val="00FF56C9"/>
    <w:rsid w:val="033A0B59"/>
    <w:rsid w:val="040767C0"/>
    <w:rsid w:val="071952B1"/>
    <w:rsid w:val="0EA22531"/>
    <w:rsid w:val="10DB5FCA"/>
    <w:rsid w:val="1482417B"/>
    <w:rsid w:val="2D7B12F4"/>
    <w:rsid w:val="34DE07FF"/>
    <w:rsid w:val="3B9A18CA"/>
    <w:rsid w:val="3ED34505"/>
    <w:rsid w:val="521D2144"/>
    <w:rsid w:val="54F31C6D"/>
    <w:rsid w:val="59922F80"/>
    <w:rsid w:val="6425579D"/>
    <w:rsid w:val="650F0D6A"/>
    <w:rsid w:val="6B8538F6"/>
    <w:rsid w:val="6D890A8D"/>
    <w:rsid w:val="7E170124"/>
    <w:rsid w:val="7F866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Document Map"/>
    <w:basedOn w:val="1"/>
    <w:link w:val="24"/>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kern w:val="0"/>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7"/>
    <w:qFormat/>
    <w:uiPriority w:val="99"/>
    <w:rPr>
      <w:sz w:val="18"/>
      <w:szCs w:val="18"/>
    </w:rPr>
  </w:style>
  <w:style w:type="character" w:customStyle="1" w:styleId="12">
    <w:name w:val="页脚 Char"/>
    <w:link w:val="6"/>
    <w:qFormat/>
    <w:uiPriority w:val="99"/>
    <w:rPr>
      <w:sz w:val="18"/>
      <w:szCs w:val="18"/>
    </w:rPr>
  </w:style>
  <w:style w:type="character" w:customStyle="1" w:styleId="13">
    <w:name w:val="标题 1 Char"/>
    <w:link w:val="2"/>
    <w:qFormat/>
    <w:uiPriority w:val="9"/>
    <w:rPr>
      <w:b/>
      <w:bCs/>
      <w:kern w:val="44"/>
      <w:sz w:val="44"/>
      <w:szCs w:val="44"/>
    </w:rPr>
  </w:style>
  <w:style w:type="character" w:customStyle="1" w:styleId="14">
    <w:name w:val="标题 2 Char"/>
    <w:link w:val="3"/>
    <w:qFormat/>
    <w:uiPriority w:val="9"/>
    <w:rPr>
      <w:rFonts w:ascii="Calibri Light" w:hAnsi="Calibri Light" w:eastAsia="宋体" w:cs="Times New Roman"/>
      <w:b/>
      <w:bCs/>
      <w:sz w:val="32"/>
      <w:szCs w:val="32"/>
    </w:rPr>
  </w:style>
  <w:style w:type="paragraph" w:customStyle="1" w:styleId="15">
    <w:name w:val="列出段落1"/>
    <w:basedOn w:val="1"/>
    <w:link w:val="18"/>
    <w:qFormat/>
    <w:uiPriority w:val="34"/>
    <w:pPr>
      <w:ind w:firstLine="420" w:firstLineChars="200"/>
    </w:pPr>
    <w:rPr>
      <w:rFonts w:ascii="Cambria" w:hAnsi="Cambria"/>
      <w:sz w:val="24"/>
      <w:szCs w:val="24"/>
    </w:rPr>
  </w:style>
  <w:style w:type="paragraph" w:customStyle="1" w:styleId="16">
    <w:name w:val="List Paragraph1"/>
    <w:basedOn w:val="1"/>
    <w:qFormat/>
    <w:uiPriority w:val="99"/>
    <w:pPr>
      <w:ind w:firstLine="420" w:firstLineChars="200"/>
    </w:pPr>
    <w:rPr>
      <w:rFonts w:cs="Calibri"/>
      <w:szCs w:val="21"/>
    </w:rPr>
  </w:style>
  <w:style w:type="paragraph" w:customStyle="1" w:styleId="17">
    <w:name w:val="USE 1"/>
    <w:basedOn w:val="1"/>
    <w:qFormat/>
    <w:uiPriority w:val="0"/>
    <w:pPr>
      <w:spacing w:line="200" w:lineRule="atLeast"/>
      <w:jc w:val="left"/>
    </w:pPr>
    <w:rPr>
      <w:rFonts w:ascii="宋体" w:hAnsi="宋体"/>
      <w:b/>
      <w:sz w:val="24"/>
      <w:szCs w:val="28"/>
    </w:rPr>
  </w:style>
  <w:style w:type="character" w:customStyle="1" w:styleId="18">
    <w:name w:val="列出段落 Char"/>
    <w:link w:val="15"/>
    <w:qFormat/>
    <w:uiPriority w:val="34"/>
    <w:rPr>
      <w:rFonts w:ascii="Cambria" w:hAnsi="Cambria"/>
      <w:kern w:val="2"/>
      <w:sz w:val="24"/>
      <w:szCs w:val="24"/>
    </w:rPr>
  </w:style>
  <w:style w:type="character" w:customStyle="1" w:styleId="19">
    <w:name w:val="标题 3 Char"/>
    <w:link w:val="4"/>
    <w:qFormat/>
    <w:uiPriority w:val="9"/>
    <w:rPr>
      <w:b/>
      <w:bCs/>
      <w:kern w:val="2"/>
      <w:sz w:val="32"/>
      <w:szCs w:val="32"/>
    </w:rPr>
  </w:style>
  <w:style w:type="paragraph" w:customStyle="1" w:styleId="20">
    <w:name w:val="列出段落11"/>
    <w:basedOn w:val="1"/>
    <w:qFormat/>
    <w:uiPriority w:val="0"/>
    <w:pPr>
      <w:ind w:firstLine="420" w:firstLineChars="200"/>
    </w:pPr>
    <w:rPr>
      <w:rFonts w:ascii="Times New Roman" w:hAnsi="Times New Roman"/>
      <w:szCs w:val="20"/>
    </w:rPr>
  </w:style>
  <w:style w:type="paragraph" w:customStyle="1" w:styleId="21">
    <w:name w:val="Char Char6 Char Char Char Char"/>
    <w:basedOn w:val="1"/>
    <w:next w:val="2"/>
    <w:qFormat/>
    <w:uiPriority w:val="0"/>
    <w:pPr>
      <w:widowControl/>
      <w:snapToGrid w:val="0"/>
      <w:spacing w:beforeLines="50" w:afterLines="50" w:line="520" w:lineRule="atLeast"/>
      <w:ind w:firstLine="200" w:firstLineChars="200"/>
    </w:pPr>
    <w:rPr>
      <w:rFonts w:ascii="Times New Roman" w:hAnsi="Times New Roman"/>
      <w:szCs w:val="24"/>
    </w:rPr>
  </w:style>
  <w:style w:type="character" w:customStyle="1" w:styleId="22">
    <w:name w:val="Body Text First Indent 2 Char Char"/>
    <w:link w:val="23"/>
    <w:qFormat/>
    <w:uiPriority w:val="0"/>
    <w:rPr>
      <w:sz w:val="24"/>
      <w:szCs w:val="24"/>
    </w:rPr>
  </w:style>
  <w:style w:type="paragraph" w:customStyle="1" w:styleId="23">
    <w:name w:val="正文首行缩进 21"/>
    <w:basedOn w:val="1"/>
    <w:link w:val="22"/>
    <w:qFormat/>
    <w:uiPriority w:val="0"/>
    <w:pPr>
      <w:spacing w:before="340" w:after="120" w:line="578" w:lineRule="auto"/>
      <w:ind w:left="420" w:leftChars="200" w:firstLine="420" w:firstLineChars="200"/>
    </w:pPr>
    <w:rPr>
      <w:kern w:val="0"/>
      <w:sz w:val="24"/>
      <w:szCs w:val="24"/>
    </w:rPr>
  </w:style>
  <w:style w:type="character" w:customStyle="1" w:styleId="24">
    <w:name w:val="文档结构图 Char"/>
    <w:link w:val="5"/>
    <w:semiHidden/>
    <w:qFormat/>
    <w:uiPriority w:val="99"/>
    <w:rPr>
      <w:rFonts w:ascii="宋体"/>
      <w:kern w:val="2"/>
      <w:sz w:val="18"/>
      <w:szCs w:val="18"/>
    </w:rPr>
  </w:style>
  <w:style w:type="character" w:customStyle="1" w:styleId="25">
    <w:name w:val="列出段落 Char1"/>
    <w:qFormat/>
    <w:locked/>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1794</Words>
  <Characters>117</Characters>
  <Lines>1</Lines>
  <Paragraphs>3</Paragraphs>
  <TotalTime>0</TotalTime>
  <ScaleCrop>false</ScaleCrop>
  <LinksUpToDate>false</LinksUpToDate>
  <CharactersWithSpaces>1908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2019-07-09T04:27:00Z</dcterms:created>
  <dc:creator>xh</dc:creator>
  <cp:lastModifiedBy>李</cp:lastModifiedBy>
  <cp:lastPrinted>2021-03-11T03:10:00Z</cp:lastPrinted>
  <dcterms:modified xsi:type="dcterms:W3CDTF">2021-03-26T06:32:05Z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5D626D11D6424E54A5F1CCDA47BF0882</vt:lpwstr>
  </property>
</Properties>
</file>