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1"/>
          <w:numId w:val="1"/>
        </w:numPr>
        <w:tabs>
          <w:tab w:val="left" w:pos="420"/>
        </w:tabs>
      </w:pPr>
      <w:bookmarkStart w:id="0" w:name="_Toc66304619"/>
      <w:r>
        <w:rPr>
          <w:rFonts w:hint="eastAsia"/>
        </w:rPr>
        <w:t>项目名称</w:t>
      </w:r>
      <w:bookmarkEnd w:id="0"/>
    </w:p>
    <w:p>
      <w:pPr>
        <w:pStyle w:val="3"/>
        <w:ind w:firstLine="480"/>
      </w:pPr>
      <w:r>
        <w:rPr>
          <w:rFonts w:hint="eastAsia"/>
        </w:rPr>
        <w:t>分值付费下基于临床实际的病组费用精细化管理系统</w:t>
      </w:r>
    </w:p>
    <w:p>
      <w:pPr>
        <w:pStyle w:val="2"/>
        <w:numPr>
          <w:ilvl w:val="1"/>
          <w:numId w:val="1"/>
        </w:numPr>
        <w:tabs>
          <w:tab w:val="left" w:pos="420"/>
        </w:tabs>
      </w:pPr>
      <w:bookmarkStart w:id="1" w:name="_Toc66304621"/>
      <w:r>
        <w:rPr>
          <w:rFonts w:hint="eastAsia"/>
        </w:rPr>
        <w:t>建设任务</w:t>
      </w:r>
      <w:bookmarkEnd w:id="1"/>
    </w:p>
    <w:p>
      <w:pPr>
        <w:pStyle w:val="5"/>
        <w:numPr>
          <w:ilvl w:val="2"/>
          <w:numId w:val="1"/>
        </w:numPr>
        <w:tabs>
          <w:tab w:val="left" w:pos="420"/>
        </w:tabs>
      </w:pPr>
      <w:bookmarkStart w:id="2" w:name="_Toc66304622"/>
      <w:r>
        <w:rPr>
          <w:rFonts w:hint="eastAsia"/>
        </w:rPr>
        <w:t>数据标准管理子系统</w:t>
      </w:r>
      <w:bookmarkEnd w:id="2"/>
    </w:p>
    <w:p>
      <w:pPr>
        <w:pStyle w:val="3"/>
        <w:ind w:firstLine="480"/>
      </w:pPr>
      <w:r>
        <w:rPr>
          <w:rFonts w:hint="eastAsia"/>
        </w:rPr>
        <w:t>在国家医保局十五项医保业务编码标准、卫健委《住院病案首页数据质量与控制指标》、《</w:t>
      </w:r>
      <w:r>
        <w:t>HQMS</w:t>
      </w:r>
      <w:r>
        <w:rPr>
          <w:rFonts w:hint="eastAsia"/>
        </w:rPr>
        <w:t>数据对接接口校验规则》等要求的基础上，按照成都医保局按病组分值付费、</w:t>
      </w:r>
      <w:r>
        <w:t>CHS-DRG</w:t>
      </w:r>
      <w:r>
        <w:rPr>
          <w:rFonts w:hint="eastAsia"/>
        </w:rPr>
        <w:t>、</w:t>
      </w:r>
      <w:r>
        <w:t>DIP</w:t>
      </w:r>
      <w:r>
        <w:rPr>
          <w:rFonts w:hint="eastAsia"/>
        </w:rPr>
        <w:t>以及华西版粒度分组等标准规范要求，建设数据标准管理应用包括数据标准化处理、疾病诊断智能适配、病案首页质量控制等功能模块，实现院内医疗服务全过程数据的采集、处理、质控和存储，为病组精细化管理相关应用打下坚实的数据基础。</w:t>
      </w:r>
    </w:p>
    <w:p>
      <w:pPr>
        <w:pStyle w:val="5"/>
        <w:numPr>
          <w:ilvl w:val="2"/>
          <w:numId w:val="1"/>
        </w:numPr>
        <w:tabs>
          <w:tab w:val="left" w:pos="420"/>
        </w:tabs>
      </w:pPr>
      <w:bookmarkStart w:id="3" w:name="_Toc66304623"/>
      <w:r>
        <w:rPr>
          <w:rFonts w:hint="eastAsia"/>
        </w:rPr>
        <w:t>疾病分组管理子系统</w:t>
      </w:r>
      <w:bookmarkEnd w:id="3"/>
    </w:p>
    <w:p>
      <w:pPr>
        <w:pStyle w:val="3"/>
        <w:ind w:firstLine="480"/>
      </w:pPr>
      <w:r>
        <w:rPr>
          <w:rFonts w:hint="eastAsia"/>
        </w:rPr>
        <w:t>在满足省医保</w:t>
      </w:r>
      <w:r>
        <w:t>CHS-DRG</w:t>
      </w:r>
      <w:r>
        <w:rPr>
          <w:rFonts w:hint="eastAsia"/>
        </w:rPr>
        <w:t>分组付费、市医保按病组分值付费的基础上，结合我院医疗行为精细化管理需求，建设疾病分组管理子系统，为不同付费标准体系下院内医保费用管理、诊疗行为管理、院内绩效管理等应用提供支撑。</w:t>
      </w:r>
    </w:p>
    <w:p>
      <w:pPr>
        <w:pStyle w:val="5"/>
        <w:numPr>
          <w:ilvl w:val="2"/>
          <w:numId w:val="1"/>
        </w:numPr>
        <w:tabs>
          <w:tab w:val="left" w:pos="420"/>
        </w:tabs>
      </w:pPr>
      <w:bookmarkStart w:id="4" w:name="_Toc66304624"/>
      <w:r>
        <w:rPr>
          <w:rFonts w:hint="eastAsia"/>
        </w:rPr>
        <w:t>医保费用管理子系统</w:t>
      </w:r>
      <w:bookmarkEnd w:id="4"/>
    </w:p>
    <w:p>
      <w:pPr>
        <w:pStyle w:val="3"/>
        <w:ind w:firstLine="480"/>
      </w:pPr>
      <w:r>
        <w:rPr>
          <w:rFonts w:hint="eastAsia"/>
        </w:rPr>
        <w:t>按照省医保</w:t>
      </w:r>
      <w:r>
        <w:t>CHS-DRG</w:t>
      </w:r>
      <w:r>
        <w:rPr>
          <w:rFonts w:hint="eastAsia"/>
        </w:rPr>
        <w:t>分组付费和市医保按病组分值付费等医保政策要求，建设医保费用管理子系统，提供包括诊断编码智能推荐、医保费用智能预测、医保支付盈亏分析、医疗费用结构分析等功能模块，更好地适应医保支付方式改革背景下院内医保费用管理需求，进一步提升医保费用管理的及时性和精准度。</w:t>
      </w:r>
    </w:p>
    <w:p>
      <w:pPr>
        <w:pStyle w:val="5"/>
        <w:numPr>
          <w:ilvl w:val="2"/>
          <w:numId w:val="1"/>
        </w:numPr>
        <w:tabs>
          <w:tab w:val="left" w:pos="420"/>
        </w:tabs>
      </w:pPr>
      <w:bookmarkStart w:id="5" w:name="_Toc66304625"/>
      <w:r>
        <w:rPr>
          <w:rFonts w:hint="eastAsia"/>
        </w:rPr>
        <w:t>诊疗路径管理子系统</w:t>
      </w:r>
      <w:bookmarkEnd w:id="5"/>
    </w:p>
    <w:p>
      <w:pPr>
        <w:pStyle w:val="3"/>
        <w:ind w:firstLine="480"/>
      </w:pPr>
      <w:r>
        <w:rPr>
          <w:rFonts w:hint="eastAsia"/>
        </w:rPr>
        <w:t>在疾病分组的基础上，结合临床实际情况，建设诊疗路径管理子系统，利用大数据、人工智能等先进技术，从海量医疗服务全过程数据提取出最小疾病单元的诊疗路径，并提供疾病诊疗路径管理、诊疗路径推荐、路径偏移预警等功能模块，进一步规范我院医疗服务行为，提升医疗服务质量。</w:t>
      </w:r>
    </w:p>
    <w:p>
      <w:pPr>
        <w:pStyle w:val="5"/>
        <w:numPr>
          <w:ilvl w:val="2"/>
          <w:numId w:val="1"/>
        </w:numPr>
        <w:tabs>
          <w:tab w:val="left" w:pos="420"/>
        </w:tabs>
      </w:pPr>
      <w:bookmarkStart w:id="6" w:name="_Toc66304626"/>
      <w:r>
        <w:rPr>
          <w:rFonts w:hint="eastAsia"/>
        </w:rPr>
        <w:t>院内绩效管理子系统</w:t>
      </w:r>
      <w:bookmarkEnd w:id="6"/>
    </w:p>
    <w:p>
      <w:pPr>
        <w:pStyle w:val="3"/>
        <w:ind w:firstLine="480"/>
      </w:pPr>
      <w:r>
        <w:rPr>
          <w:rFonts w:hint="eastAsia"/>
        </w:rPr>
        <w:t>在我院绩效管理标准规范的基础上，结合省医保、市医保相关考核管理要求，建设院内绩效管理子系统，提供包括院内综合指标评价、重点疾病与重点手术分析、区域医疗机构排名分析、医院病例分组情况等功能模块，更加全面、真实、准确的体现出全院各科室、各病区、各医疗组、各医务人员的绩效情况，进一步提升全院医务人员参与医院效能提升的主观能动性，以高水平精细化管理促进全院高质量发展。</w:t>
      </w:r>
      <w:r>
        <w:t xml:space="preserve"> </w:t>
      </w:r>
    </w:p>
    <w:p>
      <w:pPr>
        <w:pStyle w:val="5"/>
        <w:numPr>
          <w:ilvl w:val="2"/>
          <w:numId w:val="1"/>
        </w:numPr>
        <w:tabs>
          <w:tab w:val="left" w:pos="420"/>
        </w:tabs>
      </w:pPr>
      <w:bookmarkStart w:id="7" w:name="_Toc66304627"/>
      <w:r>
        <w:rPr>
          <w:rFonts w:hint="eastAsia"/>
        </w:rPr>
        <w:t>运营决策管理子系统</w:t>
      </w:r>
      <w:bookmarkEnd w:id="7"/>
    </w:p>
    <w:p>
      <w:pPr>
        <w:pStyle w:val="3"/>
        <w:ind w:firstLine="480"/>
      </w:pPr>
      <w:r>
        <w:rPr>
          <w:rFonts w:hint="eastAsia"/>
        </w:rPr>
        <w:t>结合我院运营管理需求，建设运营决策管理子系统，提供包括整体运营情况分析、综合指标分析、住院情况分析、医保费用分析等功能模块，全方位反映新医保支付体系下医院运行情况，为医院的精细化管理和科学化决策提供数据支撑。</w:t>
      </w:r>
    </w:p>
    <w:p>
      <w:pPr>
        <w:pStyle w:val="5"/>
        <w:numPr>
          <w:ilvl w:val="2"/>
          <w:numId w:val="1"/>
        </w:numPr>
        <w:tabs>
          <w:tab w:val="left" w:pos="420"/>
        </w:tabs>
      </w:pPr>
      <w:bookmarkStart w:id="8" w:name="_Toc66304628"/>
      <w:r>
        <w:rPr>
          <w:rFonts w:hint="eastAsia"/>
        </w:rPr>
        <w:t>系统接口管理子系统</w:t>
      </w:r>
      <w:bookmarkEnd w:id="8"/>
    </w:p>
    <w:p>
      <w:pPr>
        <w:pStyle w:val="3"/>
        <w:ind w:firstLine="480"/>
      </w:pPr>
      <w:r>
        <w:rPr>
          <w:rFonts w:hint="eastAsia"/>
        </w:rPr>
        <w:t>根据分值付费下基于临床实际的病组费用精细化管理系统对院内数据的需求，建设系统接口管理子系统，通过对接院内集成平台，获取医院</w:t>
      </w:r>
      <w:r>
        <w:t>HIS</w:t>
      </w:r>
      <w:r>
        <w:rPr>
          <w:rFonts w:hint="eastAsia"/>
        </w:rPr>
        <w:t>系统、病案系统、手麻系统等信息系统中患者信息、疾病诊断、医疗费用、病案首页、医嘱、手术</w:t>
      </w:r>
      <w:r>
        <w:t>/</w:t>
      </w:r>
      <w:r>
        <w:rPr>
          <w:rFonts w:hint="eastAsia"/>
        </w:rPr>
        <w:t>操作等信息，为各上述各应用提供数据支撑。</w:t>
      </w:r>
    </w:p>
    <w:p>
      <w:pPr>
        <w:rPr>
          <w:rFonts w:hint="eastAsia"/>
        </w:rPr>
      </w:pPr>
    </w:p>
    <w:p>
      <w:pPr>
        <w:pStyle w:val="5"/>
        <w:numPr>
          <w:ilvl w:val="0"/>
          <w:numId w:val="0"/>
        </w:numPr>
        <w:tabs>
          <w:tab w:val="left" w:pos="420"/>
        </w:tabs>
        <w:rPr>
          <w:rFonts w:hint="eastAsia" w:eastAsia="宋体"/>
          <w:lang w:eastAsia="zh-CN"/>
        </w:rPr>
      </w:pPr>
      <w:r>
        <w:rPr>
          <w:rFonts w:hint="eastAsia"/>
        </w:rPr>
        <w:t>2技术</w:t>
      </w:r>
      <w:r>
        <w:rPr>
          <w:rFonts w:hint="eastAsia"/>
          <w:lang w:eastAsia="zh-CN"/>
        </w:rPr>
        <w:t>要求</w:t>
      </w:r>
      <w:bookmarkStart w:id="9" w:name="_GoBack"/>
      <w:bookmarkEnd w:id="9"/>
    </w:p>
    <w:tbl>
      <w:tblPr>
        <w:tblStyle w:val="9"/>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1276"/>
        <w:gridCol w:w="642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pPr>
              <w:jc w:val="center"/>
              <w:rPr>
                <w:rFonts w:ascii="宋体" w:hAnsi="宋体" w:eastAsia="宋体" w:cs="宋体"/>
                <w:b/>
                <w:bCs/>
                <w:color w:val="000000"/>
                <w:sz w:val="22"/>
              </w:rPr>
            </w:pPr>
            <w:r>
              <w:rPr>
                <w:rFonts w:hint="eastAsia"/>
                <w:b/>
                <w:bCs/>
                <w:color w:val="000000"/>
                <w:sz w:val="22"/>
              </w:rPr>
              <w:t>序号</w:t>
            </w:r>
          </w:p>
        </w:tc>
        <w:tc>
          <w:tcPr>
            <w:tcW w:w="1276" w:type="dxa"/>
            <w:vAlign w:val="bottom"/>
          </w:tcPr>
          <w:p>
            <w:pPr>
              <w:jc w:val="center"/>
              <w:rPr>
                <w:rFonts w:ascii="宋体" w:hAnsi="宋体" w:eastAsia="宋体" w:cs="宋体"/>
                <w:b/>
                <w:bCs/>
                <w:color w:val="000000"/>
                <w:sz w:val="22"/>
              </w:rPr>
            </w:pPr>
            <w:r>
              <w:rPr>
                <w:rFonts w:hint="eastAsia"/>
                <w:b/>
                <w:bCs/>
                <w:color w:val="000000"/>
                <w:sz w:val="22"/>
              </w:rPr>
              <w:t>功能模块</w:t>
            </w:r>
          </w:p>
        </w:tc>
        <w:tc>
          <w:tcPr>
            <w:tcW w:w="6429" w:type="dxa"/>
            <w:vAlign w:val="bottom"/>
          </w:tcPr>
          <w:p>
            <w:pPr>
              <w:jc w:val="center"/>
              <w:rPr>
                <w:rFonts w:ascii="宋体" w:hAnsi="宋体" w:eastAsia="宋体" w:cs="宋体"/>
                <w:b/>
                <w:bCs/>
                <w:sz w:val="22"/>
              </w:rPr>
            </w:pPr>
            <w:r>
              <w:rPr>
                <w:rFonts w:hint="eastAsia"/>
                <w:b/>
                <w:bCs/>
                <w:sz w:val="22"/>
              </w:rPr>
              <w:t>技术要求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pPr>
              <w:jc w:val="center"/>
              <w:rPr>
                <w:rFonts w:ascii="宋体" w:hAnsi="宋体" w:eastAsia="宋体" w:cs="宋体"/>
                <w:color w:val="000000"/>
                <w:sz w:val="22"/>
              </w:rPr>
            </w:pPr>
            <w:r>
              <w:rPr>
                <w:rFonts w:hint="eastAsia"/>
                <w:color w:val="000000"/>
                <w:sz w:val="22"/>
              </w:rPr>
              <w:t>1</w:t>
            </w:r>
          </w:p>
        </w:tc>
        <w:tc>
          <w:tcPr>
            <w:tcW w:w="1276" w:type="dxa"/>
            <w:vAlign w:val="center"/>
          </w:tcPr>
          <w:p>
            <w:pPr>
              <w:jc w:val="center"/>
              <w:rPr>
                <w:rFonts w:ascii="宋体" w:hAnsi="宋体" w:eastAsia="宋体" w:cs="宋体"/>
                <w:color w:val="000000"/>
                <w:sz w:val="22"/>
              </w:rPr>
            </w:pPr>
            <w:r>
              <w:rPr>
                <w:rFonts w:hint="eastAsia"/>
                <w:color w:val="000000"/>
                <w:sz w:val="22"/>
              </w:rPr>
              <w:t>分组器</w:t>
            </w:r>
          </w:p>
        </w:tc>
        <w:tc>
          <w:tcPr>
            <w:tcW w:w="6429" w:type="dxa"/>
            <w:vAlign w:val="center"/>
          </w:tcPr>
          <w:p>
            <w:pPr>
              <w:rPr>
                <w:rFonts w:ascii="宋体" w:hAnsi="宋体" w:eastAsia="宋体" w:cs="宋体"/>
                <w:sz w:val="22"/>
              </w:rPr>
            </w:pPr>
            <w:r>
              <w:rPr>
                <w:rFonts w:hint="eastAsia"/>
                <w:sz w:val="22"/>
              </w:rPr>
              <w:t>同时支持成都市病组分值付费分组、CHS-DRG分组和DIP分组、及疾病画像模型完成院内数据的分组，对接省市医保业务规范标准和全市医保实时结算明细数据，能够基于以上分组结果及明细数据进行以下相关功能的统计分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pPr>
              <w:jc w:val="center"/>
              <w:rPr>
                <w:rFonts w:ascii="宋体" w:hAnsi="宋体" w:eastAsia="宋体" w:cs="宋体"/>
                <w:color w:val="000000"/>
                <w:sz w:val="22"/>
              </w:rPr>
            </w:pPr>
            <w:r>
              <w:rPr>
                <w:rFonts w:hint="eastAsia"/>
                <w:color w:val="000000"/>
                <w:sz w:val="22"/>
              </w:rPr>
              <w:t>2</w:t>
            </w:r>
          </w:p>
        </w:tc>
        <w:tc>
          <w:tcPr>
            <w:tcW w:w="1276" w:type="dxa"/>
            <w:vAlign w:val="center"/>
          </w:tcPr>
          <w:p>
            <w:pPr>
              <w:jc w:val="center"/>
              <w:rPr>
                <w:rFonts w:ascii="宋体" w:hAnsi="宋体" w:eastAsia="宋体" w:cs="宋体"/>
                <w:color w:val="000000"/>
                <w:sz w:val="22"/>
              </w:rPr>
            </w:pPr>
            <w:r>
              <w:rPr>
                <w:rFonts w:hint="eastAsia"/>
                <w:color w:val="000000"/>
                <w:sz w:val="22"/>
              </w:rPr>
              <w:t>病案质量控制</w:t>
            </w:r>
          </w:p>
        </w:tc>
        <w:tc>
          <w:tcPr>
            <w:tcW w:w="6429" w:type="dxa"/>
            <w:vAlign w:val="center"/>
          </w:tcPr>
          <w:p>
            <w:pPr>
              <w:rPr>
                <w:rFonts w:ascii="宋体" w:hAnsi="宋体" w:eastAsia="宋体" w:cs="宋体"/>
                <w:b/>
                <w:bCs/>
                <w:sz w:val="22"/>
              </w:rPr>
            </w:pPr>
            <w:r>
              <w:rPr>
                <w:rFonts w:hint="eastAsia"/>
                <w:b/>
                <w:bCs/>
                <w:sz w:val="22"/>
              </w:rPr>
              <w:t>病案校验配置：</w:t>
            </w:r>
            <w:r>
              <w:rPr>
                <w:rFonts w:hint="eastAsia"/>
                <w:sz w:val="22"/>
              </w:rPr>
              <w:t>可配置病案质控的校验条件，可根据国家卫健委病案首页管理与质量控制文件的要求以及院内病案管理需求更新病案质控规则。</w:t>
            </w:r>
            <w:r>
              <w:rPr>
                <w:rFonts w:hint="eastAsia"/>
                <w:b/>
                <w:bCs/>
                <w:sz w:val="22"/>
              </w:rPr>
              <w:br w:type="textWrapping"/>
            </w:r>
            <w:r>
              <w:rPr>
                <w:rFonts w:hint="eastAsia"/>
                <w:b/>
                <w:bCs/>
                <w:sz w:val="22"/>
              </w:rPr>
              <w:t>病案质量分析：</w:t>
            </w:r>
            <w:r>
              <w:rPr>
                <w:rFonts w:hint="eastAsia"/>
                <w:sz w:val="22"/>
              </w:rPr>
              <w:t>依据国家管理部门相关政策文件从全院总体层面与单个病案层面对病案填写情况进行分析。基于病案质控规则对医院病案填写的完整度、逻辑性、准确性进行分析，并提供每份病案的质量评分，下钻可查看各病案具体的得分项，帮助医疗机构提升病案填写的质量与病案工作管理的水平。</w:t>
            </w:r>
            <w:r>
              <w:rPr>
                <w:rFonts w:hint="eastAsia"/>
                <w:sz w:val="22"/>
              </w:rPr>
              <w:br w:type="textWrapping"/>
            </w:r>
            <w:r>
              <w:rPr>
                <w:rFonts w:hint="eastAsia"/>
                <w:b/>
                <w:bCs/>
                <w:sz w:val="22"/>
              </w:rPr>
              <w:t>病案首页查询：</w:t>
            </w:r>
            <w:r>
              <w:rPr>
                <w:rFonts w:hint="eastAsia"/>
                <w:sz w:val="22"/>
              </w:rPr>
              <w:t>通过包括病案号、离院方式、医疗付款方式在内的一系列查询条件的筛选，对医疗机构病案首页进行查询，支持对未入组、死亡病案等进行条件设置的筛选，以查看病案的具体数据。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pPr>
              <w:jc w:val="center"/>
              <w:rPr>
                <w:rFonts w:ascii="宋体" w:hAnsi="宋体" w:eastAsia="宋体" w:cs="宋体"/>
                <w:color w:val="000000"/>
                <w:sz w:val="22"/>
              </w:rPr>
            </w:pPr>
            <w:r>
              <w:rPr>
                <w:rFonts w:hint="eastAsia"/>
                <w:color w:val="000000"/>
                <w:sz w:val="22"/>
              </w:rPr>
              <w:t>3</w:t>
            </w:r>
          </w:p>
        </w:tc>
        <w:tc>
          <w:tcPr>
            <w:tcW w:w="1276" w:type="dxa"/>
            <w:vAlign w:val="center"/>
          </w:tcPr>
          <w:p>
            <w:pPr>
              <w:jc w:val="center"/>
              <w:rPr>
                <w:rFonts w:ascii="宋体" w:hAnsi="宋体" w:eastAsia="宋体" w:cs="宋体"/>
                <w:color w:val="000000"/>
                <w:sz w:val="22"/>
              </w:rPr>
            </w:pPr>
            <w:r>
              <w:rPr>
                <w:rFonts w:hint="eastAsia"/>
                <w:color w:val="000000"/>
                <w:sz w:val="22"/>
              </w:rPr>
              <w:t>医院绩效分析</w:t>
            </w:r>
          </w:p>
        </w:tc>
        <w:tc>
          <w:tcPr>
            <w:tcW w:w="6429" w:type="dxa"/>
            <w:vAlign w:val="center"/>
          </w:tcPr>
          <w:p>
            <w:pPr>
              <w:rPr>
                <w:rFonts w:ascii="宋体" w:hAnsi="宋体" w:eastAsia="宋体" w:cs="宋体"/>
                <w:sz w:val="22"/>
              </w:rPr>
            </w:pPr>
            <w:r>
              <w:rPr>
                <w:rFonts w:hint="eastAsia"/>
                <w:sz w:val="22"/>
              </w:rPr>
              <w:t>分别基于医院、科室、诊疗组、医师、病组等维度对院内数据展开分析。</w:t>
            </w:r>
            <w:r>
              <w:rPr>
                <w:rFonts w:hint="eastAsia"/>
                <w:sz w:val="22"/>
              </w:rPr>
              <w:br w:type="textWrapping"/>
            </w:r>
            <w:r>
              <w:rPr>
                <w:rFonts w:hint="eastAsia"/>
                <w:b/>
                <w:bCs/>
                <w:sz w:val="22"/>
              </w:rPr>
              <w:t>医院：</w:t>
            </w:r>
            <w:r>
              <w:rPr>
                <w:rFonts w:hint="eastAsia"/>
                <w:sz w:val="22"/>
              </w:rPr>
              <w:t>分析医院整体质效情况，包括医院综合评价指标、医院医疗效率、医疗安全、医院手术、重点疾病、重点手术等相应指标，提供不同医疗机构间的医疗能力、效率、安全等横向对比，以及纵向对比变化趋势。针对国家卫健委发布的重点疾病与重点手术进行人次、人数、费用等趋势变化分析，支撑医院重点监管此类对象，突出管理重点。</w:t>
            </w:r>
            <w:r>
              <w:rPr>
                <w:rFonts w:hint="eastAsia"/>
                <w:sz w:val="22"/>
              </w:rPr>
              <w:br w:type="textWrapping"/>
            </w:r>
            <w:r>
              <w:rPr>
                <w:rFonts w:hint="eastAsia"/>
                <w:b/>
                <w:bCs/>
                <w:sz w:val="22"/>
              </w:rPr>
              <w:t>科室：</w:t>
            </w:r>
            <w:r>
              <w:rPr>
                <w:rFonts w:hint="eastAsia"/>
                <w:sz w:val="22"/>
              </w:rPr>
              <w:t>基于科室维度，全面分析院内科室的病组评价指标，可对比选中科室的指标差异情况，运用病组质效与风险评价模型，对科室产能、安全、效率进行具体分析，以图形提供分析结果的直观展示。</w:t>
            </w:r>
            <w:r>
              <w:rPr>
                <w:rFonts w:hint="eastAsia"/>
                <w:sz w:val="22"/>
              </w:rPr>
              <w:br w:type="textWrapping"/>
            </w:r>
            <w:r>
              <w:rPr>
                <w:rFonts w:hint="eastAsia"/>
                <w:b/>
                <w:bCs/>
                <w:sz w:val="22"/>
              </w:rPr>
              <w:t>诊疗组：</w:t>
            </w:r>
            <w:r>
              <w:rPr>
                <w:rFonts w:hint="eastAsia"/>
                <w:sz w:val="22"/>
              </w:rPr>
              <w:t>提供医疗机构灵活配置诊疗组的功能，对诊疗组进行质效综合分析，及时掌握各诊疗组的工作情况。</w:t>
            </w:r>
            <w:r>
              <w:rPr>
                <w:rFonts w:hint="eastAsia"/>
                <w:sz w:val="22"/>
              </w:rPr>
              <w:br w:type="textWrapping"/>
            </w:r>
            <w:r>
              <w:rPr>
                <w:rFonts w:hint="eastAsia"/>
                <w:b/>
                <w:bCs/>
                <w:sz w:val="22"/>
              </w:rPr>
              <w:t>医师：</w:t>
            </w:r>
            <w:r>
              <w:rPr>
                <w:rFonts w:hint="eastAsia"/>
                <w:sz w:val="22"/>
              </w:rPr>
              <w:t>支持重点关注医师的选择，基于所选科室医师全面分析医师的病组评价指标，对比不同医师的质效情况，并对变化趋势以图形提供展示。</w:t>
            </w:r>
            <w:r>
              <w:rPr>
                <w:rFonts w:hint="eastAsia"/>
                <w:sz w:val="22"/>
              </w:rPr>
              <w:br w:type="textWrapping"/>
            </w:r>
            <w:r>
              <w:rPr>
                <w:rFonts w:hint="eastAsia"/>
                <w:b/>
                <w:bCs/>
                <w:sz w:val="22"/>
              </w:rPr>
              <w:t>病组：</w:t>
            </w:r>
            <w:r>
              <w:rPr>
                <w:rFonts w:hint="eastAsia"/>
                <w:sz w:val="22"/>
              </w:rPr>
              <w:t>分析医院入组情况，支持病案详情下钻，掌握病案未入组原因，以提升病案填写水平。对院内覆盖病种、病组的详细情况提供饼图展示。分析医院学科发展情况，帮助医院管理者明确重点与优势学科。</w:t>
            </w:r>
            <w:r>
              <w:rPr>
                <w:rFonts w:hint="eastAsia"/>
                <w:sz w:val="22"/>
              </w:rPr>
              <w:br w:type="textWrapping"/>
            </w:r>
            <w:r>
              <w:rPr>
                <w:rFonts w:hint="eastAsia"/>
                <w:b/>
                <w:bCs/>
                <w:sz w:val="22"/>
              </w:rPr>
              <w:t>全院异常预警：</w:t>
            </w:r>
            <w:r>
              <w:rPr>
                <w:rFonts w:hint="eastAsia"/>
                <w:sz w:val="22"/>
              </w:rPr>
              <w:t>针对药占比、抗菌药物占比、未入组病案数、费用消耗指数、时间消耗指数前5的科室分别进行展示。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pPr>
              <w:jc w:val="center"/>
              <w:rPr>
                <w:rFonts w:ascii="宋体" w:hAnsi="宋体" w:eastAsia="宋体" w:cs="宋体"/>
                <w:color w:val="000000"/>
                <w:sz w:val="22"/>
              </w:rPr>
            </w:pPr>
            <w:r>
              <w:rPr>
                <w:rFonts w:hint="eastAsia"/>
                <w:color w:val="000000"/>
                <w:sz w:val="22"/>
              </w:rPr>
              <w:t>4</w:t>
            </w:r>
          </w:p>
        </w:tc>
        <w:tc>
          <w:tcPr>
            <w:tcW w:w="1276" w:type="dxa"/>
            <w:vAlign w:val="center"/>
          </w:tcPr>
          <w:p>
            <w:pPr>
              <w:jc w:val="center"/>
              <w:rPr>
                <w:rFonts w:ascii="宋体" w:hAnsi="宋体" w:eastAsia="宋体" w:cs="宋体"/>
                <w:color w:val="000000"/>
                <w:sz w:val="22"/>
              </w:rPr>
            </w:pPr>
            <w:r>
              <w:rPr>
                <w:rFonts w:hint="eastAsia"/>
                <w:color w:val="000000"/>
                <w:sz w:val="22"/>
              </w:rPr>
              <w:t>医院医保费用管理</w:t>
            </w:r>
          </w:p>
        </w:tc>
        <w:tc>
          <w:tcPr>
            <w:tcW w:w="6429" w:type="dxa"/>
            <w:vAlign w:val="center"/>
          </w:tcPr>
          <w:p>
            <w:pPr>
              <w:rPr>
                <w:rFonts w:ascii="宋体" w:hAnsi="宋体" w:eastAsia="宋体" w:cs="宋体"/>
                <w:b/>
                <w:bCs/>
                <w:sz w:val="22"/>
              </w:rPr>
            </w:pPr>
            <w:r>
              <w:rPr>
                <w:rFonts w:hint="eastAsia"/>
                <w:b/>
                <w:bCs/>
                <w:sz w:val="22"/>
              </w:rPr>
              <w:t>预分组：</w:t>
            </w:r>
            <w:r>
              <w:rPr>
                <w:rFonts w:hint="eastAsia"/>
                <w:sz w:val="22"/>
              </w:rPr>
              <w:t>系统基于当地医保病组分值付费政策、DRG和DIP分组提供医疗机构预测分组、预测医保支付相关参数及全市组内患者费用明细汇总的功能，与院内相关系统对接，可在诊疗过程中的不同环节为医疗机构提供医保付费、诊疗路径参考，帮助医院及时优化诊疗路径、完善病案信息的填写。</w:t>
            </w:r>
            <w:r>
              <w:rPr>
                <w:rFonts w:hint="eastAsia"/>
                <w:sz w:val="22"/>
              </w:rPr>
              <w:br w:type="textWrapping"/>
            </w:r>
            <w:r>
              <w:rPr>
                <w:rFonts w:hint="eastAsia"/>
                <w:b/>
                <w:bCs/>
                <w:sz w:val="22"/>
              </w:rPr>
              <w:t>盈亏分析：</w:t>
            </w:r>
            <w:r>
              <w:rPr>
                <w:rFonts w:hint="eastAsia"/>
                <w:sz w:val="22"/>
              </w:rPr>
              <w:t>从医院与病组维度对比病组分值付费后医疗机构的盈亏情况，预测新型付费方式实行后对医院经营所带来的影响。</w:t>
            </w:r>
            <w:r>
              <w:rPr>
                <w:rFonts w:hint="eastAsia"/>
                <w:sz w:val="22"/>
              </w:rPr>
              <w:br w:type="textWrapping"/>
            </w:r>
            <w:r>
              <w:rPr>
                <w:rFonts w:hint="eastAsia"/>
                <w:b/>
                <w:bCs/>
                <w:sz w:val="22"/>
              </w:rPr>
              <w:t>医保费用构成：</w:t>
            </w:r>
            <w:r>
              <w:rPr>
                <w:rFonts w:hint="eastAsia"/>
                <w:sz w:val="22"/>
              </w:rPr>
              <w:t>对医保费用构成情况进行分析，包括医保结算人次、总费用、医保收入等，对不同医疗支付方式占比进行分析。</w:t>
            </w:r>
            <w:r>
              <w:rPr>
                <w:rFonts w:hint="eastAsia"/>
                <w:sz w:val="22"/>
              </w:rPr>
              <w:br w:type="textWrapping"/>
            </w:r>
            <w:r>
              <w:rPr>
                <w:rFonts w:hint="eastAsia"/>
                <w:b/>
                <w:bCs/>
                <w:sz w:val="22"/>
              </w:rPr>
              <w:t>特殊病案分析：</w:t>
            </w:r>
            <w:r>
              <w:rPr>
                <w:rFonts w:hint="eastAsia"/>
                <w:sz w:val="22"/>
              </w:rPr>
              <w:t>针对医疗费用超高超低等异常病案，提供其费用相关指标的分析，重点监管此类病案。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pPr>
              <w:jc w:val="center"/>
              <w:rPr>
                <w:rFonts w:ascii="宋体" w:hAnsi="宋体" w:eastAsia="宋体" w:cs="宋体"/>
                <w:color w:val="000000"/>
                <w:sz w:val="22"/>
              </w:rPr>
            </w:pPr>
            <w:r>
              <w:rPr>
                <w:rFonts w:hint="eastAsia"/>
                <w:color w:val="000000"/>
                <w:sz w:val="22"/>
              </w:rPr>
              <w:t>5</w:t>
            </w:r>
          </w:p>
        </w:tc>
        <w:tc>
          <w:tcPr>
            <w:tcW w:w="1276" w:type="dxa"/>
            <w:vAlign w:val="center"/>
          </w:tcPr>
          <w:p>
            <w:pPr>
              <w:jc w:val="center"/>
              <w:rPr>
                <w:rFonts w:ascii="宋体" w:hAnsi="宋体" w:eastAsia="宋体" w:cs="宋体"/>
                <w:color w:val="000000"/>
                <w:sz w:val="22"/>
              </w:rPr>
            </w:pPr>
            <w:r>
              <w:rPr>
                <w:rFonts w:hint="eastAsia"/>
                <w:color w:val="000000"/>
                <w:sz w:val="22"/>
              </w:rPr>
              <w:t>医院控费管理</w:t>
            </w:r>
          </w:p>
        </w:tc>
        <w:tc>
          <w:tcPr>
            <w:tcW w:w="6429" w:type="dxa"/>
            <w:vAlign w:val="center"/>
          </w:tcPr>
          <w:p>
            <w:pPr>
              <w:rPr>
                <w:rFonts w:ascii="宋体" w:hAnsi="宋体" w:eastAsia="宋体" w:cs="宋体"/>
                <w:sz w:val="22"/>
              </w:rPr>
            </w:pPr>
            <w:r>
              <w:rPr>
                <w:rFonts w:hint="eastAsia"/>
                <w:sz w:val="22"/>
              </w:rPr>
              <w:t>从全院维度，对住院医疗费用展开分析，包括例均费用、分项费用结构等，提供不同医疗机构间的横向对比；从院内科室维度，对医院各科室的费用情况展开分析，包括总费用、例均费用、费用结构等；从病组维度，对病组的费用指标进行分析，详细掌握医院病组的费用情况，及时为医疗费用的管理与控制提供数据支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pPr>
              <w:jc w:val="center"/>
              <w:rPr>
                <w:rFonts w:ascii="宋体" w:hAnsi="宋体" w:eastAsia="宋体" w:cs="宋体"/>
                <w:color w:val="000000"/>
                <w:sz w:val="22"/>
              </w:rPr>
            </w:pPr>
            <w:r>
              <w:rPr>
                <w:rFonts w:hint="eastAsia"/>
                <w:color w:val="000000"/>
                <w:sz w:val="22"/>
              </w:rPr>
              <w:t>6</w:t>
            </w:r>
          </w:p>
        </w:tc>
        <w:tc>
          <w:tcPr>
            <w:tcW w:w="1276" w:type="dxa"/>
            <w:vAlign w:val="center"/>
          </w:tcPr>
          <w:p>
            <w:pPr>
              <w:jc w:val="center"/>
              <w:rPr>
                <w:rFonts w:ascii="宋体" w:hAnsi="宋体" w:eastAsia="宋体" w:cs="宋体"/>
                <w:color w:val="000000"/>
                <w:sz w:val="22"/>
              </w:rPr>
            </w:pPr>
            <w:r>
              <w:rPr>
                <w:rFonts w:hint="eastAsia"/>
                <w:color w:val="000000"/>
                <w:sz w:val="22"/>
              </w:rPr>
              <w:t>系统配置</w:t>
            </w:r>
          </w:p>
        </w:tc>
        <w:tc>
          <w:tcPr>
            <w:tcW w:w="6429" w:type="dxa"/>
            <w:vAlign w:val="center"/>
          </w:tcPr>
          <w:p>
            <w:pPr>
              <w:rPr>
                <w:rFonts w:ascii="宋体" w:hAnsi="宋体" w:eastAsia="宋体" w:cs="宋体"/>
                <w:sz w:val="22"/>
              </w:rPr>
            </w:pPr>
            <w:r>
              <w:rPr>
                <w:rFonts w:hint="eastAsia"/>
                <w:sz w:val="22"/>
              </w:rPr>
              <w:t>系统功能设计人性化，用户可自主进行相关功能配置。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pPr>
              <w:jc w:val="center"/>
              <w:rPr>
                <w:rFonts w:ascii="宋体" w:hAnsi="宋体" w:eastAsia="宋体" w:cs="宋体"/>
                <w:color w:val="000000"/>
                <w:sz w:val="22"/>
              </w:rPr>
            </w:pPr>
            <w:r>
              <w:rPr>
                <w:rFonts w:hint="eastAsia"/>
                <w:color w:val="000000"/>
                <w:sz w:val="22"/>
              </w:rPr>
              <w:t>7</w:t>
            </w:r>
          </w:p>
        </w:tc>
        <w:tc>
          <w:tcPr>
            <w:tcW w:w="1276" w:type="dxa"/>
            <w:vAlign w:val="center"/>
          </w:tcPr>
          <w:p>
            <w:pPr>
              <w:jc w:val="center"/>
              <w:rPr>
                <w:rFonts w:ascii="宋体" w:hAnsi="宋体" w:eastAsia="宋体" w:cs="宋体"/>
                <w:color w:val="000000"/>
                <w:sz w:val="22"/>
              </w:rPr>
            </w:pPr>
            <w:r>
              <w:rPr>
                <w:rFonts w:hint="eastAsia"/>
                <w:color w:val="000000"/>
                <w:sz w:val="22"/>
              </w:rPr>
              <w:t>接口服务</w:t>
            </w:r>
          </w:p>
        </w:tc>
        <w:tc>
          <w:tcPr>
            <w:tcW w:w="6429" w:type="dxa"/>
            <w:vAlign w:val="center"/>
          </w:tcPr>
          <w:p>
            <w:pPr>
              <w:rPr>
                <w:rFonts w:ascii="宋体" w:hAnsi="宋体" w:eastAsia="宋体" w:cs="宋体"/>
                <w:sz w:val="22"/>
              </w:rPr>
            </w:pPr>
            <w:r>
              <w:rPr>
                <w:rFonts w:hint="eastAsia"/>
                <w:sz w:val="22"/>
              </w:rPr>
              <w:t>遵循全院信息化建设的技术标准规范，通过系统接口完成与院内系统集成，实现医院精细化管理所需的相关业务数据的采集。</w:t>
            </w:r>
          </w:p>
        </w:tc>
      </w:tr>
    </w:tbl>
    <w:p>
      <w:pPr>
        <w:pStyle w:val="3"/>
        <w:ind w:firstLine="0" w:firstLineChars="0"/>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492826"/>
    <w:multiLevelType w:val="multilevel"/>
    <w:tmpl w:val="07492826"/>
    <w:lvl w:ilvl="0" w:tentative="0">
      <w:start w:val="1"/>
      <w:numFmt w:val="decimal"/>
      <w:lvlText w:val="第%1章 "/>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1431"/>
        </w:tabs>
        <w:ind w:left="1431"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B2885"/>
    <w:rsid w:val="002F0ABE"/>
    <w:rsid w:val="008B2885"/>
    <w:rsid w:val="1AC012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3"/>
    <w:link w:val="13"/>
    <w:semiHidden/>
    <w:unhideWhenUsed/>
    <w:qFormat/>
    <w:uiPriority w:val="9"/>
    <w:pPr>
      <w:keepNext/>
      <w:keepLines/>
      <w:tabs>
        <w:tab w:val="left" w:pos="576"/>
      </w:tabs>
      <w:spacing w:before="260" w:after="260" w:line="412" w:lineRule="auto"/>
      <w:outlineLvl w:val="1"/>
    </w:pPr>
    <w:rPr>
      <w:rFonts w:ascii="Arial" w:hAnsi="Arial" w:eastAsia="黑体" w:cs="Times New Roman"/>
      <w:b/>
      <w:bCs/>
      <w:sz w:val="32"/>
      <w:szCs w:val="32"/>
    </w:rPr>
  </w:style>
  <w:style w:type="paragraph" w:styleId="5">
    <w:name w:val="heading 3"/>
    <w:basedOn w:val="1"/>
    <w:next w:val="3"/>
    <w:link w:val="14"/>
    <w:semiHidden/>
    <w:unhideWhenUsed/>
    <w:qFormat/>
    <w:uiPriority w:val="0"/>
    <w:pPr>
      <w:keepNext/>
      <w:keepLines/>
      <w:tabs>
        <w:tab w:val="left" w:pos="720"/>
      </w:tabs>
      <w:spacing w:before="260" w:after="260" w:line="412" w:lineRule="auto"/>
      <w:outlineLvl w:val="2"/>
    </w:pPr>
    <w:rPr>
      <w:rFonts w:ascii="Times New Roman" w:hAnsi="Times New Roman" w:eastAsia="宋体" w:cs="Times New Roman"/>
      <w:b/>
      <w:bCs/>
      <w:sz w:val="32"/>
      <w:szCs w:val="32"/>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First Indent"/>
    <w:basedOn w:val="4"/>
    <w:link w:val="16"/>
    <w:semiHidden/>
    <w:unhideWhenUsed/>
    <w:uiPriority w:val="0"/>
    <w:pPr>
      <w:spacing w:after="0" w:line="360" w:lineRule="auto"/>
      <w:ind w:firstLine="200" w:firstLineChars="200"/>
    </w:pPr>
    <w:rPr>
      <w:rFonts w:ascii="Times New Roman" w:hAnsi="Times New Roman" w:eastAsia="宋体" w:cs="Times New Roman"/>
      <w:sz w:val="24"/>
      <w:szCs w:val="24"/>
    </w:rPr>
  </w:style>
  <w:style w:type="paragraph" w:styleId="4">
    <w:name w:val="Body Text"/>
    <w:basedOn w:val="1"/>
    <w:link w:val="15"/>
    <w:semiHidden/>
    <w:unhideWhenUsed/>
    <w:uiPriority w:val="99"/>
    <w:pPr>
      <w:spacing w:after="120"/>
    </w:pPr>
  </w:style>
  <w:style w:type="paragraph" w:styleId="6">
    <w:name w:val="footer"/>
    <w:basedOn w:val="1"/>
    <w:link w:val="12"/>
    <w:semiHidden/>
    <w:unhideWhenUsed/>
    <w:uiPriority w:val="99"/>
    <w:pPr>
      <w:tabs>
        <w:tab w:val="center" w:pos="4153"/>
        <w:tab w:val="right" w:pos="8306"/>
      </w:tabs>
      <w:snapToGrid w:val="0"/>
      <w:jc w:val="left"/>
    </w:pPr>
    <w:rPr>
      <w:sz w:val="18"/>
      <w:szCs w:val="18"/>
    </w:rPr>
  </w:style>
  <w:style w:type="paragraph" w:styleId="7">
    <w:name w:val="header"/>
    <w:basedOn w:val="1"/>
    <w:link w:val="11"/>
    <w:semiHidden/>
    <w:unhideWhenUsed/>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1">
    <w:name w:val="页眉 Char"/>
    <w:basedOn w:val="10"/>
    <w:link w:val="7"/>
    <w:semiHidden/>
    <w:uiPriority w:val="99"/>
    <w:rPr>
      <w:sz w:val="18"/>
      <w:szCs w:val="18"/>
    </w:rPr>
  </w:style>
  <w:style w:type="character" w:customStyle="1" w:styleId="12">
    <w:name w:val="页脚 Char"/>
    <w:basedOn w:val="10"/>
    <w:link w:val="6"/>
    <w:semiHidden/>
    <w:uiPriority w:val="99"/>
    <w:rPr>
      <w:sz w:val="18"/>
      <w:szCs w:val="18"/>
    </w:rPr>
  </w:style>
  <w:style w:type="character" w:customStyle="1" w:styleId="13">
    <w:name w:val="标题 2 Char"/>
    <w:basedOn w:val="10"/>
    <w:link w:val="2"/>
    <w:semiHidden/>
    <w:uiPriority w:val="9"/>
    <w:rPr>
      <w:rFonts w:ascii="Arial" w:hAnsi="Arial" w:eastAsia="黑体" w:cs="Times New Roman"/>
      <w:b/>
      <w:bCs/>
      <w:sz w:val="32"/>
      <w:szCs w:val="32"/>
    </w:rPr>
  </w:style>
  <w:style w:type="character" w:customStyle="1" w:styleId="14">
    <w:name w:val="标题 3 Char"/>
    <w:basedOn w:val="10"/>
    <w:link w:val="5"/>
    <w:semiHidden/>
    <w:uiPriority w:val="0"/>
    <w:rPr>
      <w:rFonts w:ascii="Times New Roman" w:hAnsi="Times New Roman" w:eastAsia="宋体" w:cs="Times New Roman"/>
      <w:b/>
      <w:bCs/>
      <w:sz w:val="32"/>
      <w:szCs w:val="32"/>
    </w:rPr>
  </w:style>
  <w:style w:type="character" w:customStyle="1" w:styleId="15">
    <w:name w:val="正文文本 Char"/>
    <w:basedOn w:val="10"/>
    <w:link w:val="4"/>
    <w:semiHidden/>
    <w:uiPriority w:val="99"/>
  </w:style>
  <w:style w:type="character" w:customStyle="1" w:styleId="16">
    <w:name w:val="正文首行缩进 Char"/>
    <w:basedOn w:val="15"/>
    <w:link w:val="3"/>
    <w:semiHidden/>
    <w:uiPriority w:val="0"/>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390</Words>
  <Characters>2227</Characters>
  <Lines>18</Lines>
  <Paragraphs>5</Paragraphs>
  <TotalTime>6</TotalTime>
  <ScaleCrop>false</ScaleCrop>
  <LinksUpToDate>false</LinksUpToDate>
  <CharactersWithSpaces>2612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2021-03-26T00:51:00Z</dcterms:created>
  <dc:creator>lenovo</dc:creator>
  <cp:lastModifiedBy>李</cp:lastModifiedBy>
  <dcterms:modified xsi:type="dcterms:W3CDTF">2021-03-26T06:30:43Z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D9809DE0513442398002334460C867FC</vt:lpwstr>
  </property>
</Properties>
</file>