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1140" w:type="dxa"/>
        <w:jc w:val="center"/>
        <w:shd w:val="clear" w:color="auto" w:fill="auto"/>
        <w:tblLayout w:type="fixed"/>
        <w:tblCellMar>
          <w:top w:w="0" w:type="dxa"/>
          <w:left w:w="108" w:type="dxa"/>
          <w:bottom w:w="0" w:type="dxa"/>
          <w:right w:w="108" w:type="dxa"/>
        </w:tblCellMar>
      </w:tblPr>
      <w:tblGrid>
        <w:gridCol w:w="477"/>
        <w:gridCol w:w="449"/>
        <w:gridCol w:w="520"/>
        <w:gridCol w:w="576"/>
        <w:gridCol w:w="504"/>
        <w:gridCol w:w="565"/>
        <w:gridCol w:w="519"/>
        <w:gridCol w:w="7530"/>
      </w:tblGrid>
      <w:tr>
        <w:tblPrEx>
          <w:shd w:val="clear" w:color="auto" w:fill="auto"/>
          <w:tblCellMar>
            <w:top w:w="0" w:type="dxa"/>
            <w:left w:w="108" w:type="dxa"/>
            <w:bottom w:w="0" w:type="dxa"/>
            <w:right w:w="108" w:type="dxa"/>
          </w:tblCellMar>
        </w:tblPrEx>
        <w:trPr>
          <w:trHeight w:val="491" w:hRule="atLeast"/>
          <w:jc w:val="center"/>
        </w:trPr>
        <w:tc>
          <w:tcPr>
            <w:tcW w:w="111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调研9</w:t>
            </w:r>
          </w:p>
        </w:tc>
      </w:tr>
      <w:tr>
        <w:tblPrEx>
          <w:shd w:val="clear" w:color="auto" w:fill="auto"/>
          <w:tblCellMar>
            <w:top w:w="0" w:type="dxa"/>
            <w:left w:w="108" w:type="dxa"/>
            <w:bottom w:w="0" w:type="dxa"/>
            <w:right w:w="108" w:type="dxa"/>
          </w:tblCellMar>
        </w:tblPrEx>
        <w:trPr>
          <w:trHeight w:val="635"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项目序号</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科室名称</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设备名称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数量</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服务期限</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维保方式</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型号</w:t>
            </w:r>
          </w:p>
        </w:tc>
        <w:tc>
          <w:tcPr>
            <w:tcW w:w="7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维保服务需求</w:t>
            </w:r>
          </w:p>
        </w:tc>
      </w:tr>
      <w:tr>
        <w:tblPrEx>
          <w:shd w:val="clear" w:color="auto" w:fill="auto"/>
          <w:tblCellMar>
            <w:top w:w="0" w:type="dxa"/>
            <w:left w:w="108" w:type="dxa"/>
            <w:bottom w:w="0" w:type="dxa"/>
            <w:right w:w="108" w:type="dxa"/>
          </w:tblCellMar>
        </w:tblPrEx>
        <w:trPr>
          <w:trHeight w:val="4944"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内镜中心 </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内窥镜及主机</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详见附件一</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3年（一年一签）</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全保</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详见附件一</w:t>
            </w:r>
          </w:p>
        </w:tc>
        <w:tc>
          <w:tcPr>
            <w:tcW w:w="7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1)本项目合同类型为人工及配件全保服务合同，即在机器出现故障情况下提供的人工技术服务，含差旅费，免费提供合同范围内的配件和备用设备，并享受远程诊断服务，提供系统软件同版本免费优化升级服务。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若服务过程中服务内容涉及成交人需要提供的配件为医疗器械时，成交人需符合《医疗器械监督管理条例》，所提供的相关产品须符合《医疗器械注册管理办法》，并向采购人提供成交人的医疗器械经营许可证、生产厂家的医疗器械生产许可证（或国家新颁发的有效证书）及产品注册证（或有效医疗器械备案凭证）；供应商须对上</w:t>
            </w:r>
            <w:bookmarkStart w:id="0" w:name="_GoBack"/>
            <w:bookmarkEnd w:id="0"/>
            <w:r>
              <w:rPr>
                <w:rFonts w:hint="eastAsia" w:ascii="宋体" w:hAnsi="宋体" w:eastAsia="宋体" w:cs="宋体"/>
                <w:i w:val="0"/>
                <w:iCs w:val="0"/>
                <w:color w:val="000000"/>
                <w:kern w:val="0"/>
                <w:sz w:val="22"/>
                <w:szCs w:val="22"/>
                <w:u w:val="none"/>
                <w:lang w:val="en-US" w:eastAsia="zh-CN" w:bidi="ar"/>
              </w:rPr>
              <w:t>述事宜作出承诺，承诺在成交后按照上述要求履行。（单独提供承诺函原件，格式自拟）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3)成交人派遣维修工程师需接受过原厂维修培训，具备相关维修资质，若非具备原厂维修培训人员对维修设备造成不良后果的由成交人全部承担。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备件供应：供应商在国内拥有配件仓库，且所提供的备件是原厂认证合格的全新零备件，配件更换时需向采购人提供原厂（合格）证明。所更换的备件为原设备零配件同一生产厂家和同一型号规格的全新零配件，并提供零配件的相关材料，包括但不限于：生产厂家质量证明（国内供货）、进口产品须提供报关单（国外供货）。且备件供应100%保障，需单独注册或与整机注册的核心部件，需提供医疗器械注册证及附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故障修复：对正常使用过程中的设备故障，给予无限次上门检测、制定维修方案、更换必要的零配件排除故障，达到临床使用技术标准，对整机进行全保，含所有维修配件及主机光源灯和备件顶用，且更换的零备件为全新件，包含工时、差旅、零备件、各项税费等费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6)技术支持：设备的长期稳定正常运行必要的技术上和管理支持，定期对设备提供保养和维护服务，提供移机方案、调校等技术服务。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响应时效：7*24小时全天候响应，24小时接受电话支持，报修后将在1小时内响应，8小时内到达现场排除故障或提供解决方案，保证整机开机率全年达到95%，即每年停机时间不超过18天，对于开机率低于95%的，每多停机一天（或全停机时间超过24小时），则顺延五天保修时间。开机率≤90%时，除顺延五天保修时间外并扣除维保费人民币 1000 元/天。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维修周期承诺：按故障级别，小修次日完成，零配件到库后中修5-7日，大修7-15日完成。故障修复后出具检测合格达到使用标准证明，维保方保证设备维护达到符合厂家标准及相应的国家质量标准要求。维保方配置必备的检测和质量控制设备，建立有关检测和质量控制设备清单及台帐目录，并按要求开展工作，每年提交设备质控报告，进行1次风险评估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9)备品免费提供：在等待零配件维修过程中或疑难故障而致需返修时，应在24小时内提供同档次备用设备，保障临床正常工作。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根据医院的需求每年至少提供两次对设备的使用、清洗和保养方法等内容培训，提供培训记录（包括培训项目、培训目的、实施形式、培训对象、课件目录、授课人、签到表等），要求每半年至少一次，与年度报告成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为确保零配件和备品供应的及时性，维保方须在项目实施地建立适用维保设备零配件仓库（需提供相应证明文件）。或供应商提供书面承诺函原件，承诺成交后一个月内在项目实施地建立适用维保设备零配件仓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12)如果乙方在维修过程中造成设备备件损坏，则由乙方免费更换原厂全新备件，所需费用包含在合同总价中。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13)乙方保证提供的配件为原厂同型号、同版本配件，最大性能匹配原机。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14)维保方需接受采购人考核，根据维保服务技术考核情况，若达不到采购人要求，采购人可以单方面终止合同。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15)为确保服务维修工作的及时性，维保方需在项目实施地有固定的办公场所（需提供相应证明文件）。或供应商提供书面承诺函原件，承诺成交后一个月内在项目实施地建立固定的办公场所。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16)要求乙方指派专人负责与采购人联系维保服务事宜。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17)重大事件之前，应配合医院对设备进行常规检查（如春节和国庆节等事件，以检测报告为准）。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18)1年度维保期满后把维保服务内容成册交设备使用科室和管理部门存档。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19)维保服务期结束后，投标人需要把完好设备交予招标人，与设备使用科室完成设备移交手续，方可申请支付剩余维保费用。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20)维保期结束后，在新维保供应商未确定时，此设备维保如有需求，经院方同意，维保服务继续由原维保供应商提供服务，最长时间不超过30天，维保费用依据原维保费用标准按天计算支付。</w:t>
            </w:r>
          </w:p>
        </w:tc>
      </w:tr>
    </w:tbl>
    <w:p/>
    <w:p/>
    <w:tbl>
      <w:tblPr>
        <w:tblStyle w:val="2"/>
        <w:tblpPr w:leftFromText="180" w:rightFromText="180" w:vertAnchor="text" w:horzAnchor="page" w:tblpXSpec="center" w:tblpY="312"/>
        <w:tblOverlap w:val="never"/>
        <w:tblW w:w="7005" w:type="dxa"/>
        <w:jc w:val="center"/>
        <w:shd w:val="clear" w:color="auto" w:fill="auto"/>
        <w:tblLayout w:type="autofit"/>
        <w:tblCellMar>
          <w:top w:w="0" w:type="dxa"/>
          <w:left w:w="108" w:type="dxa"/>
          <w:bottom w:w="0" w:type="dxa"/>
          <w:right w:w="108" w:type="dxa"/>
        </w:tblCellMar>
      </w:tblPr>
      <w:tblGrid>
        <w:gridCol w:w="1055"/>
        <w:gridCol w:w="1046"/>
        <w:gridCol w:w="1116"/>
        <w:gridCol w:w="1594"/>
        <w:gridCol w:w="1116"/>
        <w:gridCol w:w="1078"/>
      </w:tblGrid>
      <w:tr>
        <w:tblPrEx>
          <w:tblCellMar>
            <w:top w:w="0" w:type="dxa"/>
            <w:left w:w="108" w:type="dxa"/>
            <w:bottom w:w="0" w:type="dxa"/>
            <w:right w:w="108" w:type="dxa"/>
          </w:tblCellMar>
        </w:tblPrEx>
        <w:trPr>
          <w:trHeight w:val="620" w:hRule="atLeast"/>
          <w:jc w:val="center"/>
        </w:trPr>
        <w:tc>
          <w:tcPr>
            <w:tcW w:w="1055" w:type="dxa"/>
            <w:tcBorders>
              <w:top w:val="nil"/>
              <w:left w:val="nil"/>
              <w:bottom w:val="nil"/>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附件一：</w:t>
            </w:r>
          </w:p>
        </w:tc>
        <w:tc>
          <w:tcPr>
            <w:tcW w:w="1046" w:type="dxa"/>
            <w:tcBorders>
              <w:top w:val="nil"/>
              <w:left w:val="nil"/>
              <w:bottom w:val="nil"/>
              <w:right w:val="nil"/>
            </w:tcBorders>
            <w:shd w:val="clear" w:color="auto" w:fill="FFFFFF"/>
            <w:vAlign w:val="center"/>
          </w:tcPr>
          <w:p>
            <w:pPr>
              <w:jc w:val="left"/>
              <w:rPr>
                <w:rFonts w:hint="eastAsia" w:ascii="宋体" w:hAnsi="宋体" w:eastAsia="宋体" w:cs="宋体"/>
                <w:b/>
                <w:bCs/>
                <w:i w:val="0"/>
                <w:iCs w:val="0"/>
                <w:color w:val="000000"/>
                <w:sz w:val="18"/>
                <w:szCs w:val="18"/>
                <w:u w:val="none"/>
              </w:rPr>
            </w:pPr>
          </w:p>
        </w:tc>
        <w:tc>
          <w:tcPr>
            <w:tcW w:w="1116" w:type="dxa"/>
            <w:tcBorders>
              <w:top w:val="nil"/>
              <w:left w:val="nil"/>
              <w:bottom w:val="nil"/>
              <w:right w:val="nil"/>
            </w:tcBorders>
            <w:shd w:val="clear" w:color="auto" w:fill="FFFFFF"/>
            <w:vAlign w:val="center"/>
          </w:tcPr>
          <w:p>
            <w:pPr>
              <w:jc w:val="left"/>
              <w:rPr>
                <w:rFonts w:hint="eastAsia" w:ascii="宋体" w:hAnsi="宋体" w:eastAsia="宋体" w:cs="宋体"/>
                <w:b/>
                <w:bCs/>
                <w:i w:val="0"/>
                <w:iCs w:val="0"/>
                <w:color w:val="000000"/>
                <w:sz w:val="18"/>
                <w:szCs w:val="18"/>
                <w:u w:val="none"/>
              </w:rPr>
            </w:pPr>
          </w:p>
        </w:tc>
        <w:tc>
          <w:tcPr>
            <w:tcW w:w="1594" w:type="dxa"/>
            <w:tcBorders>
              <w:top w:val="nil"/>
              <w:left w:val="nil"/>
              <w:bottom w:val="nil"/>
              <w:right w:val="nil"/>
            </w:tcBorders>
            <w:shd w:val="clear" w:color="auto" w:fill="FFFFFF"/>
            <w:vAlign w:val="center"/>
          </w:tcPr>
          <w:p>
            <w:pPr>
              <w:jc w:val="left"/>
              <w:rPr>
                <w:rFonts w:hint="eastAsia" w:ascii="宋体" w:hAnsi="宋体" w:eastAsia="宋体" w:cs="宋体"/>
                <w:b/>
                <w:bCs/>
                <w:i w:val="0"/>
                <w:iCs w:val="0"/>
                <w:color w:val="000000"/>
                <w:sz w:val="18"/>
                <w:szCs w:val="18"/>
                <w:u w:val="none"/>
              </w:rPr>
            </w:pPr>
          </w:p>
        </w:tc>
        <w:tc>
          <w:tcPr>
            <w:tcW w:w="1116" w:type="dxa"/>
            <w:tcBorders>
              <w:top w:val="nil"/>
              <w:left w:val="nil"/>
              <w:bottom w:val="nil"/>
              <w:right w:val="nil"/>
            </w:tcBorders>
            <w:shd w:val="clear" w:color="auto" w:fill="FFFFFF"/>
            <w:vAlign w:val="center"/>
          </w:tcPr>
          <w:p>
            <w:pPr>
              <w:jc w:val="left"/>
              <w:rPr>
                <w:rFonts w:hint="eastAsia" w:ascii="宋体" w:hAnsi="宋体" w:eastAsia="宋体" w:cs="宋体"/>
                <w:b/>
                <w:bCs/>
                <w:i w:val="0"/>
                <w:iCs w:val="0"/>
                <w:color w:val="000000"/>
                <w:sz w:val="18"/>
                <w:szCs w:val="18"/>
                <w:u w:val="none"/>
              </w:rPr>
            </w:pPr>
          </w:p>
        </w:tc>
        <w:tc>
          <w:tcPr>
            <w:tcW w:w="1078" w:type="dxa"/>
            <w:tcBorders>
              <w:top w:val="nil"/>
              <w:left w:val="nil"/>
              <w:bottom w:val="nil"/>
              <w:right w:val="nil"/>
            </w:tcBorders>
            <w:shd w:val="clear" w:color="auto" w:fill="FFFFFF"/>
            <w:vAlign w:val="center"/>
          </w:tcPr>
          <w:p>
            <w:pPr>
              <w:jc w:val="left"/>
              <w:rPr>
                <w:rFonts w:hint="eastAsia" w:ascii="宋体" w:hAnsi="宋体" w:eastAsia="宋体" w:cs="宋体"/>
                <w:b/>
                <w:bCs/>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编号</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使用科室</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设备类型</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设备型号</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机身号</w:t>
            </w:r>
          </w:p>
        </w:tc>
        <w:tc>
          <w:tcPr>
            <w:tcW w:w="1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安装日期</w:t>
            </w:r>
          </w:p>
        </w:tc>
      </w:tr>
      <w:tr>
        <w:tblPrEx>
          <w:tblCellMar>
            <w:top w:w="0" w:type="dxa"/>
            <w:left w:w="108" w:type="dxa"/>
            <w:bottom w:w="0" w:type="dxa"/>
            <w:right w:w="108" w:type="dxa"/>
          </w:tblCellMar>
        </w:tblPrEx>
        <w:trPr>
          <w:trHeight w:val="27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内镜中心</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主机</w:t>
            </w:r>
          </w:p>
        </w:tc>
        <w:tc>
          <w:tcPr>
            <w:tcW w:w="1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EPK-I7000(A)</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Ac010140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2015/1/1</w:t>
            </w:r>
          </w:p>
        </w:tc>
      </w:tr>
      <w:tr>
        <w:tblPrEx>
          <w:shd w:val="clear" w:color="auto" w:fill="auto"/>
          <w:tblCellMar>
            <w:top w:w="0" w:type="dxa"/>
            <w:left w:w="108" w:type="dxa"/>
            <w:bottom w:w="0" w:type="dxa"/>
            <w:right w:w="108" w:type="dxa"/>
          </w:tblCellMar>
        </w:tblPrEx>
        <w:trPr>
          <w:trHeight w:val="27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内镜中心</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肠镜</w:t>
            </w:r>
          </w:p>
        </w:tc>
        <w:tc>
          <w:tcPr>
            <w:tcW w:w="1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EC38-I10M</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A110245-33</w:t>
            </w:r>
          </w:p>
        </w:tc>
        <w:tc>
          <w:tcPr>
            <w:tcW w:w="1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2015/1/13</w:t>
            </w:r>
          </w:p>
        </w:tc>
      </w:tr>
      <w:tr>
        <w:tblPrEx>
          <w:tblCellMar>
            <w:top w:w="0" w:type="dxa"/>
            <w:left w:w="108" w:type="dxa"/>
            <w:bottom w:w="0" w:type="dxa"/>
            <w:right w:w="108" w:type="dxa"/>
          </w:tblCellMar>
        </w:tblPrEx>
        <w:trPr>
          <w:trHeight w:val="27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内镜中心</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肠镜</w:t>
            </w:r>
          </w:p>
        </w:tc>
        <w:tc>
          <w:tcPr>
            <w:tcW w:w="1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EC38-I10M</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A110246-34</w:t>
            </w:r>
          </w:p>
        </w:tc>
        <w:tc>
          <w:tcPr>
            <w:tcW w:w="1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2015/1/13</w:t>
            </w:r>
          </w:p>
        </w:tc>
      </w:tr>
      <w:tr>
        <w:tblPrEx>
          <w:tblCellMar>
            <w:top w:w="0" w:type="dxa"/>
            <w:left w:w="108" w:type="dxa"/>
            <w:bottom w:w="0" w:type="dxa"/>
            <w:right w:w="108" w:type="dxa"/>
          </w:tblCellMar>
        </w:tblPrEx>
        <w:trPr>
          <w:trHeight w:val="27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内镜中心</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肠镜</w:t>
            </w:r>
          </w:p>
        </w:tc>
        <w:tc>
          <w:tcPr>
            <w:tcW w:w="1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EC38-I10M</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A110278-32</w:t>
            </w:r>
          </w:p>
        </w:tc>
        <w:tc>
          <w:tcPr>
            <w:tcW w:w="1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2015/1/13</w:t>
            </w:r>
          </w:p>
        </w:tc>
      </w:tr>
      <w:tr>
        <w:tblPrEx>
          <w:tblCellMar>
            <w:top w:w="0" w:type="dxa"/>
            <w:left w:w="108" w:type="dxa"/>
            <w:bottom w:w="0" w:type="dxa"/>
            <w:right w:w="108" w:type="dxa"/>
          </w:tblCellMar>
        </w:tblPrEx>
        <w:trPr>
          <w:trHeight w:val="27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内镜中心</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胃镜</w:t>
            </w:r>
          </w:p>
        </w:tc>
        <w:tc>
          <w:tcPr>
            <w:tcW w:w="1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EG29-i10</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A111380-11</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2015/1/13</w:t>
            </w:r>
          </w:p>
        </w:tc>
      </w:tr>
      <w:tr>
        <w:tblPrEx>
          <w:tblCellMar>
            <w:top w:w="0" w:type="dxa"/>
            <w:left w:w="108" w:type="dxa"/>
            <w:bottom w:w="0" w:type="dxa"/>
            <w:right w:w="108" w:type="dxa"/>
          </w:tblCellMar>
        </w:tblPrEx>
        <w:trPr>
          <w:trHeight w:val="27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内镜中心</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胃镜</w:t>
            </w:r>
          </w:p>
        </w:tc>
        <w:tc>
          <w:tcPr>
            <w:tcW w:w="1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EG29-i10</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A111446-13</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2015/1/13</w:t>
            </w:r>
          </w:p>
        </w:tc>
      </w:tr>
      <w:tr>
        <w:tblPrEx>
          <w:shd w:val="clear" w:color="auto" w:fill="auto"/>
          <w:tblCellMar>
            <w:top w:w="0" w:type="dxa"/>
            <w:left w:w="108" w:type="dxa"/>
            <w:bottom w:w="0" w:type="dxa"/>
            <w:right w:w="108" w:type="dxa"/>
          </w:tblCellMar>
        </w:tblPrEx>
        <w:trPr>
          <w:trHeight w:val="27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内镜中心</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胃镜</w:t>
            </w:r>
          </w:p>
        </w:tc>
        <w:tc>
          <w:tcPr>
            <w:tcW w:w="1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EG29-i10</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A111458-12</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2015/1/13</w:t>
            </w:r>
          </w:p>
        </w:tc>
      </w:tr>
      <w:tr>
        <w:tblPrEx>
          <w:shd w:val="clear" w:color="auto" w:fill="auto"/>
          <w:tblCellMar>
            <w:top w:w="0" w:type="dxa"/>
            <w:left w:w="108" w:type="dxa"/>
            <w:bottom w:w="0" w:type="dxa"/>
            <w:right w:w="108" w:type="dxa"/>
          </w:tblCellMar>
        </w:tblPrEx>
        <w:trPr>
          <w:trHeight w:val="27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内镜中心</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胃镜</w:t>
            </w:r>
          </w:p>
        </w:tc>
        <w:tc>
          <w:tcPr>
            <w:tcW w:w="1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EG-2990Zi</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H110319-22</w:t>
            </w:r>
          </w:p>
        </w:tc>
        <w:tc>
          <w:tcPr>
            <w:tcW w:w="1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2015/1/13</w:t>
            </w:r>
          </w:p>
        </w:tc>
      </w:tr>
      <w:tr>
        <w:tblPrEx>
          <w:shd w:val="clear" w:color="auto" w:fill="auto"/>
          <w:tblCellMar>
            <w:top w:w="0" w:type="dxa"/>
            <w:left w:w="108" w:type="dxa"/>
            <w:bottom w:w="0" w:type="dxa"/>
            <w:right w:w="108" w:type="dxa"/>
          </w:tblCellMar>
        </w:tblPrEx>
        <w:trPr>
          <w:trHeight w:val="27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内镜中心</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十二指肠镜</w:t>
            </w:r>
          </w:p>
        </w:tc>
        <w:tc>
          <w:tcPr>
            <w:tcW w:w="1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ED-3470K</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A120453-20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2015/6/13</w:t>
            </w:r>
          </w:p>
        </w:tc>
      </w:tr>
      <w:tr>
        <w:tblPrEx>
          <w:tblCellMar>
            <w:top w:w="0" w:type="dxa"/>
            <w:left w:w="108" w:type="dxa"/>
            <w:bottom w:w="0" w:type="dxa"/>
            <w:right w:w="108" w:type="dxa"/>
          </w:tblCellMar>
        </w:tblPrEx>
        <w:trPr>
          <w:trHeight w:val="27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内镜中心</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肠镜</w:t>
            </w:r>
          </w:p>
        </w:tc>
        <w:tc>
          <w:tcPr>
            <w:tcW w:w="1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EC38-I10M</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A110706-30</w:t>
            </w:r>
          </w:p>
        </w:tc>
        <w:tc>
          <w:tcPr>
            <w:tcW w:w="1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2018/3/12</w:t>
            </w:r>
          </w:p>
        </w:tc>
      </w:tr>
      <w:tr>
        <w:tblPrEx>
          <w:shd w:val="clear" w:color="auto" w:fill="auto"/>
          <w:tblCellMar>
            <w:top w:w="0" w:type="dxa"/>
            <w:left w:w="108" w:type="dxa"/>
            <w:bottom w:w="0" w:type="dxa"/>
            <w:right w:w="108" w:type="dxa"/>
          </w:tblCellMar>
        </w:tblPrEx>
        <w:trPr>
          <w:trHeight w:val="27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内镜中心</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肠镜</w:t>
            </w:r>
          </w:p>
        </w:tc>
        <w:tc>
          <w:tcPr>
            <w:tcW w:w="1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EC38-I10M</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A110736-31</w:t>
            </w:r>
          </w:p>
        </w:tc>
        <w:tc>
          <w:tcPr>
            <w:tcW w:w="1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2018/3/12</w:t>
            </w:r>
          </w:p>
        </w:tc>
      </w:tr>
      <w:tr>
        <w:tblPrEx>
          <w:tblCellMar>
            <w:top w:w="0" w:type="dxa"/>
            <w:left w:w="108" w:type="dxa"/>
            <w:bottom w:w="0" w:type="dxa"/>
            <w:right w:w="108" w:type="dxa"/>
          </w:tblCellMar>
        </w:tblPrEx>
        <w:trPr>
          <w:trHeight w:val="27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内镜中心</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十二指肠镜</w:t>
            </w:r>
          </w:p>
        </w:tc>
        <w:tc>
          <w:tcPr>
            <w:tcW w:w="1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ED34-i10T</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A160032-21</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2018/3/12</w:t>
            </w:r>
          </w:p>
        </w:tc>
      </w:tr>
      <w:tr>
        <w:tblPrEx>
          <w:tblCellMar>
            <w:top w:w="0" w:type="dxa"/>
            <w:left w:w="108" w:type="dxa"/>
            <w:bottom w:w="0" w:type="dxa"/>
            <w:right w:w="108" w:type="dxa"/>
          </w:tblCellMar>
        </w:tblPrEx>
        <w:trPr>
          <w:trHeight w:val="27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内镜中心</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胃镜</w:t>
            </w:r>
          </w:p>
        </w:tc>
        <w:tc>
          <w:tcPr>
            <w:tcW w:w="1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EG29-i10</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A115557-15</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2018/3/12</w:t>
            </w:r>
          </w:p>
        </w:tc>
      </w:tr>
      <w:tr>
        <w:tblPrEx>
          <w:tblCellMar>
            <w:top w:w="0" w:type="dxa"/>
            <w:left w:w="108" w:type="dxa"/>
            <w:bottom w:w="0" w:type="dxa"/>
            <w:right w:w="108" w:type="dxa"/>
          </w:tblCellMar>
        </w:tblPrEx>
        <w:trPr>
          <w:trHeight w:val="27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内镜中心</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胃镜</w:t>
            </w:r>
          </w:p>
        </w:tc>
        <w:tc>
          <w:tcPr>
            <w:tcW w:w="1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EG29-i10</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A115582-16</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2018/3/12</w:t>
            </w:r>
          </w:p>
        </w:tc>
      </w:tr>
      <w:tr>
        <w:tblPrEx>
          <w:tblCellMar>
            <w:top w:w="0" w:type="dxa"/>
            <w:left w:w="108" w:type="dxa"/>
            <w:bottom w:w="0" w:type="dxa"/>
            <w:right w:w="108" w:type="dxa"/>
          </w:tblCellMar>
        </w:tblPrEx>
        <w:trPr>
          <w:trHeight w:val="27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内镜中心</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主机</w:t>
            </w:r>
          </w:p>
        </w:tc>
        <w:tc>
          <w:tcPr>
            <w:tcW w:w="1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EPK-I7000(A)</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C060537</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2018/3/12</w:t>
            </w:r>
          </w:p>
        </w:tc>
      </w:tr>
      <w:tr>
        <w:tblPrEx>
          <w:shd w:val="clear" w:color="auto" w:fill="auto"/>
          <w:tblCellMar>
            <w:top w:w="0" w:type="dxa"/>
            <w:left w:w="108" w:type="dxa"/>
            <w:bottom w:w="0" w:type="dxa"/>
            <w:right w:w="108" w:type="dxa"/>
          </w:tblCellMar>
        </w:tblPrEx>
        <w:trPr>
          <w:trHeight w:val="27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内镜中心</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肠镜</w:t>
            </w:r>
          </w:p>
        </w:tc>
        <w:tc>
          <w:tcPr>
            <w:tcW w:w="1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EC-3890MZI</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A160012-23</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2019/9/1</w:t>
            </w:r>
          </w:p>
        </w:tc>
      </w:tr>
      <w:tr>
        <w:tblPrEx>
          <w:shd w:val="clear" w:color="auto" w:fill="auto"/>
          <w:tblCellMar>
            <w:top w:w="0" w:type="dxa"/>
            <w:left w:w="108" w:type="dxa"/>
            <w:bottom w:w="0" w:type="dxa"/>
            <w:right w:w="108" w:type="dxa"/>
          </w:tblCellMar>
        </w:tblPrEx>
        <w:trPr>
          <w:trHeight w:val="27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内镜中心</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肠镜</w:t>
            </w:r>
          </w:p>
        </w:tc>
        <w:tc>
          <w:tcPr>
            <w:tcW w:w="1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EC-3490TMI</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A160010-24</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2019/9/1</w:t>
            </w:r>
          </w:p>
        </w:tc>
      </w:tr>
      <w:tr>
        <w:tblPrEx>
          <w:shd w:val="clear" w:color="auto" w:fill="auto"/>
          <w:tblCellMar>
            <w:top w:w="0" w:type="dxa"/>
            <w:left w:w="108" w:type="dxa"/>
            <w:bottom w:w="0" w:type="dxa"/>
            <w:right w:w="108" w:type="dxa"/>
          </w:tblCellMar>
        </w:tblPrEx>
        <w:trPr>
          <w:trHeight w:val="27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内镜中心</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肠镜</w:t>
            </w:r>
          </w:p>
        </w:tc>
        <w:tc>
          <w:tcPr>
            <w:tcW w:w="1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EC38-I10M</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A110891-28</w:t>
            </w:r>
          </w:p>
        </w:tc>
        <w:tc>
          <w:tcPr>
            <w:tcW w:w="1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2019/9/1</w:t>
            </w:r>
          </w:p>
        </w:tc>
      </w:tr>
      <w:tr>
        <w:tblPrEx>
          <w:tblCellMar>
            <w:top w:w="0" w:type="dxa"/>
            <w:left w:w="108" w:type="dxa"/>
            <w:bottom w:w="0" w:type="dxa"/>
            <w:right w:w="108" w:type="dxa"/>
          </w:tblCellMar>
        </w:tblPrEx>
        <w:trPr>
          <w:trHeight w:val="27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内镜中心</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肠镜</w:t>
            </w:r>
          </w:p>
        </w:tc>
        <w:tc>
          <w:tcPr>
            <w:tcW w:w="1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EC38-I10M</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A160076-26</w:t>
            </w:r>
          </w:p>
        </w:tc>
        <w:tc>
          <w:tcPr>
            <w:tcW w:w="1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2019/9/1</w:t>
            </w:r>
          </w:p>
        </w:tc>
      </w:tr>
      <w:tr>
        <w:tblPrEx>
          <w:tblCellMar>
            <w:top w:w="0" w:type="dxa"/>
            <w:left w:w="108" w:type="dxa"/>
            <w:bottom w:w="0" w:type="dxa"/>
            <w:right w:w="108" w:type="dxa"/>
          </w:tblCellMar>
        </w:tblPrEx>
        <w:trPr>
          <w:trHeight w:val="27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内镜中心</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胃镜</w:t>
            </w:r>
          </w:p>
        </w:tc>
        <w:tc>
          <w:tcPr>
            <w:tcW w:w="1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EG29-i10</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A117255-17</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2019/9/1</w:t>
            </w:r>
          </w:p>
        </w:tc>
      </w:tr>
      <w:tr>
        <w:tblPrEx>
          <w:shd w:val="clear" w:color="auto" w:fill="auto"/>
          <w:tblCellMar>
            <w:top w:w="0" w:type="dxa"/>
            <w:left w:w="108" w:type="dxa"/>
            <w:bottom w:w="0" w:type="dxa"/>
            <w:right w:w="108" w:type="dxa"/>
          </w:tblCellMar>
        </w:tblPrEx>
        <w:trPr>
          <w:trHeight w:val="27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内镜中心</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胃镜</w:t>
            </w:r>
          </w:p>
        </w:tc>
        <w:tc>
          <w:tcPr>
            <w:tcW w:w="1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EG29-i10</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A117256-18</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2019/9/1</w:t>
            </w:r>
          </w:p>
        </w:tc>
      </w:tr>
      <w:tr>
        <w:tblPrEx>
          <w:tblCellMar>
            <w:top w:w="0" w:type="dxa"/>
            <w:left w:w="108" w:type="dxa"/>
            <w:bottom w:w="0" w:type="dxa"/>
            <w:right w:w="108" w:type="dxa"/>
          </w:tblCellMar>
        </w:tblPrEx>
        <w:trPr>
          <w:trHeight w:val="27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内镜中心</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胃镜</w:t>
            </w:r>
          </w:p>
        </w:tc>
        <w:tc>
          <w:tcPr>
            <w:tcW w:w="1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EG29-i10</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A160113-2</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2019/9/1</w:t>
            </w:r>
          </w:p>
        </w:tc>
      </w:tr>
      <w:tr>
        <w:tblPrEx>
          <w:shd w:val="clear" w:color="auto" w:fill="auto"/>
          <w:tblCellMar>
            <w:top w:w="0" w:type="dxa"/>
            <w:left w:w="108" w:type="dxa"/>
            <w:bottom w:w="0" w:type="dxa"/>
            <w:right w:w="108" w:type="dxa"/>
          </w:tblCellMar>
        </w:tblPrEx>
        <w:trPr>
          <w:trHeight w:val="27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内镜中心</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胃镜</w:t>
            </w:r>
          </w:p>
        </w:tc>
        <w:tc>
          <w:tcPr>
            <w:tcW w:w="1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EG29-i10</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A160115-4</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2019/9/1</w:t>
            </w:r>
          </w:p>
        </w:tc>
      </w:tr>
      <w:tr>
        <w:tblPrEx>
          <w:tblCellMar>
            <w:top w:w="0" w:type="dxa"/>
            <w:left w:w="108" w:type="dxa"/>
            <w:bottom w:w="0" w:type="dxa"/>
            <w:right w:w="108" w:type="dxa"/>
          </w:tblCellMar>
        </w:tblPrEx>
        <w:trPr>
          <w:trHeight w:val="27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内镜中心</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胃镜</w:t>
            </w:r>
          </w:p>
        </w:tc>
        <w:tc>
          <w:tcPr>
            <w:tcW w:w="1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EG29-i10</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A160146-19</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2019/9/1</w:t>
            </w:r>
          </w:p>
        </w:tc>
      </w:tr>
      <w:tr>
        <w:tblPrEx>
          <w:tblCellMar>
            <w:top w:w="0" w:type="dxa"/>
            <w:left w:w="108" w:type="dxa"/>
            <w:bottom w:w="0" w:type="dxa"/>
            <w:right w:w="108" w:type="dxa"/>
          </w:tblCellMar>
        </w:tblPrEx>
        <w:trPr>
          <w:trHeight w:val="27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内镜中心</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主机</w:t>
            </w:r>
          </w:p>
        </w:tc>
        <w:tc>
          <w:tcPr>
            <w:tcW w:w="1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EPK-I7000(OE)</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C060115</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2019/9/1</w:t>
            </w:r>
          </w:p>
        </w:tc>
      </w:tr>
      <w:tr>
        <w:tblPrEx>
          <w:tblCellMar>
            <w:top w:w="0" w:type="dxa"/>
            <w:left w:w="108" w:type="dxa"/>
            <w:bottom w:w="0" w:type="dxa"/>
            <w:right w:w="108" w:type="dxa"/>
          </w:tblCellMar>
        </w:tblPrEx>
        <w:trPr>
          <w:trHeight w:val="27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内镜中心</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肠镜</w:t>
            </w:r>
          </w:p>
        </w:tc>
        <w:tc>
          <w:tcPr>
            <w:tcW w:w="1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EC38-I10M</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A160064-27</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2019/9/16</w:t>
            </w:r>
          </w:p>
        </w:tc>
      </w:tr>
    </w:tbl>
    <w:p/>
    <w:p/>
    <w:sectPr>
      <w:pgSz w:w="11906" w:h="16838"/>
      <w:pgMar w:top="720" w:right="0" w:bottom="720" w:left="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114F51"/>
    <w:rsid w:val="24114F51"/>
    <w:rsid w:val="725B6C8C"/>
    <w:rsid w:val="75032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2021-04-07T01:27:00Z</dcterms:created>
  <dc:creator>医学装备科-肖婷</dc:creator>
  <cp:lastModifiedBy>医学装备科-肖婷</cp:lastModifiedBy>
  <dcterms:modified xsi:type="dcterms:W3CDTF">2021-04-15T09:00:24Z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C3D7DE9C48864EC99F2A3518B7B68DFD</vt:lpwstr>
  </property>
</Properties>
</file>