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918" w:type="dxa"/>
        <w:tblInd w:w="93" w:type="dxa"/>
        <w:shd w:val="clear"/>
        <w:tblLayout w:type="fixed"/>
        <w:tblCellMar>
          <w:top w:w="0" w:type="dxa"/>
          <w:left w:w="108" w:type="dxa"/>
          <w:bottom w:w="0" w:type="dxa"/>
          <w:right w:w="108" w:type="dxa"/>
        </w:tblCellMar>
      </w:tblPr>
      <w:tblGrid>
        <w:gridCol w:w="1101"/>
        <w:gridCol w:w="4830"/>
        <w:gridCol w:w="1987"/>
      </w:tblGrid>
      <w:tr>
        <w:tblPrEx>
          <w:shd w:val="clear"/>
          <w:tblCellMar>
            <w:top w:w="0" w:type="dxa"/>
            <w:left w:w="108" w:type="dxa"/>
            <w:bottom w:w="0" w:type="dxa"/>
            <w:right w:w="108" w:type="dxa"/>
          </w:tblCellMar>
        </w:tblPrEx>
        <w:trPr>
          <w:trHeight w:val="1118" w:hRule="atLeast"/>
        </w:trPr>
        <w:tc>
          <w:tcPr>
            <w:tcW w:w="11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项目序号</w:t>
            </w:r>
          </w:p>
        </w:tc>
        <w:tc>
          <w:tcPr>
            <w:tcW w:w="48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名称</w:t>
            </w:r>
          </w:p>
        </w:tc>
        <w:tc>
          <w:tcPr>
            <w:tcW w:w="19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要求</w:t>
            </w:r>
          </w:p>
        </w:tc>
      </w:tr>
      <w:tr>
        <w:tblPrEx>
          <w:tblCellMar>
            <w:top w:w="0" w:type="dxa"/>
            <w:left w:w="108" w:type="dxa"/>
            <w:bottom w:w="0" w:type="dxa"/>
            <w:right w:w="108" w:type="dxa"/>
          </w:tblCellMar>
        </w:tblPrEx>
        <w:trPr>
          <w:trHeight w:val="785" w:hRule="atLeast"/>
        </w:trPr>
        <w:tc>
          <w:tcPr>
            <w:tcW w:w="11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体检报告制作系统</w:t>
            </w:r>
          </w:p>
        </w:tc>
        <w:tc>
          <w:tcPr>
            <w:tcW w:w="19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详见附件1</w:t>
            </w:r>
          </w:p>
        </w:tc>
      </w:tr>
      <w:tr>
        <w:tblPrEx>
          <w:tblCellMar>
            <w:top w:w="0" w:type="dxa"/>
            <w:left w:w="108" w:type="dxa"/>
            <w:bottom w:w="0" w:type="dxa"/>
            <w:right w:w="108" w:type="dxa"/>
          </w:tblCellMar>
        </w:tblPrEx>
        <w:trPr>
          <w:trHeight w:val="875" w:hRule="atLeast"/>
        </w:trPr>
        <w:tc>
          <w:tcPr>
            <w:tcW w:w="11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8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分值付费下基于临床实际的病组费用精细化管理系统</w:t>
            </w:r>
          </w:p>
        </w:tc>
        <w:tc>
          <w:tcPr>
            <w:tcW w:w="19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详见附件2</w:t>
            </w:r>
          </w:p>
        </w:tc>
      </w:tr>
      <w:tr>
        <w:tblPrEx>
          <w:tblCellMar>
            <w:top w:w="0" w:type="dxa"/>
            <w:left w:w="108" w:type="dxa"/>
            <w:bottom w:w="0" w:type="dxa"/>
            <w:right w:w="108" w:type="dxa"/>
          </w:tblCellMar>
        </w:tblPrEx>
        <w:trPr>
          <w:trHeight w:val="875" w:hRule="atLeast"/>
        </w:trPr>
        <w:tc>
          <w:tcPr>
            <w:tcW w:w="11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8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医保前置审核系统二期（门特前置审核系统）</w:t>
            </w:r>
          </w:p>
        </w:tc>
        <w:tc>
          <w:tcPr>
            <w:tcW w:w="19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详见附件3</w:t>
            </w:r>
          </w:p>
        </w:tc>
      </w:tr>
      <w:tr>
        <w:tblPrEx>
          <w:shd w:val="clear"/>
          <w:tblCellMar>
            <w:top w:w="0" w:type="dxa"/>
            <w:left w:w="108" w:type="dxa"/>
            <w:bottom w:w="0" w:type="dxa"/>
            <w:right w:w="108" w:type="dxa"/>
          </w:tblCellMar>
        </w:tblPrEx>
        <w:trPr>
          <w:trHeight w:val="1135" w:hRule="atLeast"/>
        </w:trPr>
        <w:tc>
          <w:tcPr>
            <w:tcW w:w="11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8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老年围手术期（择期非心脏手术）健康综合评估系统</w:t>
            </w:r>
          </w:p>
        </w:tc>
        <w:tc>
          <w:tcPr>
            <w:tcW w:w="19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详见附件4</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b/>
          <w:bCs/>
          <w:sz w:val="32"/>
          <w:szCs w:val="40"/>
          <w:lang w:val="en-US" w:eastAsia="zh-CN"/>
        </w:rPr>
      </w:pPr>
      <w:r>
        <w:rPr>
          <w:rFonts w:hint="eastAsia"/>
          <w:b/>
          <w:bCs/>
          <w:sz w:val="32"/>
          <w:szCs w:val="40"/>
          <w:lang w:val="en-US" w:eastAsia="zh-CN"/>
        </w:rPr>
        <w:t>附件1：</w:t>
      </w:r>
    </w:p>
    <w:p>
      <w:pPr>
        <w:spacing w:line="360" w:lineRule="exact"/>
        <w:jc w:val="center"/>
        <w:rPr>
          <w:rFonts w:ascii="宋体" w:hAnsi="宋体"/>
          <w:b/>
          <w:color w:val="000000"/>
          <w:kern w:val="0"/>
          <w:sz w:val="30"/>
          <w:szCs w:val="30"/>
        </w:rPr>
      </w:pPr>
      <w:r>
        <w:rPr>
          <w:rFonts w:hint="eastAsia" w:ascii="宋体" w:hAnsi="宋体"/>
          <w:b/>
          <w:color w:val="000000"/>
          <w:kern w:val="0"/>
          <w:sz w:val="30"/>
          <w:szCs w:val="30"/>
        </w:rPr>
        <w:t>体检报告制作系统参数</w:t>
      </w:r>
    </w:p>
    <w:p>
      <w:pPr>
        <w:spacing w:line="46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健康管理中心现有体检报告打印设备已陈旧落后，打印速度慢、黑白版面、使用成本高、故障率高、需大量人力进行分捡等因素直接影响了中心的运行以及形象。建设现代化的健康管理中心对环境、设备、服务等各方面都有较高要求。体检报告是服务中不可缺少的一部分，直接展现中心的专业与形象，同时影响着健康管理中心的效率、效益以及服务质量。从根本上改进报告制作流程、让报告更加精美，能有效提高中心运作效率和降低运营成本，提升竞争力，更能展现医院和健康管理中心的专业形象，促进健康管理中心长足发展。</w:t>
      </w:r>
    </w:p>
    <w:p>
      <w:pPr>
        <w:spacing w:line="400" w:lineRule="exact"/>
        <w:rPr>
          <w:rFonts w:hint="eastAsia" w:asciiTheme="majorEastAsia" w:hAnsiTheme="majorEastAsia" w:eastAsiaTheme="majorEastAsia"/>
          <w:b/>
          <w:sz w:val="24"/>
        </w:rPr>
      </w:pPr>
      <w:r>
        <w:rPr>
          <w:rFonts w:hint="eastAsia" w:asciiTheme="majorEastAsia" w:hAnsiTheme="majorEastAsia" w:eastAsiaTheme="majorEastAsia"/>
          <w:b/>
          <w:sz w:val="24"/>
        </w:rPr>
        <w:t xml:space="preserve">    一、设备需求情况</w:t>
      </w:r>
    </w:p>
    <w:p>
      <w:pPr>
        <w:spacing w:line="400" w:lineRule="exact"/>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全新体检报告制作管理系统：</w:t>
      </w:r>
    </w:p>
    <w:p>
      <w:pPr>
        <w:spacing w:line="46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实现报告彩色化、大幅降低使用成本、提高工作效率。可以实现网络统筹打印，具有高速、低成本、一体化、多功能、环保等功能，兼顾指引单、其它资料等文件打印输出。全面实现体检报告、资料、文件等一键式流程化自动制作（无需人工）。</w:t>
      </w:r>
    </w:p>
    <w:p>
      <w:pPr>
        <w:spacing w:line="360" w:lineRule="exact"/>
        <w:rPr>
          <w:rFonts w:asciiTheme="majorEastAsia" w:hAnsiTheme="majorEastAsia" w:eastAsiaTheme="majorEastAsia"/>
          <w:b/>
          <w:color w:val="000000"/>
          <w:kern w:val="0"/>
          <w:sz w:val="24"/>
        </w:rPr>
      </w:pPr>
      <w:r>
        <w:rPr>
          <w:rFonts w:hint="eastAsia" w:asciiTheme="majorEastAsia" w:hAnsiTheme="majorEastAsia" w:eastAsiaTheme="majorEastAsia"/>
          <w:b/>
          <w:color w:val="000000"/>
          <w:kern w:val="0"/>
          <w:sz w:val="24"/>
        </w:rPr>
        <w:t xml:space="preserve">    二、功能及服务要求</w:t>
      </w:r>
    </w:p>
    <w:p>
      <w:pPr>
        <w:spacing w:line="360" w:lineRule="exact"/>
        <w:rPr>
          <w:rFonts w:asciiTheme="majorEastAsia" w:hAnsiTheme="majorEastAsia" w:eastAsiaTheme="majorEastAsia"/>
          <w:color w:val="000000"/>
          <w:kern w:val="0"/>
          <w:sz w:val="24"/>
          <w:u w:val="single"/>
        </w:rPr>
      </w:pPr>
      <w:r>
        <w:rPr>
          <w:rFonts w:hint="eastAsia" w:cs="宋体" w:asciiTheme="majorEastAsia" w:hAnsiTheme="majorEastAsia" w:eastAsiaTheme="majorEastAsia"/>
          <w:color w:val="000000"/>
          <w:kern w:val="0"/>
          <w:sz w:val="24"/>
        </w:rPr>
        <w:t>1、</w:t>
      </w:r>
      <w:r>
        <w:rPr>
          <w:rFonts w:hint="eastAsia" w:asciiTheme="majorEastAsia" w:hAnsiTheme="majorEastAsia" w:eastAsiaTheme="majorEastAsia"/>
          <w:color w:val="000000"/>
          <w:kern w:val="0"/>
          <w:sz w:val="24"/>
        </w:rPr>
        <w:t>印刷方式：彩色印刷、双面成套印刷。</w:t>
      </w:r>
    </w:p>
    <w:p>
      <w:pPr>
        <w:spacing w:line="360" w:lineRule="exact"/>
        <w:rPr>
          <w:rFonts w:cs="宋体" w:asciiTheme="majorEastAsia" w:hAnsiTheme="majorEastAsia" w:eastAsiaTheme="majorEastAsia"/>
          <w:color w:val="000000"/>
          <w:kern w:val="0"/>
          <w:sz w:val="24"/>
        </w:rPr>
      </w:pPr>
      <w:r>
        <w:rPr>
          <w:rFonts w:hint="eastAsia" w:asciiTheme="majorEastAsia" w:hAnsiTheme="majorEastAsia" w:eastAsiaTheme="majorEastAsia"/>
          <w:color w:val="000000"/>
          <w:kern w:val="0"/>
          <w:sz w:val="24"/>
        </w:rPr>
        <w:t>2</w:t>
      </w:r>
      <w:r>
        <w:rPr>
          <w:rFonts w:hint="eastAsia" w:cs="宋体" w:asciiTheme="majorEastAsia" w:hAnsiTheme="majorEastAsia" w:eastAsiaTheme="majorEastAsia"/>
          <w:color w:val="000000"/>
          <w:kern w:val="0"/>
          <w:sz w:val="24"/>
        </w:rPr>
        <w:t>、</w:t>
      </w:r>
      <w:r>
        <w:rPr>
          <w:rFonts w:hint="eastAsia" w:asciiTheme="majorEastAsia" w:hAnsiTheme="majorEastAsia" w:eastAsiaTheme="majorEastAsia"/>
          <w:color w:val="000000"/>
          <w:kern w:val="0"/>
          <w:sz w:val="24"/>
        </w:rPr>
        <w:t>单机标配A4横向连续打印速度：单色:1</w:t>
      </w:r>
      <w:r>
        <w:rPr>
          <w:rFonts w:asciiTheme="majorEastAsia" w:hAnsiTheme="majorEastAsia" w:eastAsiaTheme="majorEastAsia"/>
          <w:color w:val="000000"/>
          <w:kern w:val="0"/>
          <w:sz w:val="24"/>
        </w:rPr>
        <w:t>2</w:t>
      </w:r>
      <w:r>
        <w:rPr>
          <w:rFonts w:hint="eastAsia" w:asciiTheme="majorEastAsia" w:hAnsiTheme="majorEastAsia" w:eastAsiaTheme="majorEastAsia"/>
          <w:color w:val="000000"/>
          <w:kern w:val="0"/>
          <w:sz w:val="24"/>
        </w:rPr>
        <w:t>0面/分钟、彩色:1</w:t>
      </w:r>
      <w:r>
        <w:rPr>
          <w:rFonts w:asciiTheme="majorEastAsia" w:hAnsiTheme="majorEastAsia" w:eastAsiaTheme="majorEastAsia"/>
          <w:color w:val="000000"/>
          <w:kern w:val="0"/>
          <w:sz w:val="24"/>
        </w:rPr>
        <w:t>2</w:t>
      </w:r>
      <w:r>
        <w:rPr>
          <w:rFonts w:hint="eastAsia" w:asciiTheme="majorEastAsia" w:hAnsiTheme="majorEastAsia" w:eastAsiaTheme="majorEastAsia"/>
          <w:color w:val="000000"/>
          <w:kern w:val="0"/>
          <w:sz w:val="24"/>
        </w:rPr>
        <w:t>0面/分钟、双面:</w:t>
      </w:r>
      <w:r>
        <w:rPr>
          <w:rFonts w:asciiTheme="majorEastAsia" w:hAnsiTheme="majorEastAsia" w:eastAsiaTheme="majorEastAsia"/>
          <w:color w:val="000000"/>
          <w:kern w:val="0"/>
          <w:sz w:val="24"/>
        </w:rPr>
        <w:t>60</w:t>
      </w:r>
      <w:r>
        <w:rPr>
          <w:rFonts w:hint="eastAsia" w:asciiTheme="majorEastAsia" w:hAnsiTheme="majorEastAsia" w:eastAsiaTheme="majorEastAsia"/>
          <w:color w:val="000000"/>
          <w:kern w:val="0"/>
          <w:sz w:val="24"/>
        </w:rPr>
        <w:t>张/分钟。</w:t>
      </w:r>
    </w:p>
    <w:p>
      <w:pPr>
        <w:spacing w:line="360" w:lineRule="exact"/>
        <w:rPr>
          <w:rFonts w:asciiTheme="majorEastAsia" w:hAnsiTheme="majorEastAsia" w:eastAsiaTheme="majorEastAsia"/>
          <w:color w:val="000000"/>
          <w:kern w:val="0"/>
          <w:sz w:val="24"/>
        </w:rPr>
      </w:pPr>
      <w:r>
        <w:rPr>
          <w:rFonts w:asciiTheme="majorEastAsia" w:hAnsiTheme="majorEastAsia" w:eastAsiaTheme="majorEastAsia"/>
          <w:color w:val="000000"/>
          <w:kern w:val="0"/>
          <w:sz w:val="24"/>
        </w:rPr>
        <w:t>3</w:t>
      </w:r>
      <w:r>
        <w:rPr>
          <w:rFonts w:hint="eastAsia" w:asciiTheme="majorEastAsia" w:hAnsiTheme="majorEastAsia" w:eastAsiaTheme="majorEastAsia"/>
          <w:color w:val="000000"/>
          <w:kern w:val="0"/>
          <w:sz w:val="24"/>
        </w:rPr>
        <w:t>、系统能与体检中心体检软件无缝对接。</w:t>
      </w:r>
    </w:p>
    <w:p>
      <w:pPr>
        <w:spacing w:line="360" w:lineRule="exact"/>
        <w:rPr>
          <w:rFonts w:asciiTheme="majorEastAsia" w:hAnsiTheme="majorEastAsia" w:eastAsiaTheme="majorEastAsia"/>
          <w:b/>
          <w:color w:val="000000"/>
          <w:kern w:val="0"/>
          <w:sz w:val="24"/>
        </w:rPr>
      </w:pPr>
      <w:r>
        <w:rPr>
          <w:rFonts w:hint="eastAsia" w:asciiTheme="majorEastAsia" w:hAnsiTheme="majorEastAsia" w:eastAsiaTheme="majorEastAsia"/>
          <w:b/>
          <w:color w:val="000000"/>
          <w:kern w:val="0"/>
          <w:sz w:val="24"/>
        </w:rPr>
        <w:t xml:space="preserve">    三、技术参数</w:t>
      </w:r>
    </w:p>
    <w:p>
      <w:pPr>
        <w:spacing w:line="360" w:lineRule="exact"/>
        <w:rPr>
          <w:rFonts w:asciiTheme="majorEastAsia" w:hAnsiTheme="majorEastAsia" w:eastAsiaTheme="majorEastAsia"/>
          <w:color w:val="000000"/>
          <w:kern w:val="0"/>
          <w:sz w:val="24"/>
        </w:rPr>
      </w:pPr>
      <w:r>
        <w:rPr>
          <w:rFonts w:hint="eastAsia" w:asciiTheme="majorEastAsia" w:hAnsiTheme="majorEastAsia" w:eastAsiaTheme="majorEastAsia"/>
          <w:color w:val="000000"/>
          <w:kern w:val="0"/>
          <w:sz w:val="24"/>
        </w:rPr>
        <w:t>1、工作方式：喷墨或激光</w:t>
      </w:r>
    </w:p>
    <w:p>
      <w:pPr>
        <w:spacing w:line="360" w:lineRule="exact"/>
        <w:rPr>
          <w:rFonts w:asciiTheme="majorEastAsia" w:hAnsiTheme="majorEastAsia" w:eastAsiaTheme="majorEastAsia"/>
          <w:color w:val="000000"/>
          <w:kern w:val="0"/>
          <w:sz w:val="24"/>
        </w:rPr>
      </w:pPr>
      <w:r>
        <w:rPr>
          <w:rFonts w:hint="eastAsia" w:asciiTheme="majorEastAsia" w:hAnsiTheme="majorEastAsia" w:eastAsiaTheme="majorEastAsia"/>
          <w:color w:val="000000"/>
          <w:kern w:val="0"/>
          <w:sz w:val="24"/>
        </w:rPr>
        <w:t>2、耗    材：油性颜料墨水。</w:t>
      </w:r>
    </w:p>
    <w:p>
      <w:pPr>
        <w:spacing w:line="360" w:lineRule="exact"/>
        <w:rPr>
          <w:rFonts w:asciiTheme="majorEastAsia" w:hAnsiTheme="majorEastAsia" w:eastAsiaTheme="majorEastAsia"/>
          <w:color w:val="000000"/>
          <w:kern w:val="0"/>
          <w:sz w:val="24"/>
        </w:rPr>
      </w:pPr>
      <w:r>
        <w:rPr>
          <w:rFonts w:asciiTheme="majorEastAsia" w:hAnsiTheme="majorEastAsia" w:eastAsiaTheme="majorEastAsia"/>
          <w:color w:val="000000"/>
          <w:kern w:val="0"/>
          <w:sz w:val="24"/>
        </w:rPr>
        <w:t>3</w:t>
      </w:r>
      <w:r>
        <w:rPr>
          <w:rFonts w:hint="eastAsia" w:asciiTheme="majorEastAsia" w:hAnsiTheme="majorEastAsia" w:eastAsiaTheme="majorEastAsia"/>
          <w:color w:val="000000"/>
          <w:kern w:val="0"/>
          <w:sz w:val="24"/>
        </w:rPr>
        <w:t>、节能：功耗：最大1</w:t>
      </w:r>
      <w:r>
        <w:rPr>
          <w:rFonts w:asciiTheme="majorEastAsia" w:hAnsiTheme="majorEastAsia" w:eastAsiaTheme="majorEastAsia"/>
          <w:color w:val="000000"/>
          <w:kern w:val="0"/>
          <w:sz w:val="24"/>
        </w:rPr>
        <w:t>200W</w:t>
      </w:r>
      <w:r>
        <w:rPr>
          <w:rFonts w:hint="eastAsia" w:asciiTheme="majorEastAsia" w:hAnsiTheme="majorEastAsia" w:eastAsiaTheme="majorEastAsia"/>
          <w:color w:val="000000"/>
          <w:kern w:val="0"/>
          <w:sz w:val="24"/>
        </w:rPr>
        <w:t>以下、待机模式</w:t>
      </w:r>
      <w:r>
        <w:rPr>
          <w:rFonts w:asciiTheme="majorEastAsia" w:hAnsiTheme="majorEastAsia" w:eastAsiaTheme="majorEastAsia"/>
          <w:color w:val="000000"/>
          <w:kern w:val="0"/>
          <w:sz w:val="24"/>
        </w:rPr>
        <w:t>4W</w:t>
      </w:r>
      <w:r>
        <w:rPr>
          <w:rFonts w:hint="eastAsia" w:asciiTheme="majorEastAsia" w:hAnsiTheme="majorEastAsia" w:eastAsiaTheme="majorEastAsia"/>
          <w:color w:val="000000"/>
          <w:kern w:val="0"/>
          <w:sz w:val="24"/>
        </w:rPr>
        <w:t>以下；</w:t>
      </w:r>
    </w:p>
    <w:p>
      <w:pPr>
        <w:spacing w:line="360" w:lineRule="exact"/>
        <w:rPr>
          <w:rFonts w:asciiTheme="majorEastAsia" w:hAnsiTheme="majorEastAsia" w:eastAsiaTheme="majorEastAsia"/>
          <w:color w:val="000000"/>
          <w:kern w:val="0"/>
          <w:sz w:val="24"/>
        </w:rPr>
      </w:pPr>
      <w:r>
        <w:rPr>
          <w:rFonts w:asciiTheme="majorEastAsia" w:hAnsiTheme="majorEastAsia" w:eastAsiaTheme="majorEastAsia"/>
          <w:color w:val="000000"/>
          <w:kern w:val="0"/>
          <w:sz w:val="24"/>
        </w:rPr>
        <w:t>4</w:t>
      </w:r>
      <w:r>
        <w:rPr>
          <w:rFonts w:hint="eastAsia" w:asciiTheme="majorEastAsia" w:hAnsiTheme="majorEastAsia" w:eastAsiaTheme="majorEastAsia"/>
          <w:color w:val="000000"/>
          <w:kern w:val="0"/>
          <w:sz w:val="24"/>
        </w:rPr>
        <w:t>、纸张尺寸：最大≥330mm*540mm：</w:t>
      </w:r>
    </w:p>
    <w:p>
      <w:pPr>
        <w:spacing w:line="360" w:lineRule="exact"/>
        <w:rPr>
          <w:rFonts w:asciiTheme="majorEastAsia" w:hAnsiTheme="majorEastAsia" w:eastAsiaTheme="majorEastAsia"/>
          <w:color w:val="000000"/>
          <w:kern w:val="0"/>
          <w:sz w:val="24"/>
        </w:rPr>
      </w:pPr>
      <w:r>
        <w:rPr>
          <w:rFonts w:asciiTheme="majorEastAsia" w:hAnsiTheme="majorEastAsia" w:eastAsiaTheme="majorEastAsia"/>
          <w:color w:val="000000"/>
          <w:kern w:val="0"/>
          <w:sz w:val="24"/>
        </w:rPr>
        <w:t>5</w:t>
      </w:r>
      <w:r>
        <w:rPr>
          <w:rFonts w:hint="eastAsia" w:asciiTheme="majorEastAsia" w:hAnsiTheme="majorEastAsia" w:eastAsiaTheme="majorEastAsia"/>
          <w:color w:val="000000"/>
          <w:kern w:val="0"/>
          <w:sz w:val="24"/>
        </w:rPr>
        <w:t>、打印面积：最大≥305mm*538mm,</w:t>
      </w:r>
    </w:p>
    <w:p>
      <w:pPr>
        <w:spacing w:line="360" w:lineRule="exact"/>
        <w:rPr>
          <w:rFonts w:asciiTheme="majorEastAsia" w:hAnsiTheme="majorEastAsia" w:eastAsiaTheme="majorEastAsia"/>
          <w:color w:val="000000"/>
          <w:kern w:val="0"/>
          <w:sz w:val="24"/>
        </w:rPr>
      </w:pPr>
      <w:r>
        <w:rPr>
          <w:rFonts w:asciiTheme="majorEastAsia" w:hAnsiTheme="majorEastAsia" w:eastAsiaTheme="majorEastAsia"/>
          <w:color w:val="000000"/>
          <w:kern w:val="0"/>
          <w:sz w:val="24"/>
        </w:rPr>
        <w:t>6</w:t>
      </w:r>
      <w:r>
        <w:rPr>
          <w:rFonts w:hint="eastAsia" w:asciiTheme="majorEastAsia" w:hAnsiTheme="majorEastAsia" w:eastAsiaTheme="majorEastAsia"/>
          <w:color w:val="000000"/>
          <w:kern w:val="0"/>
          <w:sz w:val="24"/>
        </w:rPr>
        <w:t>、进纸通道：</w:t>
      </w:r>
      <w:r>
        <w:rPr>
          <w:rFonts w:asciiTheme="majorEastAsia" w:hAnsiTheme="majorEastAsia" w:eastAsiaTheme="majorEastAsia"/>
          <w:color w:val="000000"/>
          <w:kern w:val="0"/>
          <w:sz w:val="24"/>
        </w:rPr>
        <w:t>3</w:t>
      </w:r>
      <w:r>
        <w:rPr>
          <w:rFonts w:hint="eastAsia" w:asciiTheme="majorEastAsia" w:hAnsiTheme="majorEastAsia" w:eastAsiaTheme="majorEastAsia"/>
          <w:color w:val="000000"/>
          <w:kern w:val="0"/>
          <w:sz w:val="24"/>
        </w:rPr>
        <w:t>个进纸通道；</w:t>
      </w:r>
    </w:p>
    <w:p>
      <w:pPr>
        <w:spacing w:line="360" w:lineRule="exact"/>
        <w:rPr>
          <w:rFonts w:asciiTheme="majorEastAsia" w:hAnsiTheme="majorEastAsia" w:eastAsiaTheme="majorEastAsia"/>
          <w:color w:val="000000"/>
          <w:kern w:val="0"/>
          <w:sz w:val="24"/>
        </w:rPr>
      </w:pPr>
      <w:r>
        <w:rPr>
          <w:rFonts w:asciiTheme="majorEastAsia" w:hAnsiTheme="majorEastAsia" w:eastAsiaTheme="majorEastAsia"/>
          <w:color w:val="000000"/>
          <w:kern w:val="0"/>
          <w:sz w:val="24"/>
        </w:rPr>
        <w:t>7</w:t>
      </w:r>
      <w:r>
        <w:rPr>
          <w:rFonts w:hint="eastAsia" w:asciiTheme="majorEastAsia" w:hAnsiTheme="majorEastAsia" w:eastAsiaTheme="majorEastAsia"/>
          <w:color w:val="000000"/>
          <w:kern w:val="0"/>
          <w:sz w:val="24"/>
        </w:rPr>
        <w:t>、纸张容量：≥2</w:t>
      </w:r>
      <w:r>
        <w:rPr>
          <w:rFonts w:asciiTheme="majorEastAsia" w:hAnsiTheme="majorEastAsia" w:eastAsiaTheme="majorEastAsia"/>
          <w:color w:val="000000"/>
          <w:kern w:val="0"/>
          <w:sz w:val="24"/>
        </w:rPr>
        <w:t>0</w:t>
      </w:r>
      <w:r>
        <w:rPr>
          <w:rFonts w:hint="eastAsia" w:asciiTheme="majorEastAsia" w:hAnsiTheme="majorEastAsia" w:eastAsiaTheme="majorEastAsia"/>
          <w:color w:val="000000"/>
          <w:kern w:val="0"/>
          <w:sz w:val="24"/>
        </w:rPr>
        <w:t>00张（85g/㎡）</w:t>
      </w:r>
    </w:p>
    <w:p>
      <w:pPr>
        <w:spacing w:line="360" w:lineRule="exact"/>
        <w:rPr>
          <w:rFonts w:asciiTheme="majorEastAsia" w:hAnsiTheme="majorEastAsia" w:eastAsiaTheme="majorEastAsia"/>
          <w:color w:val="000000"/>
          <w:kern w:val="0"/>
          <w:sz w:val="24"/>
        </w:rPr>
      </w:pPr>
      <w:r>
        <w:rPr>
          <w:rFonts w:asciiTheme="majorEastAsia" w:hAnsiTheme="majorEastAsia" w:eastAsiaTheme="majorEastAsia"/>
          <w:color w:val="000000"/>
          <w:kern w:val="0"/>
          <w:sz w:val="24"/>
        </w:rPr>
        <w:t>8</w:t>
      </w:r>
      <w:r>
        <w:rPr>
          <w:rFonts w:hint="eastAsia" w:asciiTheme="majorEastAsia" w:hAnsiTheme="majorEastAsia" w:eastAsiaTheme="majorEastAsia"/>
          <w:color w:val="000000"/>
          <w:kern w:val="0"/>
          <w:sz w:val="24"/>
        </w:rPr>
        <w:t>、用纸重量：60-</w:t>
      </w:r>
      <w:r>
        <w:rPr>
          <w:rFonts w:asciiTheme="majorEastAsia" w:hAnsiTheme="majorEastAsia" w:eastAsiaTheme="majorEastAsia"/>
          <w:color w:val="000000"/>
          <w:kern w:val="0"/>
          <w:sz w:val="24"/>
        </w:rPr>
        <w:t>20</w:t>
      </w:r>
      <w:r>
        <w:rPr>
          <w:rFonts w:hint="eastAsia" w:asciiTheme="majorEastAsia" w:hAnsiTheme="majorEastAsia" w:eastAsiaTheme="majorEastAsia"/>
          <w:color w:val="000000"/>
          <w:kern w:val="0"/>
          <w:sz w:val="24"/>
        </w:rPr>
        <w:t>0</w:t>
      </w:r>
      <w:r>
        <w:rPr>
          <w:rFonts w:asciiTheme="majorEastAsia" w:hAnsiTheme="majorEastAsia" w:eastAsiaTheme="majorEastAsia"/>
          <w:color w:val="000000"/>
          <w:kern w:val="0"/>
          <w:sz w:val="24"/>
        </w:rPr>
        <w:t>g/㎡</w:t>
      </w:r>
    </w:p>
    <w:p>
      <w:pPr>
        <w:spacing w:line="360" w:lineRule="exact"/>
        <w:rPr>
          <w:rFonts w:asciiTheme="majorEastAsia" w:hAnsiTheme="majorEastAsia" w:eastAsiaTheme="majorEastAsia"/>
          <w:kern w:val="0"/>
          <w:sz w:val="24"/>
        </w:rPr>
      </w:pPr>
      <w:r>
        <w:rPr>
          <w:rFonts w:asciiTheme="majorEastAsia" w:hAnsiTheme="majorEastAsia" w:eastAsiaTheme="majorEastAsia"/>
          <w:kern w:val="0"/>
          <w:sz w:val="24"/>
        </w:rPr>
        <w:t>9</w:t>
      </w:r>
      <w:r>
        <w:rPr>
          <w:rFonts w:hint="eastAsia" w:asciiTheme="majorEastAsia" w:hAnsiTheme="majorEastAsia" w:eastAsiaTheme="majorEastAsia"/>
          <w:kern w:val="0"/>
          <w:sz w:val="24"/>
        </w:rPr>
        <w:t>、首张打印： 7秒。</w:t>
      </w:r>
    </w:p>
    <w:p>
      <w:pPr>
        <w:spacing w:line="360" w:lineRule="exact"/>
        <w:rPr>
          <w:rFonts w:asciiTheme="majorEastAsia" w:hAnsiTheme="majorEastAsia" w:eastAsiaTheme="majorEastAsia"/>
          <w:kern w:val="0"/>
          <w:sz w:val="24"/>
        </w:rPr>
      </w:pPr>
      <w:r>
        <w:rPr>
          <w:rFonts w:hint="eastAsia" w:asciiTheme="majorEastAsia" w:hAnsiTheme="majorEastAsia" w:eastAsiaTheme="majorEastAsia"/>
          <w:kern w:val="0"/>
          <w:sz w:val="24"/>
        </w:rPr>
        <w:t>1</w:t>
      </w:r>
      <w:r>
        <w:rPr>
          <w:rFonts w:asciiTheme="majorEastAsia" w:hAnsiTheme="majorEastAsia" w:eastAsiaTheme="majorEastAsia"/>
          <w:kern w:val="0"/>
          <w:sz w:val="24"/>
        </w:rPr>
        <w:t>0</w:t>
      </w:r>
      <w:r>
        <w:rPr>
          <w:rFonts w:hint="eastAsia" w:asciiTheme="majorEastAsia" w:hAnsiTheme="majorEastAsia" w:eastAsiaTheme="majorEastAsia"/>
          <w:kern w:val="0"/>
          <w:sz w:val="24"/>
        </w:rPr>
        <w:t>、装订功能：边订、角订、交错堆叠</w:t>
      </w:r>
    </w:p>
    <w:p>
      <w:pPr>
        <w:spacing w:line="360" w:lineRule="exact"/>
        <w:rPr>
          <w:rFonts w:asciiTheme="majorEastAsia" w:hAnsiTheme="majorEastAsia" w:eastAsiaTheme="majorEastAsia"/>
          <w:color w:val="000000"/>
          <w:kern w:val="0"/>
          <w:sz w:val="24"/>
        </w:rPr>
      </w:pPr>
      <w:r>
        <w:rPr>
          <w:rFonts w:asciiTheme="majorEastAsia" w:hAnsiTheme="majorEastAsia" w:eastAsiaTheme="majorEastAsia"/>
          <w:color w:val="000000"/>
          <w:kern w:val="0"/>
          <w:sz w:val="24"/>
        </w:rPr>
        <w:t>11</w:t>
      </w:r>
      <w:r>
        <w:rPr>
          <w:rFonts w:hint="eastAsia" w:asciiTheme="majorEastAsia" w:hAnsiTheme="majorEastAsia" w:eastAsiaTheme="majorEastAsia"/>
          <w:color w:val="000000"/>
          <w:kern w:val="0"/>
          <w:sz w:val="24"/>
        </w:rPr>
        <w:t>、8.5吋中文彩色液晶触摸屏、自动原稿识别功能（色彩/大小）；</w:t>
      </w:r>
    </w:p>
    <w:p>
      <w:pPr>
        <w:spacing w:line="360" w:lineRule="exact"/>
        <w:rPr>
          <w:rFonts w:asciiTheme="majorEastAsia" w:hAnsiTheme="majorEastAsia" w:eastAsiaTheme="majorEastAsia"/>
          <w:color w:val="000000"/>
          <w:kern w:val="0"/>
          <w:sz w:val="24"/>
        </w:rPr>
      </w:pPr>
      <w:r>
        <w:rPr>
          <w:rFonts w:hint="eastAsia" w:asciiTheme="majorEastAsia" w:hAnsiTheme="majorEastAsia" w:eastAsiaTheme="majorEastAsia"/>
          <w:color w:val="000000"/>
          <w:kern w:val="0"/>
          <w:sz w:val="24"/>
        </w:rPr>
        <w:t>1</w:t>
      </w:r>
      <w:r>
        <w:rPr>
          <w:rFonts w:asciiTheme="majorEastAsia" w:hAnsiTheme="majorEastAsia" w:eastAsiaTheme="majorEastAsia"/>
          <w:color w:val="000000"/>
          <w:kern w:val="0"/>
          <w:sz w:val="24"/>
        </w:rPr>
        <w:t>2</w:t>
      </w:r>
      <w:r>
        <w:rPr>
          <w:rFonts w:hint="eastAsia" w:asciiTheme="majorEastAsia" w:hAnsiTheme="majorEastAsia" w:eastAsiaTheme="majorEastAsia"/>
          <w:color w:val="000000"/>
          <w:kern w:val="0"/>
          <w:sz w:val="24"/>
        </w:rPr>
        <w:t>、插入水印、页码和日期；</w:t>
      </w:r>
    </w:p>
    <w:p>
      <w:pPr>
        <w:spacing w:line="360" w:lineRule="exact"/>
        <w:rPr>
          <w:rFonts w:asciiTheme="majorEastAsia" w:hAnsiTheme="majorEastAsia" w:eastAsiaTheme="majorEastAsia"/>
          <w:color w:val="000000"/>
          <w:kern w:val="0"/>
          <w:sz w:val="24"/>
        </w:rPr>
      </w:pPr>
      <w:r>
        <w:rPr>
          <w:rFonts w:hint="eastAsia" w:asciiTheme="majorEastAsia" w:hAnsiTheme="majorEastAsia" w:eastAsiaTheme="majorEastAsia"/>
          <w:color w:val="000000"/>
          <w:kern w:val="0"/>
          <w:sz w:val="24"/>
        </w:rPr>
        <w:t>1</w:t>
      </w:r>
      <w:r>
        <w:rPr>
          <w:rFonts w:asciiTheme="majorEastAsia" w:hAnsiTheme="majorEastAsia" w:eastAsiaTheme="majorEastAsia"/>
          <w:color w:val="000000"/>
          <w:kern w:val="0"/>
          <w:sz w:val="24"/>
        </w:rPr>
        <w:t>3</w:t>
      </w:r>
      <w:r>
        <w:rPr>
          <w:rFonts w:hint="eastAsia" w:asciiTheme="majorEastAsia" w:hAnsiTheme="majorEastAsia" w:eastAsiaTheme="majorEastAsia"/>
          <w:color w:val="000000"/>
          <w:kern w:val="0"/>
          <w:sz w:val="24"/>
        </w:rPr>
        <w:t>、保密：加密打印；扫描加密；安全认证；分组用户管理</w:t>
      </w:r>
    </w:p>
    <w:p>
      <w:pPr>
        <w:spacing w:line="360" w:lineRule="exact"/>
        <w:rPr>
          <w:rFonts w:asciiTheme="majorEastAsia" w:hAnsiTheme="majorEastAsia" w:eastAsiaTheme="majorEastAsia"/>
          <w:color w:val="000000"/>
          <w:kern w:val="0"/>
          <w:sz w:val="24"/>
        </w:rPr>
      </w:pPr>
      <w:r>
        <w:rPr>
          <w:rFonts w:hint="eastAsia" w:asciiTheme="majorEastAsia" w:hAnsiTheme="majorEastAsia" w:eastAsiaTheme="majorEastAsia"/>
          <w:color w:val="000000"/>
          <w:kern w:val="0"/>
          <w:sz w:val="24"/>
        </w:rPr>
        <w:t>1</w:t>
      </w:r>
      <w:r>
        <w:rPr>
          <w:rFonts w:asciiTheme="majorEastAsia" w:hAnsiTheme="majorEastAsia" w:eastAsiaTheme="majorEastAsia"/>
          <w:color w:val="000000"/>
          <w:kern w:val="0"/>
          <w:sz w:val="24"/>
        </w:rPr>
        <w:t>4</w:t>
      </w:r>
      <w:r>
        <w:rPr>
          <w:rFonts w:hint="eastAsia" w:asciiTheme="majorEastAsia" w:hAnsiTheme="majorEastAsia" w:eastAsiaTheme="majorEastAsia"/>
          <w:color w:val="000000"/>
          <w:kern w:val="0"/>
          <w:sz w:val="24"/>
        </w:rPr>
        <w:t>、无级缩放（50%-200%）；固定倍率缩放：四缩三放；</w:t>
      </w:r>
    </w:p>
    <w:p>
      <w:pPr>
        <w:spacing w:line="360" w:lineRule="exact"/>
        <w:rPr>
          <w:rFonts w:asciiTheme="majorEastAsia" w:hAnsiTheme="majorEastAsia" w:eastAsiaTheme="majorEastAsia"/>
          <w:color w:val="000000"/>
          <w:kern w:val="0"/>
          <w:sz w:val="24"/>
        </w:rPr>
      </w:pPr>
      <w:r>
        <w:rPr>
          <w:rFonts w:hint="eastAsia" w:asciiTheme="majorEastAsia" w:hAnsiTheme="majorEastAsia" w:eastAsiaTheme="majorEastAsia"/>
          <w:color w:val="000000"/>
          <w:kern w:val="0"/>
          <w:sz w:val="24"/>
        </w:rPr>
        <w:t>1</w:t>
      </w:r>
      <w:r>
        <w:rPr>
          <w:rFonts w:asciiTheme="majorEastAsia" w:hAnsiTheme="majorEastAsia" w:eastAsiaTheme="majorEastAsia"/>
          <w:color w:val="000000"/>
          <w:kern w:val="0"/>
          <w:sz w:val="24"/>
        </w:rPr>
        <w:t>5</w:t>
      </w:r>
      <w:r>
        <w:rPr>
          <w:rFonts w:hint="eastAsia" w:asciiTheme="majorEastAsia" w:hAnsiTheme="majorEastAsia" w:eastAsiaTheme="majorEastAsia"/>
          <w:color w:val="000000"/>
          <w:kern w:val="0"/>
          <w:sz w:val="24"/>
        </w:rPr>
        <w:t>、印件保存：国家档案局：字迹耐久性检测认证</w:t>
      </w:r>
    </w:p>
    <w:p>
      <w:pPr>
        <w:spacing w:line="360" w:lineRule="exact"/>
        <w:rPr>
          <w:rFonts w:asciiTheme="majorEastAsia" w:hAnsiTheme="majorEastAsia" w:eastAsiaTheme="majorEastAsia"/>
          <w:color w:val="000000"/>
          <w:kern w:val="0"/>
          <w:sz w:val="24"/>
        </w:rPr>
      </w:pPr>
      <w:r>
        <w:rPr>
          <w:rFonts w:hint="eastAsia" w:asciiTheme="majorEastAsia" w:hAnsiTheme="majorEastAsia" w:eastAsiaTheme="majorEastAsia"/>
          <w:color w:val="000000"/>
          <w:kern w:val="0"/>
          <w:sz w:val="24"/>
        </w:rPr>
        <w:t>1</w:t>
      </w:r>
      <w:r>
        <w:rPr>
          <w:rFonts w:asciiTheme="majorEastAsia" w:hAnsiTheme="majorEastAsia" w:eastAsiaTheme="majorEastAsia"/>
          <w:color w:val="000000"/>
          <w:kern w:val="0"/>
          <w:sz w:val="24"/>
        </w:rPr>
        <w:t>6</w:t>
      </w:r>
      <w:r>
        <w:rPr>
          <w:rFonts w:hint="eastAsia" w:asciiTheme="majorEastAsia" w:hAnsiTheme="majorEastAsia" w:eastAsiaTheme="majorEastAsia"/>
          <w:color w:val="000000"/>
          <w:kern w:val="0"/>
          <w:sz w:val="24"/>
        </w:rPr>
        <w:t>、支持插页打印，自动成套；</w:t>
      </w:r>
    </w:p>
    <w:p>
      <w:pPr>
        <w:spacing w:line="360" w:lineRule="exact"/>
        <w:rPr>
          <w:rFonts w:asciiTheme="majorEastAsia" w:hAnsiTheme="majorEastAsia" w:eastAsiaTheme="majorEastAsia"/>
          <w:color w:val="000000"/>
          <w:kern w:val="0"/>
          <w:sz w:val="24"/>
        </w:rPr>
      </w:pPr>
      <w:r>
        <w:rPr>
          <w:rFonts w:asciiTheme="majorEastAsia" w:hAnsiTheme="majorEastAsia" w:eastAsiaTheme="majorEastAsia"/>
          <w:color w:val="000000"/>
          <w:kern w:val="0"/>
          <w:sz w:val="24"/>
        </w:rPr>
        <w:t>17</w:t>
      </w:r>
      <w:r>
        <w:rPr>
          <w:rFonts w:hint="eastAsia" w:asciiTheme="majorEastAsia" w:hAnsiTheme="majorEastAsia" w:eastAsiaTheme="majorEastAsia"/>
          <w:color w:val="000000"/>
          <w:kern w:val="0"/>
          <w:sz w:val="24"/>
        </w:rPr>
        <w:t>、不能带有W</w:t>
      </w:r>
      <w:r>
        <w:rPr>
          <w:rFonts w:asciiTheme="majorEastAsia" w:hAnsiTheme="majorEastAsia" w:eastAsiaTheme="majorEastAsia"/>
          <w:color w:val="000000"/>
          <w:kern w:val="0"/>
          <w:sz w:val="24"/>
        </w:rPr>
        <w:t>IFI</w:t>
      </w:r>
      <w:r>
        <w:rPr>
          <w:rFonts w:hint="eastAsia" w:asciiTheme="majorEastAsia" w:hAnsiTheme="majorEastAsia" w:eastAsiaTheme="majorEastAsia"/>
          <w:color w:val="000000"/>
          <w:kern w:val="0"/>
          <w:sz w:val="24"/>
        </w:rPr>
        <w:t>发射功能；</w:t>
      </w:r>
    </w:p>
    <w:p>
      <w:pPr>
        <w:spacing w:line="360" w:lineRule="exact"/>
        <w:rPr>
          <w:rFonts w:asciiTheme="majorEastAsia" w:hAnsiTheme="majorEastAsia" w:eastAsiaTheme="majorEastAsia"/>
          <w:color w:val="000000"/>
          <w:kern w:val="0"/>
          <w:sz w:val="24"/>
        </w:rPr>
      </w:pPr>
      <w:r>
        <w:rPr>
          <w:rFonts w:asciiTheme="majorEastAsia" w:hAnsiTheme="majorEastAsia" w:eastAsiaTheme="majorEastAsia"/>
          <w:color w:val="000000"/>
          <w:kern w:val="0"/>
          <w:sz w:val="24"/>
        </w:rPr>
        <w:t>18</w:t>
      </w:r>
      <w:r>
        <w:rPr>
          <w:rFonts w:hint="eastAsia" w:asciiTheme="majorEastAsia" w:hAnsiTheme="majorEastAsia" w:eastAsiaTheme="majorEastAsia"/>
          <w:color w:val="000000"/>
          <w:kern w:val="0"/>
          <w:sz w:val="24"/>
        </w:rPr>
        <w:t>、支持的操作系统:</w:t>
      </w:r>
    </w:p>
    <w:p>
      <w:pPr>
        <w:spacing w:line="360" w:lineRule="exact"/>
        <w:ind w:firstLine="240" w:firstLineChars="100"/>
        <w:rPr>
          <w:rFonts w:asciiTheme="majorEastAsia" w:hAnsiTheme="majorEastAsia" w:eastAsiaTheme="majorEastAsia"/>
          <w:color w:val="000000"/>
          <w:kern w:val="0"/>
          <w:sz w:val="24"/>
        </w:rPr>
      </w:pPr>
      <w:r>
        <w:rPr>
          <w:rFonts w:asciiTheme="majorEastAsia" w:hAnsiTheme="majorEastAsia" w:eastAsiaTheme="majorEastAsia"/>
          <w:color w:val="000000"/>
          <w:kern w:val="0"/>
          <w:sz w:val="24"/>
        </w:rPr>
        <w:t>①</w:t>
      </w:r>
      <w:r>
        <w:rPr>
          <w:rFonts w:hint="eastAsia" w:asciiTheme="majorEastAsia" w:hAnsiTheme="majorEastAsia" w:eastAsiaTheme="majorEastAsia"/>
          <w:color w:val="000000"/>
          <w:kern w:val="0"/>
          <w:sz w:val="24"/>
        </w:rPr>
        <w:t>、Microsoft® Windows通用操作系统；</w:t>
      </w:r>
    </w:p>
    <w:p>
      <w:pPr>
        <w:spacing w:line="360" w:lineRule="exact"/>
        <w:ind w:firstLine="240" w:firstLineChars="100"/>
        <w:rPr>
          <w:rFonts w:asciiTheme="majorEastAsia" w:hAnsiTheme="majorEastAsia" w:eastAsiaTheme="majorEastAsia"/>
          <w:color w:val="000000"/>
          <w:kern w:val="0"/>
          <w:sz w:val="24"/>
        </w:rPr>
      </w:pPr>
      <w:r>
        <w:rPr>
          <w:rFonts w:hint="eastAsia" w:asciiTheme="majorEastAsia" w:hAnsiTheme="majorEastAsia" w:eastAsiaTheme="majorEastAsia"/>
          <w:color w:val="000000"/>
          <w:kern w:val="0"/>
          <w:sz w:val="24"/>
        </w:rPr>
        <w:t>②、国产中标麒麟、中科方德操作系统；</w:t>
      </w:r>
    </w:p>
    <w:p>
      <w:pPr>
        <w:spacing w:line="360" w:lineRule="exact"/>
        <w:rPr>
          <w:rFonts w:asciiTheme="majorEastAsia" w:hAnsiTheme="majorEastAsia" w:eastAsiaTheme="majorEastAsia"/>
          <w:color w:val="000000"/>
          <w:kern w:val="0"/>
          <w:sz w:val="24"/>
        </w:rPr>
      </w:pPr>
      <w:r>
        <w:rPr>
          <w:rFonts w:asciiTheme="majorEastAsia" w:hAnsiTheme="majorEastAsia" w:eastAsiaTheme="majorEastAsia"/>
          <w:color w:val="000000"/>
          <w:kern w:val="0"/>
          <w:sz w:val="24"/>
        </w:rPr>
        <w:t>19</w:t>
      </w:r>
      <w:r>
        <w:rPr>
          <w:rFonts w:hint="eastAsia" w:asciiTheme="majorEastAsia" w:hAnsiTheme="majorEastAsia" w:eastAsiaTheme="majorEastAsia"/>
          <w:color w:val="000000"/>
          <w:kern w:val="0"/>
          <w:sz w:val="24"/>
        </w:rPr>
        <w:t>、可支持的协议:</w:t>
      </w:r>
    </w:p>
    <w:p>
      <w:pPr>
        <w:spacing w:line="360" w:lineRule="exact"/>
        <w:rPr>
          <w:rFonts w:asciiTheme="majorEastAsia" w:hAnsiTheme="majorEastAsia" w:eastAsiaTheme="majorEastAsia"/>
          <w:color w:val="000000"/>
          <w:kern w:val="0"/>
          <w:sz w:val="24"/>
        </w:rPr>
      </w:pPr>
      <w:r>
        <w:rPr>
          <w:rFonts w:hint="eastAsia" w:asciiTheme="majorEastAsia" w:hAnsiTheme="majorEastAsia" w:eastAsiaTheme="majorEastAsia"/>
          <w:color w:val="000000"/>
          <w:kern w:val="0"/>
          <w:sz w:val="24"/>
        </w:rPr>
        <w:t xml:space="preserve"> TCP/IP,HTTP,HTTPS（SSL）,DHCP,ftp,lpr,IPP,SNMP,Port 9100（RAW端口）,IPv4,IPv6,IPsec</w:t>
      </w:r>
    </w:p>
    <w:p>
      <w:pPr>
        <w:rPr>
          <w:rFonts w:asciiTheme="majorEastAsia" w:hAnsiTheme="majorEastAsia" w:eastAsiaTheme="majorEastAsia"/>
          <w:color w:val="000000"/>
          <w:kern w:val="0"/>
          <w:sz w:val="24"/>
        </w:rPr>
      </w:pPr>
      <w:r>
        <w:rPr>
          <w:rFonts w:asciiTheme="majorEastAsia" w:hAnsiTheme="majorEastAsia" w:eastAsiaTheme="majorEastAsia"/>
          <w:color w:val="000000"/>
          <w:kern w:val="0"/>
          <w:sz w:val="24"/>
        </w:rPr>
        <w:t>20</w:t>
      </w:r>
      <w:r>
        <w:rPr>
          <w:rFonts w:hint="eastAsia" w:asciiTheme="majorEastAsia" w:hAnsiTheme="majorEastAsia" w:eastAsiaTheme="majorEastAsia"/>
          <w:color w:val="000000"/>
          <w:kern w:val="0"/>
          <w:sz w:val="24"/>
        </w:rPr>
        <w:t>、网络接口: Ethernet 1000BASE-T, 100BASE-TX, 10BASE-T</w:t>
      </w:r>
    </w:p>
    <w:p>
      <w:pPr>
        <w:rPr>
          <w:rFonts w:ascii="宋体" w:hAnsi="宋体"/>
          <w:color w:val="000000"/>
          <w:kern w:val="0"/>
          <w:szCs w:val="21"/>
        </w:rPr>
      </w:pPr>
    </w:p>
    <w:p/>
    <w:p>
      <w:pPr>
        <w:rPr>
          <w:rFonts w:hint="default"/>
          <w:lang w:val="en-US" w:eastAsia="zh-CN"/>
        </w:rPr>
      </w:pPr>
    </w:p>
    <w:p>
      <w:pPr>
        <w:rPr>
          <w:rFonts w:hint="default"/>
          <w:lang w:val="en-US" w:eastAsia="zh-CN"/>
        </w:rPr>
      </w:pPr>
    </w:p>
    <w:p>
      <w:pPr>
        <w:rPr>
          <w:rFonts w:hint="default"/>
          <w:lang w:val="en-US" w:eastAsia="zh-CN"/>
        </w:rPr>
      </w:pPr>
    </w:p>
    <w:p>
      <w:pPr>
        <w:rPr>
          <w:rFonts w:hint="eastAsia"/>
          <w:b/>
          <w:bCs/>
          <w:sz w:val="32"/>
          <w:szCs w:val="40"/>
          <w:lang w:val="en-US" w:eastAsia="zh-CN"/>
        </w:rPr>
      </w:pPr>
      <w:r>
        <w:rPr>
          <w:rFonts w:hint="eastAsia"/>
          <w:b/>
          <w:bCs/>
          <w:sz w:val="32"/>
          <w:szCs w:val="40"/>
          <w:lang w:val="en-US" w:eastAsia="zh-CN"/>
        </w:rPr>
        <w:t>附件2：</w:t>
      </w:r>
    </w:p>
    <w:p>
      <w:pPr>
        <w:pStyle w:val="2"/>
        <w:numPr>
          <w:ilvl w:val="1"/>
          <w:numId w:val="1"/>
        </w:numPr>
        <w:tabs>
          <w:tab w:val="left" w:pos="420"/>
        </w:tabs>
      </w:pPr>
      <w:bookmarkStart w:id="0" w:name="_Toc66304619"/>
      <w:r>
        <w:rPr>
          <w:rFonts w:hint="eastAsia"/>
        </w:rPr>
        <w:t>项目名称</w:t>
      </w:r>
      <w:bookmarkEnd w:id="0"/>
    </w:p>
    <w:p>
      <w:pPr>
        <w:pStyle w:val="6"/>
        <w:ind w:firstLine="480"/>
      </w:pPr>
      <w:r>
        <w:rPr>
          <w:rFonts w:hint="eastAsia"/>
        </w:rPr>
        <w:t>分值付费下基于临床实际的病组费用精细化管理系统</w:t>
      </w:r>
    </w:p>
    <w:p>
      <w:pPr>
        <w:pStyle w:val="2"/>
        <w:numPr>
          <w:ilvl w:val="1"/>
          <w:numId w:val="1"/>
        </w:numPr>
        <w:tabs>
          <w:tab w:val="left" w:pos="420"/>
        </w:tabs>
      </w:pPr>
      <w:bookmarkStart w:id="1" w:name="_Toc66304621"/>
      <w:r>
        <w:rPr>
          <w:rFonts w:hint="eastAsia"/>
        </w:rPr>
        <w:t>建设任务</w:t>
      </w:r>
      <w:bookmarkEnd w:id="1"/>
    </w:p>
    <w:p>
      <w:pPr>
        <w:pStyle w:val="3"/>
        <w:numPr>
          <w:ilvl w:val="2"/>
          <w:numId w:val="1"/>
        </w:numPr>
        <w:tabs>
          <w:tab w:val="left" w:pos="420"/>
        </w:tabs>
      </w:pPr>
      <w:bookmarkStart w:id="2" w:name="_Toc66304622"/>
      <w:r>
        <w:rPr>
          <w:rFonts w:hint="eastAsia"/>
        </w:rPr>
        <w:t>数据标准管理子系统</w:t>
      </w:r>
      <w:bookmarkEnd w:id="2"/>
    </w:p>
    <w:p>
      <w:pPr>
        <w:pStyle w:val="6"/>
        <w:ind w:firstLine="480"/>
      </w:pPr>
      <w:r>
        <w:rPr>
          <w:rFonts w:hint="eastAsia"/>
        </w:rPr>
        <w:t>在国家医保局十五项医保业务编码标准、卫健委《住院病案首页数据质量与控制指标》、《</w:t>
      </w:r>
      <w:r>
        <w:t>HQMS</w:t>
      </w:r>
      <w:r>
        <w:rPr>
          <w:rFonts w:hint="eastAsia"/>
        </w:rPr>
        <w:t>数据对接接口校验规则》等要求的基础上，按照成都医保局按病组分值付费、</w:t>
      </w:r>
      <w:r>
        <w:t>CHS-DRG</w:t>
      </w:r>
      <w:r>
        <w:rPr>
          <w:rFonts w:hint="eastAsia"/>
        </w:rPr>
        <w:t>、</w:t>
      </w:r>
      <w:r>
        <w:t>DIP</w:t>
      </w:r>
      <w:r>
        <w:rPr>
          <w:rFonts w:hint="eastAsia"/>
        </w:rPr>
        <w:t>以及华西版粒度分组等标准规范要求，建设数据标准管理应用包括数据标准化处理、疾病诊断智能适配、病案首页质量控制等功能模块，实现院内医疗服务全过程数据的采集、处理、质控和存储，为病组精细化管理相关应用打下坚实的数据基础。</w:t>
      </w:r>
    </w:p>
    <w:p>
      <w:pPr>
        <w:pStyle w:val="3"/>
        <w:numPr>
          <w:ilvl w:val="2"/>
          <w:numId w:val="1"/>
        </w:numPr>
        <w:tabs>
          <w:tab w:val="left" w:pos="420"/>
        </w:tabs>
      </w:pPr>
      <w:bookmarkStart w:id="3" w:name="_Toc66304623"/>
      <w:r>
        <w:rPr>
          <w:rFonts w:hint="eastAsia"/>
        </w:rPr>
        <w:t>疾病分组管理子系统</w:t>
      </w:r>
      <w:bookmarkEnd w:id="3"/>
    </w:p>
    <w:p>
      <w:pPr>
        <w:pStyle w:val="6"/>
        <w:ind w:firstLine="480"/>
      </w:pPr>
      <w:r>
        <w:rPr>
          <w:rFonts w:hint="eastAsia"/>
        </w:rPr>
        <w:t>在满足省医保</w:t>
      </w:r>
      <w:r>
        <w:t>CHS-DRG</w:t>
      </w:r>
      <w:r>
        <w:rPr>
          <w:rFonts w:hint="eastAsia"/>
        </w:rPr>
        <w:t>分组付费、市医保按病组分值付费的基础上，结合我院医疗行为精细化管理需求，建设疾病分组管理子系统，为不同付费标准体系下院内医保费用管理、诊疗行为管理、院内绩效管理等应用提供支撑。</w:t>
      </w:r>
    </w:p>
    <w:p>
      <w:pPr>
        <w:pStyle w:val="3"/>
        <w:numPr>
          <w:ilvl w:val="2"/>
          <w:numId w:val="1"/>
        </w:numPr>
        <w:tabs>
          <w:tab w:val="left" w:pos="420"/>
        </w:tabs>
      </w:pPr>
      <w:bookmarkStart w:id="4" w:name="_Toc66304624"/>
      <w:r>
        <w:rPr>
          <w:rFonts w:hint="eastAsia"/>
        </w:rPr>
        <w:t>医保费用管理子系统</w:t>
      </w:r>
      <w:bookmarkEnd w:id="4"/>
    </w:p>
    <w:p>
      <w:pPr>
        <w:pStyle w:val="6"/>
        <w:ind w:firstLine="480"/>
      </w:pPr>
      <w:r>
        <w:rPr>
          <w:rFonts w:hint="eastAsia"/>
        </w:rPr>
        <w:t>按照省医保</w:t>
      </w:r>
      <w:r>
        <w:t>CHS-DRG</w:t>
      </w:r>
      <w:r>
        <w:rPr>
          <w:rFonts w:hint="eastAsia"/>
        </w:rPr>
        <w:t>分组付费和市医保按病组分值付费等医保政策要求，建设医保费用管理子系统，提供包括诊断编码智能推荐、医保费用智能预测、医保支付盈亏分析、医疗费用结构分析等功能模块，更好地适应医保支付方式改革背景下院内医保费用管理需求，进一步提升医保费用管理的及时性和精准度。</w:t>
      </w:r>
    </w:p>
    <w:p>
      <w:pPr>
        <w:pStyle w:val="3"/>
        <w:numPr>
          <w:ilvl w:val="2"/>
          <w:numId w:val="1"/>
        </w:numPr>
        <w:tabs>
          <w:tab w:val="left" w:pos="420"/>
        </w:tabs>
      </w:pPr>
      <w:bookmarkStart w:id="5" w:name="_Toc66304625"/>
      <w:r>
        <w:rPr>
          <w:rFonts w:hint="eastAsia"/>
        </w:rPr>
        <w:t>诊疗路径管理子系统</w:t>
      </w:r>
      <w:bookmarkEnd w:id="5"/>
    </w:p>
    <w:p>
      <w:pPr>
        <w:pStyle w:val="6"/>
        <w:ind w:firstLine="480"/>
      </w:pPr>
      <w:r>
        <w:rPr>
          <w:rFonts w:hint="eastAsia"/>
        </w:rPr>
        <w:t>在疾病分组的基础上，结合临床实际情况，建设诊疗路径管理子系统，利用大数据、人工智能等先进技术，从海量医疗服务全过程数据提取出最小疾病单元的诊疗路径，并提供疾病诊疗路径管理、诊疗路径推荐、路径偏移预警等功能模块，进一步规范我院医疗服务行为，提升医疗服务质量。</w:t>
      </w:r>
    </w:p>
    <w:p>
      <w:pPr>
        <w:pStyle w:val="3"/>
        <w:numPr>
          <w:ilvl w:val="2"/>
          <w:numId w:val="1"/>
        </w:numPr>
        <w:tabs>
          <w:tab w:val="left" w:pos="420"/>
        </w:tabs>
      </w:pPr>
      <w:bookmarkStart w:id="6" w:name="_Toc66304626"/>
      <w:r>
        <w:rPr>
          <w:rFonts w:hint="eastAsia"/>
        </w:rPr>
        <w:t>院内绩效管理子系统</w:t>
      </w:r>
      <w:bookmarkEnd w:id="6"/>
    </w:p>
    <w:p>
      <w:pPr>
        <w:pStyle w:val="6"/>
        <w:ind w:firstLine="480"/>
      </w:pPr>
      <w:r>
        <w:rPr>
          <w:rFonts w:hint="eastAsia"/>
        </w:rPr>
        <w:t>在我院绩效管理标准规范的基础上，结合省医保、市医保相关考核管理要求，建设院内绩效管理子系统，提供包括院内综合指标评价、重点疾病与重点手术分析、区域医疗机构排名分析、医院病例分组情况等功能模块，更加全面、真实、准确的体现出全院各科室、各病区、各医疗组、各医务人员的绩效情况，进一步提升全院医务人员参与医院效能提升的主观能动性，以高水平精细化管理促进全院高质量发展。</w:t>
      </w:r>
      <w:r>
        <w:t xml:space="preserve"> </w:t>
      </w:r>
    </w:p>
    <w:p>
      <w:pPr>
        <w:pStyle w:val="3"/>
        <w:numPr>
          <w:ilvl w:val="2"/>
          <w:numId w:val="1"/>
        </w:numPr>
        <w:tabs>
          <w:tab w:val="left" w:pos="420"/>
        </w:tabs>
      </w:pPr>
      <w:bookmarkStart w:id="7" w:name="_Toc66304627"/>
      <w:r>
        <w:rPr>
          <w:rFonts w:hint="eastAsia"/>
        </w:rPr>
        <w:t>运营决策管理子系统</w:t>
      </w:r>
      <w:bookmarkEnd w:id="7"/>
    </w:p>
    <w:p>
      <w:pPr>
        <w:pStyle w:val="6"/>
        <w:ind w:firstLine="480"/>
      </w:pPr>
      <w:r>
        <w:rPr>
          <w:rFonts w:hint="eastAsia"/>
        </w:rPr>
        <w:t>结合我院运营管理需求，建设运营决策管理子系统，提供包括整体运营情况分析、综合指标分析、住院情况分析、医保费用分析等功能模块，全方位反映新医保支付体系下医院运行情况，为医院的精细化管理和科学化决策提供数据支撑。</w:t>
      </w:r>
    </w:p>
    <w:p>
      <w:pPr>
        <w:pStyle w:val="3"/>
        <w:numPr>
          <w:ilvl w:val="2"/>
          <w:numId w:val="1"/>
        </w:numPr>
        <w:tabs>
          <w:tab w:val="left" w:pos="420"/>
        </w:tabs>
      </w:pPr>
      <w:bookmarkStart w:id="8" w:name="_Toc66304628"/>
      <w:r>
        <w:rPr>
          <w:rFonts w:hint="eastAsia"/>
        </w:rPr>
        <w:t>系统接口管理子系统</w:t>
      </w:r>
      <w:bookmarkEnd w:id="8"/>
    </w:p>
    <w:p>
      <w:pPr>
        <w:pStyle w:val="6"/>
        <w:ind w:firstLine="480"/>
      </w:pPr>
      <w:r>
        <w:rPr>
          <w:rFonts w:hint="eastAsia"/>
        </w:rPr>
        <w:t>根据分值付费下基于临床实际的病组费用精细化管理系统对院内数据的需求，建设系统接口管理子系统，通过对接院内集成平台，获取医院</w:t>
      </w:r>
      <w:r>
        <w:t>HIS</w:t>
      </w:r>
      <w:r>
        <w:rPr>
          <w:rFonts w:hint="eastAsia"/>
        </w:rPr>
        <w:t>系统、病案系统、手麻系统等信息系统中患者信息、疾病诊断、医疗费用、病案首页、医嘱、手术</w:t>
      </w:r>
      <w:r>
        <w:t>/</w:t>
      </w:r>
      <w:r>
        <w:rPr>
          <w:rFonts w:hint="eastAsia"/>
        </w:rPr>
        <w:t>操作等信息，为各上述各应用提供数据支撑。</w:t>
      </w:r>
    </w:p>
    <w:p>
      <w:pPr>
        <w:rPr>
          <w:rFonts w:hint="eastAsia"/>
        </w:rPr>
      </w:pPr>
    </w:p>
    <w:p>
      <w:pPr>
        <w:pStyle w:val="3"/>
        <w:numPr>
          <w:ilvl w:val="0"/>
          <w:numId w:val="0"/>
        </w:numPr>
        <w:tabs>
          <w:tab w:val="left" w:pos="420"/>
        </w:tabs>
        <w:rPr>
          <w:rFonts w:hint="eastAsia"/>
        </w:rPr>
      </w:pPr>
      <w:r>
        <w:rPr>
          <w:rFonts w:hint="eastAsia"/>
        </w:rPr>
        <w:t>2技术参数</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276"/>
        <w:gridCol w:w="64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b/>
                <w:bCs/>
                <w:color w:val="000000"/>
                <w:sz w:val="22"/>
              </w:rPr>
            </w:pPr>
            <w:r>
              <w:rPr>
                <w:rFonts w:hint="eastAsia"/>
                <w:b/>
                <w:bCs/>
                <w:color w:val="000000"/>
                <w:sz w:val="22"/>
              </w:rPr>
              <w:t>序号</w:t>
            </w:r>
          </w:p>
        </w:tc>
        <w:tc>
          <w:tcPr>
            <w:tcW w:w="1276" w:type="dxa"/>
            <w:vAlign w:val="bottom"/>
          </w:tcPr>
          <w:p>
            <w:pPr>
              <w:jc w:val="center"/>
              <w:rPr>
                <w:rFonts w:ascii="宋体" w:hAnsi="宋体" w:eastAsia="宋体" w:cs="宋体"/>
                <w:b/>
                <w:bCs/>
                <w:color w:val="000000"/>
                <w:sz w:val="22"/>
              </w:rPr>
            </w:pPr>
            <w:r>
              <w:rPr>
                <w:rFonts w:hint="eastAsia"/>
                <w:b/>
                <w:bCs/>
                <w:color w:val="000000"/>
                <w:sz w:val="22"/>
              </w:rPr>
              <w:t>功能模块</w:t>
            </w:r>
          </w:p>
        </w:tc>
        <w:tc>
          <w:tcPr>
            <w:tcW w:w="6429" w:type="dxa"/>
            <w:vAlign w:val="bottom"/>
          </w:tcPr>
          <w:p>
            <w:pPr>
              <w:jc w:val="center"/>
              <w:rPr>
                <w:rFonts w:ascii="宋体" w:hAnsi="宋体" w:eastAsia="宋体" w:cs="宋体"/>
                <w:b/>
                <w:bCs/>
                <w:sz w:val="22"/>
              </w:rPr>
            </w:pPr>
            <w:r>
              <w:rPr>
                <w:rFonts w:hint="eastAsia"/>
                <w:b/>
                <w:bCs/>
                <w:sz w:val="22"/>
              </w:rPr>
              <w:t>技术要求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1</w:t>
            </w:r>
          </w:p>
        </w:tc>
        <w:tc>
          <w:tcPr>
            <w:tcW w:w="1276" w:type="dxa"/>
            <w:vAlign w:val="center"/>
          </w:tcPr>
          <w:p>
            <w:pPr>
              <w:jc w:val="center"/>
              <w:rPr>
                <w:rFonts w:ascii="宋体" w:hAnsi="宋体" w:eastAsia="宋体" w:cs="宋体"/>
                <w:color w:val="000000"/>
                <w:sz w:val="22"/>
              </w:rPr>
            </w:pPr>
            <w:r>
              <w:rPr>
                <w:rFonts w:hint="eastAsia"/>
                <w:color w:val="000000"/>
                <w:sz w:val="22"/>
              </w:rPr>
              <w:t>分组器</w:t>
            </w:r>
          </w:p>
        </w:tc>
        <w:tc>
          <w:tcPr>
            <w:tcW w:w="6429" w:type="dxa"/>
            <w:vAlign w:val="center"/>
          </w:tcPr>
          <w:p>
            <w:pPr>
              <w:rPr>
                <w:rFonts w:ascii="宋体" w:hAnsi="宋体" w:eastAsia="宋体" w:cs="宋体"/>
                <w:sz w:val="22"/>
              </w:rPr>
            </w:pPr>
            <w:r>
              <w:rPr>
                <w:rFonts w:hint="eastAsia"/>
                <w:sz w:val="22"/>
              </w:rPr>
              <w:t>同时支持成都市病组分值付费分组、CHS-DRG分组和DIP分组、及疾病画像模型完成院内数据的分组，对接省市医保业务规范标准和全市医保实时结算明细数据，能够基于以上分组结果及明细数据进行以下相关功能的统计分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2</w:t>
            </w:r>
          </w:p>
        </w:tc>
        <w:tc>
          <w:tcPr>
            <w:tcW w:w="1276" w:type="dxa"/>
            <w:vAlign w:val="center"/>
          </w:tcPr>
          <w:p>
            <w:pPr>
              <w:jc w:val="center"/>
              <w:rPr>
                <w:rFonts w:ascii="宋体" w:hAnsi="宋体" w:eastAsia="宋体" w:cs="宋体"/>
                <w:color w:val="000000"/>
                <w:sz w:val="22"/>
              </w:rPr>
            </w:pPr>
            <w:r>
              <w:rPr>
                <w:rFonts w:hint="eastAsia"/>
                <w:color w:val="000000"/>
                <w:sz w:val="22"/>
              </w:rPr>
              <w:t>病案质量控制</w:t>
            </w:r>
          </w:p>
        </w:tc>
        <w:tc>
          <w:tcPr>
            <w:tcW w:w="6429" w:type="dxa"/>
            <w:vAlign w:val="center"/>
          </w:tcPr>
          <w:p>
            <w:pPr>
              <w:rPr>
                <w:rFonts w:ascii="宋体" w:hAnsi="宋体" w:eastAsia="宋体" w:cs="宋体"/>
                <w:b/>
                <w:bCs/>
                <w:sz w:val="22"/>
              </w:rPr>
            </w:pPr>
            <w:r>
              <w:rPr>
                <w:rFonts w:hint="eastAsia"/>
                <w:b/>
                <w:bCs/>
                <w:sz w:val="22"/>
              </w:rPr>
              <w:t>病案校验配置：</w:t>
            </w:r>
            <w:r>
              <w:rPr>
                <w:rFonts w:hint="eastAsia"/>
                <w:sz w:val="22"/>
              </w:rPr>
              <w:t>可配置病案质控的校验条件，可根据国家卫健委病案首页管理与质量控制文件的要求以及院内病案管理需求更新病案质控规则。</w:t>
            </w:r>
            <w:r>
              <w:rPr>
                <w:rFonts w:hint="eastAsia"/>
                <w:b/>
                <w:bCs/>
                <w:sz w:val="22"/>
              </w:rPr>
              <w:br w:type="textWrapping"/>
            </w:r>
            <w:r>
              <w:rPr>
                <w:rFonts w:hint="eastAsia"/>
                <w:b/>
                <w:bCs/>
                <w:sz w:val="22"/>
              </w:rPr>
              <w:t>病案质量分析：</w:t>
            </w:r>
            <w:r>
              <w:rPr>
                <w:rFonts w:hint="eastAsia"/>
                <w:sz w:val="22"/>
              </w:rPr>
              <w:t>依据国家管理部门相关政策文件从全院总体层面与单个病案层面对病案填写情况进行分析。基于病案质控规则对医院病案填写的完整度、逻辑性、准确性进行分析，并提供每份病案的质量评分，下钻可查看各病案具体的得分项，帮助医疗机构提升病案填写的质量与病案工作管理的水平。</w:t>
            </w:r>
            <w:r>
              <w:rPr>
                <w:rFonts w:hint="eastAsia"/>
                <w:sz w:val="22"/>
              </w:rPr>
              <w:br w:type="textWrapping"/>
            </w:r>
            <w:r>
              <w:rPr>
                <w:rFonts w:hint="eastAsia"/>
                <w:b/>
                <w:bCs/>
                <w:sz w:val="22"/>
              </w:rPr>
              <w:t>病案首页查询：</w:t>
            </w:r>
            <w:r>
              <w:rPr>
                <w:rFonts w:hint="eastAsia"/>
                <w:sz w:val="22"/>
              </w:rPr>
              <w:t>通过包括病案号、离院方式、医疗付款方式在内的一系列查询条件的筛选，对医疗机构病案首页进行查询，支持对未入组、死亡病案等进行条件设置的筛选，以查看病案的具体数据。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3</w:t>
            </w:r>
          </w:p>
        </w:tc>
        <w:tc>
          <w:tcPr>
            <w:tcW w:w="1276" w:type="dxa"/>
            <w:vAlign w:val="center"/>
          </w:tcPr>
          <w:p>
            <w:pPr>
              <w:jc w:val="center"/>
              <w:rPr>
                <w:rFonts w:ascii="宋体" w:hAnsi="宋体" w:eastAsia="宋体" w:cs="宋体"/>
                <w:color w:val="000000"/>
                <w:sz w:val="22"/>
              </w:rPr>
            </w:pPr>
            <w:r>
              <w:rPr>
                <w:rFonts w:hint="eastAsia"/>
                <w:color w:val="000000"/>
                <w:sz w:val="22"/>
              </w:rPr>
              <w:t>医院绩效分析</w:t>
            </w:r>
          </w:p>
        </w:tc>
        <w:tc>
          <w:tcPr>
            <w:tcW w:w="6429" w:type="dxa"/>
            <w:vAlign w:val="center"/>
          </w:tcPr>
          <w:p>
            <w:pPr>
              <w:rPr>
                <w:rFonts w:ascii="宋体" w:hAnsi="宋体" w:eastAsia="宋体" w:cs="宋体"/>
                <w:sz w:val="22"/>
              </w:rPr>
            </w:pPr>
            <w:r>
              <w:rPr>
                <w:rFonts w:hint="eastAsia"/>
                <w:sz w:val="22"/>
              </w:rPr>
              <w:t>分别基于医院、科室、诊疗组、医师、病组等维度对院内数据展开分析。</w:t>
            </w:r>
            <w:r>
              <w:rPr>
                <w:rFonts w:hint="eastAsia"/>
                <w:sz w:val="22"/>
              </w:rPr>
              <w:br w:type="textWrapping"/>
            </w:r>
            <w:r>
              <w:rPr>
                <w:rFonts w:hint="eastAsia"/>
                <w:b/>
                <w:bCs/>
                <w:sz w:val="22"/>
              </w:rPr>
              <w:t>医院：</w:t>
            </w:r>
            <w:r>
              <w:rPr>
                <w:rFonts w:hint="eastAsia"/>
                <w:sz w:val="22"/>
              </w:rPr>
              <w:t>分析医院整体质效情况，包括医院综合评价指标、医院医疗效率、医疗安全、医院手术、重点疾病、重点手术等相应指标，提供不同医疗机构间的医疗能力、效率、安全等横向对比，以及纵向对比变化趋势。针对国家卫健委发布的重点疾病与重点手术进行人次、人数、费用等趋势变化分析，支撑医院重点监管此类对象，突出管理重点。</w:t>
            </w:r>
            <w:r>
              <w:rPr>
                <w:rFonts w:hint="eastAsia"/>
                <w:sz w:val="22"/>
              </w:rPr>
              <w:br w:type="textWrapping"/>
            </w:r>
            <w:r>
              <w:rPr>
                <w:rFonts w:hint="eastAsia"/>
                <w:b/>
                <w:bCs/>
                <w:sz w:val="22"/>
              </w:rPr>
              <w:t>科室：</w:t>
            </w:r>
            <w:r>
              <w:rPr>
                <w:rFonts w:hint="eastAsia"/>
                <w:sz w:val="22"/>
              </w:rPr>
              <w:t>基于科室维度，全面分析院内科室的病组评价指标，可对比选中科室的指标差异情况，运用病组质效与风险评价模型，对科室产能、安全、效率进行具体分析，以图形提供分析结果的直观展示。</w:t>
            </w:r>
            <w:r>
              <w:rPr>
                <w:rFonts w:hint="eastAsia"/>
                <w:sz w:val="22"/>
              </w:rPr>
              <w:br w:type="textWrapping"/>
            </w:r>
            <w:r>
              <w:rPr>
                <w:rFonts w:hint="eastAsia"/>
                <w:b/>
                <w:bCs/>
                <w:sz w:val="22"/>
              </w:rPr>
              <w:t>诊疗组：</w:t>
            </w:r>
            <w:r>
              <w:rPr>
                <w:rFonts w:hint="eastAsia"/>
                <w:sz w:val="22"/>
              </w:rPr>
              <w:t>提供医疗机构灵活配置诊疗组的功能，对诊疗组进行质效综合分析，及时掌握各诊疗组的工作情况。</w:t>
            </w:r>
            <w:r>
              <w:rPr>
                <w:rFonts w:hint="eastAsia"/>
                <w:sz w:val="22"/>
              </w:rPr>
              <w:br w:type="textWrapping"/>
            </w:r>
            <w:r>
              <w:rPr>
                <w:rFonts w:hint="eastAsia"/>
                <w:b/>
                <w:bCs/>
                <w:sz w:val="22"/>
              </w:rPr>
              <w:t>医师：</w:t>
            </w:r>
            <w:r>
              <w:rPr>
                <w:rFonts w:hint="eastAsia"/>
                <w:sz w:val="22"/>
              </w:rPr>
              <w:t>支持重点关注医师的选择，基于所选科室医师全面分析医师的病组评价指标，对比不同医师的质效情况，并对变化趋势以图形提供展示。</w:t>
            </w:r>
            <w:r>
              <w:rPr>
                <w:rFonts w:hint="eastAsia"/>
                <w:sz w:val="22"/>
              </w:rPr>
              <w:br w:type="textWrapping"/>
            </w:r>
            <w:r>
              <w:rPr>
                <w:rFonts w:hint="eastAsia"/>
                <w:b/>
                <w:bCs/>
                <w:sz w:val="22"/>
              </w:rPr>
              <w:t>病组：</w:t>
            </w:r>
            <w:r>
              <w:rPr>
                <w:rFonts w:hint="eastAsia"/>
                <w:sz w:val="22"/>
              </w:rPr>
              <w:t>分析医院入组情况，支持病案详情下钻，掌握病案未入组原因，以提升病案填写水平。对院内覆盖病种、病组的详细情况提供饼图展示。分析医院学科发展情况，帮助医院管理者明确重点与优势学科。</w:t>
            </w:r>
            <w:r>
              <w:rPr>
                <w:rFonts w:hint="eastAsia"/>
                <w:sz w:val="22"/>
              </w:rPr>
              <w:br w:type="textWrapping"/>
            </w:r>
            <w:r>
              <w:rPr>
                <w:rFonts w:hint="eastAsia"/>
                <w:b/>
                <w:bCs/>
                <w:sz w:val="22"/>
              </w:rPr>
              <w:t>全院异常预警：</w:t>
            </w:r>
            <w:r>
              <w:rPr>
                <w:rFonts w:hint="eastAsia"/>
                <w:sz w:val="22"/>
              </w:rPr>
              <w:t>针对药占比、抗菌药物占比、未入组病案数、费用消耗指数、时间消耗指数前5的科室分别进行展示。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4</w:t>
            </w:r>
          </w:p>
        </w:tc>
        <w:tc>
          <w:tcPr>
            <w:tcW w:w="1276" w:type="dxa"/>
            <w:vAlign w:val="center"/>
          </w:tcPr>
          <w:p>
            <w:pPr>
              <w:jc w:val="center"/>
              <w:rPr>
                <w:rFonts w:ascii="宋体" w:hAnsi="宋体" w:eastAsia="宋体" w:cs="宋体"/>
                <w:color w:val="000000"/>
                <w:sz w:val="22"/>
              </w:rPr>
            </w:pPr>
            <w:r>
              <w:rPr>
                <w:rFonts w:hint="eastAsia"/>
                <w:color w:val="000000"/>
                <w:sz w:val="22"/>
              </w:rPr>
              <w:t>医院医保费用管理</w:t>
            </w:r>
          </w:p>
        </w:tc>
        <w:tc>
          <w:tcPr>
            <w:tcW w:w="6429" w:type="dxa"/>
            <w:vAlign w:val="center"/>
          </w:tcPr>
          <w:p>
            <w:pPr>
              <w:rPr>
                <w:rFonts w:ascii="宋体" w:hAnsi="宋体" w:eastAsia="宋体" w:cs="宋体"/>
                <w:b/>
                <w:bCs/>
                <w:sz w:val="22"/>
              </w:rPr>
            </w:pPr>
            <w:r>
              <w:rPr>
                <w:rFonts w:hint="eastAsia"/>
                <w:b/>
                <w:bCs/>
                <w:sz w:val="22"/>
              </w:rPr>
              <w:t>预分组：</w:t>
            </w:r>
            <w:r>
              <w:rPr>
                <w:rFonts w:hint="eastAsia"/>
                <w:sz w:val="22"/>
              </w:rPr>
              <w:t>系统基于当地医保病组分值付费政策、DRG和DIP分组提供医疗机构预测分组、预测医保支付相关参数及全市组内患者费用明细汇总的功能，与院内相关系统对接，可在诊疗过程中的不同环节为医疗机构提供医保付费、诊疗路径参考，帮助医院及时优化诊疗路径、完善病案信息的填写。</w:t>
            </w:r>
            <w:r>
              <w:rPr>
                <w:rFonts w:hint="eastAsia"/>
                <w:sz w:val="22"/>
              </w:rPr>
              <w:br w:type="textWrapping"/>
            </w:r>
            <w:r>
              <w:rPr>
                <w:rFonts w:hint="eastAsia"/>
                <w:b/>
                <w:bCs/>
                <w:sz w:val="22"/>
              </w:rPr>
              <w:t>盈亏分析：</w:t>
            </w:r>
            <w:r>
              <w:rPr>
                <w:rFonts w:hint="eastAsia"/>
                <w:sz w:val="22"/>
              </w:rPr>
              <w:t>从医院与病组维度对比病组分值付费后医疗机构的盈亏情况，预测新型付费方式实行后对医院经营所带来的影响。</w:t>
            </w:r>
            <w:r>
              <w:rPr>
                <w:rFonts w:hint="eastAsia"/>
                <w:sz w:val="22"/>
              </w:rPr>
              <w:br w:type="textWrapping"/>
            </w:r>
            <w:r>
              <w:rPr>
                <w:rFonts w:hint="eastAsia"/>
                <w:b/>
                <w:bCs/>
                <w:sz w:val="22"/>
              </w:rPr>
              <w:t>医保费用构成：</w:t>
            </w:r>
            <w:r>
              <w:rPr>
                <w:rFonts w:hint="eastAsia"/>
                <w:sz w:val="22"/>
              </w:rPr>
              <w:t>对医保费用构成情况进行分析，包括医保结算人次、总费用、医保收入等，对不同医疗支付方式占比进行分析。</w:t>
            </w:r>
            <w:r>
              <w:rPr>
                <w:rFonts w:hint="eastAsia"/>
                <w:sz w:val="22"/>
              </w:rPr>
              <w:br w:type="textWrapping"/>
            </w:r>
            <w:r>
              <w:rPr>
                <w:rFonts w:hint="eastAsia"/>
                <w:b/>
                <w:bCs/>
                <w:sz w:val="22"/>
              </w:rPr>
              <w:t>特殊病案分析：</w:t>
            </w:r>
            <w:r>
              <w:rPr>
                <w:rFonts w:hint="eastAsia"/>
                <w:sz w:val="22"/>
              </w:rPr>
              <w:t>针对医疗费用超高超低等异常病案，提供其费用相关指标的分析，重点监管此类病案。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5</w:t>
            </w:r>
          </w:p>
        </w:tc>
        <w:tc>
          <w:tcPr>
            <w:tcW w:w="1276" w:type="dxa"/>
            <w:vAlign w:val="center"/>
          </w:tcPr>
          <w:p>
            <w:pPr>
              <w:jc w:val="center"/>
              <w:rPr>
                <w:rFonts w:ascii="宋体" w:hAnsi="宋体" w:eastAsia="宋体" w:cs="宋体"/>
                <w:color w:val="000000"/>
                <w:sz w:val="22"/>
              </w:rPr>
            </w:pPr>
            <w:r>
              <w:rPr>
                <w:rFonts w:hint="eastAsia"/>
                <w:color w:val="000000"/>
                <w:sz w:val="22"/>
              </w:rPr>
              <w:t>医院控费管理</w:t>
            </w:r>
          </w:p>
        </w:tc>
        <w:tc>
          <w:tcPr>
            <w:tcW w:w="6429" w:type="dxa"/>
            <w:vAlign w:val="center"/>
          </w:tcPr>
          <w:p>
            <w:pPr>
              <w:rPr>
                <w:rFonts w:ascii="宋体" w:hAnsi="宋体" w:eastAsia="宋体" w:cs="宋体"/>
                <w:sz w:val="22"/>
              </w:rPr>
            </w:pPr>
            <w:r>
              <w:rPr>
                <w:rFonts w:hint="eastAsia"/>
                <w:sz w:val="22"/>
              </w:rPr>
              <w:t>从全院维度，对住院医疗费用展开分析，包括例均费用、分项费用结构等，提供不同医疗机构间的横向对比；从院内科室维度，对医院各科室的费用情况展开分析，包括总费用、例均费用、费用结构等；从病组维度，对病组的费用指标进行分析，详细掌握医院病组的费用情况，及时为医疗费用的管理与控制提供数据支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6</w:t>
            </w:r>
          </w:p>
        </w:tc>
        <w:tc>
          <w:tcPr>
            <w:tcW w:w="1276" w:type="dxa"/>
            <w:vAlign w:val="center"/>
          </w:tcPr>
          <w:p>
            <w:pPr>
              <w:jc w:val="center"/>
              <w:rPr>
                <w:rFonts w:ascii="宋体" w:hAnsi="宋体" w:eastAsia="宋体" w:cs="宋体"/>
                <w:color w:val="000000"/>
                <w:sz w:val="22"/>
              </w:rPr>
            </w:pPr>
            <w:r>
              <w:rPr>
                <w:rFonts w:hint="eastAsia"/>
                <w:color w:val="000000"/>
                <w:sz w:val="22"/>
              </w:rPr>
              <w:t>系统配置</w:t>
            </w:r>
          </w:p>
        </w:tc>
        <w:tc>
          <w:tcPr>
            <w:tcW w:w="6429" w:type="dxa"/>
            <w:vAlign w:val="center"/>
          </w:tcPr>
          <w:p>
            <w:pPr>
              <w:rPr>
                <w:rFonts w:ascii="宋体" w:hAnsi="宋体" w:eastAsia="宋体" w:cs="宋体"/>
                <w:sz w:val="22"/>
              </w:rPr>
            </w:pPr>
            <w:r>
              <w:rPr>
                <w:rFonts w:hint="eastAsia"/>
                <w:sz w:val="22"/>
              </w:rPr>
              <w:t>系统功能设计人性化，用户可自主进行相关功能配置。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7</w:t>
            </w:r>
          </w:p>
        </w:tc>
        <w:tc>
          <w:tcPr>
            <w:tcW w:w="1276" w:type="dxa"/>
            <w:vAlign w:val="center"/>
          </w:tcPr>
          <w:p>
            <w:pPr>
              <w:jc w:val="center"/>
              <w:rPr>
                <w:rFonts w:ascii="宋体" w:hAnsi="宋体" w:eastAsia="宋体" w:cs="宋体"/>
                <w:color w:val="000000"/>
                <w:sz w:val="22"/>
              </w:rPr>
            </w:pPr>
            <w:r>
              <w:rPr>
                <w:rFonts w:hint="eastAsia"/>
                <w:color w:val="000000"/>
                <w:sz w:val="22"/>
              </w:rPr>
              <w:t>接口服务</w:t>
            </w:r>
          </w:p>
        </w:tc>
        <w:tc>
          <w:tcPr>
            <w:tcW w:w="6429" w:type="dxa"/>
            <w:vAlign w:val="center"/>
          </w:tcPr>
          <w:p>
            <w:pPr>
              <w:rPr>
                <w:rFonts w:ascii="宋体" w:hAnsi="宋体" w:eastAsia="宋体" w:cs="宋体"/>
                <w:sz w:val="22"/>
              </w:rPr>
            </w:pPr>
            <w:r>
              <w:rPr>
                <w:rFonts w:hint="eastAsia"/>
                <w:sz w:val="22"/>
              </w:rPr>
              <w:t>遵循全院信息化建设的技术标准规范，通过系统接口完成与院内系统集成，实现医院精细化管理所需的相关业务数据的采集。</w:t>
            </w:r>
          </w:p>
        </w:tc>
      </w:tr>
    </w:tbl>
    <w:p>
      <w:pPr>
        <w:pStyle w:val="6"/>
        <w:ind w:firstLine="0" w:firstLineChars="0"/>
      </w:pPr>
    </w:p>
    <w:p/>
    <w:p>
      <w:pPr>
        <w:bidi w:val="0"/>
        <w:jc w:val="left"/>
        <w:rPr>
          <w:rFonts w:hint="default" w:asciiTheme="minorHAnsi" w:hAnsiTheme="minorHAnsi" w:eastAsiaTheme="minorEastAsia" w:cstheme="minorBidi"/>
          <w:kern w:val="2"/>
          <w:sz w:val="21"/>
          <w:szCs w:val="24"/>
          <w:lang w:val="en-US" w:eastAsia="zh-CN" w:bidi="ar-SA"/>
        </w:rPr>
      </w:pPr>
    </w:p>
    <w:p>
      <w:pPr>
        <w:bidi w:val="0"/>
        <w:jc w:val="left"/>
        <w:rPr>
          <w:rFonts w:hint="default" w:asciiTheme="minorHAnsi" w:hAnsiTheme="minorHAnsi" w:eastAsiaTheme="minorEastAsia" w:cstheme="minorBidi"/>
          <w:kern w:val="2"/>
          <w:sz w:val="21"/>
          <w:szCs w:val="24"/>
          <w:lang w:val="en-US" w:eastAsia="zh-CN" w:bidi="ar-SA"/>
        </w:rPr>
      </w:pPr>
    </w:p>
    <w:p>
      <w:pPr>
        <w:bidi w:val="0"/>
        <w:jc w:val="left"/>
        <w:rPr>
          <w:rFonts w:hint="default" w:asciiTheme="minorHAnsi" w:hAnsiTheme="minorHAnsi" w:eastAsiaTheme="minorEastAsia" w:cstheme="minorBidi"/>
          <w:kern w:val="2"/>
          <w:sz w:val="21"/>
          <w:szCs w:val="24"/>
          <w:lang w:val="en-US" w:eastAsia="zh-CN" w:bidi="ar-SA"/>
        </w:rPr>
      </w:pPr>
    </w:p>
    <w:p>
      <w:pPr>
        <w:bidi w:val="0"/>
        <w:jc w:val="left"/>
        <w:rPr>
          <w:rFonts w:hint="default" w:asciiTheme="minorHAnsi" w:hAnsiTheme="minorHAnsi" w:eastAsiaTheme="minorEastAsia" w:cstheme="minorBidi"/>
          <w:kern w:val="2"/>
          <w:sz w:val="21"/>
          <w:szCs w:val="24"/>
          <w:lang w:val="en-US" w:eastAsia="zh-CN" w:bidi="ar-SA"/>
        </w:rPr>
      </w:pPr>
    </w:p>
    <w:p>
      <w:pPr>
        <w:bidi w:val="0"/>
        <w:jc w:val="left"/>
        <w:rPr>
          <w:rFonts w:hint="default" w:asciiTheme="minorHAnsi" w:hAnsiTheme="minorHAnsi" w:eastAsiaTheme="minorEastAsia" w:cstheme="minorBidi"/>
          <w:kern w:val="2"/>
          <w:sz w:val="21"/>
          <w:szCs w:val="24"/>
          <w:lang w:val="en-US" w:eastAsia="zh-CN" w:bidi="ar-SA"/>
        </w:rPr>
      </w:pPr>
    </w:p>
    <w:p>
      <w:pPr>
        <w:bidi w:val="0"/>
        <w:jc w:val="left"/>
        <w:rPr>
          <w:rFonts w:hint="default" w:asciiTheme="minorHAnsi" w:hAnsiTheme="minorHAnsi" w:eastAsiaTheme="minorEastAsia" w:cstheme="minorBidi"/>
          <w:kern w:val="2"/>
          <w:sz w:val="21"/>
          <w:szCs w:val="24"/>
          <w:lang w:val="en-US" w:eastAsia="zh-CN" w:bidi="ar-SA"/>
        </w:rPr>
      </w:pPr>
    </w:p>
    <w:p>
      <w:pPr>
        <w:bidi w:val="0"/>
        <w:jc w:val="left"/>
        <w:rPr>
          <w:rFonts w:hint="default" w:asciiTheme="minorHAnsi" w:hAnsiTheme="minorHAnsi" w:eastAsiaTheme="minorEastAsia" w:cstheme="minorBidi"/>
          <w:kern w:val="2"/>
          <w:sz w:val="21"/>
          <w:szCs w:val="24"/>
          <w:lang w:val="en-US" w:eastAsia="zh-CN" w:bidi="ar-SA"/>
        </w:rPr>
      </w:pPr>
    </w:p>
    <w:p>
      <w:pPr>
        <w:bidi w:val="0"/>
        <w:jc w:val="left"/>
        <w:rPr>
          <w:rFonts w:hint="eastAsia" w:cstheme="minorBidi"/>
          <w:b/>
          <w:bCs/>
          <w:kern w:val="2"/>
          <w:sz w:val="32"/>
          <w:szCs w:val="40"/>
          <w:lang w:val="en-US" w:eastAsia="zh-CN" w:bidi="ar-SA"/>
        </w:rPr>
      </w:pPr>
      <w:r>
        <w:rPr>
          <w:rFonts w:hint="eastAsia" w:cstheme="minorBidi"/>
          <w:b/>
          <w:bCs/>
          <w:kern w:val="2"/>
          <w:sz w:val="32"/>
          <w:szCs w:val="40"/>
          <w:lang w:val="en-US" w:eastAsia="zh-CN" w:bidi="ar-SA"/>
        </w:rPr>
        <w:t>附件3：</w:t>
      </w:r>
    </w:p>
    <w:p>
      <w:pPr>
        <w:pStyle w:val="2"/>
        <w:keepNext w:val="0"/>
        <w:spacing w:after="0"/>
        <w:jc w:val="both"/>
        <w:rPr>
          <w:rFonts w:hint="eastAsia" w:ascii="方正小标宋简体" w:hAnsi="方正小标宋简体" w:eastAsia="方正小标宋简体" w:cs="方正小标宋简体"/>
          <w:b w:val="0"/>
          <w:sz w:val="36"/>
          <w:szCs w:val="36"/>
        </w:rPr>
      </w:pPr>
      <w:bookmarkStart w:id="9" w:name="OLE_LINK9"/>
      <w:r>
        <w:rPr>
          <w:rFonts w:hint="eastAsia" w:ascii="方正小标宋简体" w:hAnsi="方正小标宋简体" w:eastAsia="方正小标宋简体" w:cs="方正小标宋简体"/>
          <w:b w:val="0"/>
          <w:sz w:val="36"/>
          <w:szCs w:val="36"/>
        </w:rPr>
        <w:t>医保前置审核系统二期（门特前置审核系统）</w:t>
      </w:r>
    </w:p>
    <w:p>
      <w:pPr>
        <w:pStyle w:val="2"/>
        <w:keepNext w:val="0"/>
        <w:spacing w:after="0"/>
        <w:jc w:val="both"/>
        <w:rPr>
          <w:rFonts w:ascii="方正小标宋简体" w:hAnsi="方正小标宋简体" w:eastAsia="方正小标宋简体" w:cs="方正小标宋简体"/>
          <w:b w:val="0"/>
          <w:sz w:val="36"/>
          <w:szCs w:val="36"/>
        </w:rPr>
      </w:pPr>
      <w:r>
        <w:rPr>
          <w:rFonts w:hint="eastAsia" w:ascii="宋体" w:hAnsi="宋体"/>
          <w:sz w:val="30"/>
          <w:szCs w:val="30"/>
        </w:rPr>
        <w:t>第一部分：建设目标</w:t>
      </w:r>
    </w:p>
    <w:p>
      <w:pPr>
        <w:pStyle w:val="10"/>
        <w:ind w:firstLine="600"/>
        <w:rPr>
          <w:rFonts w:hint="eastAsia" w:ascii="宋体" w:hAnsi="宋体" w:eastAsia="宋体"/>
          <w:sz w:val="30"/>
          <w:szCs w:val="30"/>
          <w:lang w:val="en-US"/>
        </w:rPr>
      </w:pPr>
      <w:r>
        <w:rPr>
          <w:rFonts w:hint="eastAsia" w:ascii="宋体" w:hAnsi="宋体" w:eastAsia="宋体"/>
          <w:sz w:val="30"/>
          <w:szCs w:val="30"/>
        </w:rPr>
        <w:t>依托医院智能审核系统的服务器、网络、完全设备等基础设施，建设一套对门特全流程进行智能审核及监控的信息系统，通过与</w:t>
      </w:r>
      <w:r>
        <w:rPr>
          <w:rFonts w:ascii="宋体" w:hAnsi="宋体" w:eastAsia="宋体"/>
          <w:sz w:val="30"/>
          <w:szCs w:val="30"/>
        </w:rPr>
        <w:t>HIS</w:t>
      </w:r>
      <w:r>
        <w:rPr>
          <w:rFonts w:hint="eastAsia" w:ascii="宋体" w:hAnsi="宋体" w:eastAsia="宋体"/>
          <w:sz w:val="30"/>
          <w:szCs w:val="30"/>
        </w:rPr>
        <w:t>系统的业务联动，实现对门特诊疗的事前、事中、事后的审核及控管，有效减少医保审核扣款金额；通过对扣款情况及全流程数据分析，为医生、护士、科室等优化诊疗行为及提高工作效率提供数据参考，为医生、护士、科室的绩效考核提供数据支撑。</w:t>
      </w:r>
    </w:p>
    <w:p>
      <w:pPr>
        <w:pStyle w:val="2"/>
        <w:keepNext w:val="0"/>
        <w:spacing w:after="0"/>
        <w:jc w:val="both"/>
        <w:rPr>
          <w:rFonts w:ascii="宋体" w:hAnsi="宋体" w:cs="宋体"/>
          <w:bCs w:val="0"/>
        </w:rPr>
      </w:pPr>
      <w:r>
        <w:rPr>
          <w:rFonts w:hint="eastAsia" w:ascii="宋体" w:hAnsi="宋体" w:cs="宋体"/>
          <w:bCs w:val="0"/>
        </w:rPr>
        <w:t>第二部分：项目技术要求</w:t>
      </w:r>
    </w:p>
    <w:bookmarkEnd w:id="9"/>
    <w:p>
      <w:pPr>
        <w:pStyle w:val="2"/>
        <w:jc w:val="both"/>
        <w:rPr>
          <w:rFonts w:ascii="宋体" w:hAnsi="宋体" w:cs="宋体"/>
          <w:sz w:val="24"/>
          <w:szCs w:val="24"/>
        </w:rPr>
      </w:pPr>
      <w:r>
        <w:rPr>
          <w:rFonts w:hint="eastAsia" w:ascii="宋体" w:hAnsi="宋体" w:cs="宋体"/>
          <w:sz w:val="24"/>
          <w:szCs w:val="24"/>
        </w:rPr>
        <w:t>一、医学知识库主要内容</w:t>
      </w:r>
    </w:p>
    <w:p>
      <w:pPr>
        <w:spacing w:line="360" w:lineRule="auto"/>
        <w:rPr>
          <w:rFonts w:ascii="宋体" w:hAnsi="宋体" w:cs="宋体"/>
        </w:rPr>
      </w:pPr>
      <w:r>
        <w:rPr>
          <w:rFonts w:hint="eastAsia" w:ascii="宋体" w:hAnsi="宋体" w:cs="宋体"/>
        </w:rPr>
        <w:t>注：以下为知识库的规则示例，实际生产使用规则以与使用方确定的规则列表为准。</w:t>
      </w:r>
    </w:p>
    <w:p>
      <w:pPr>
        <w:pStyle w:val="3"/>
        <w:ind w:left="140" w:hanging="140" w:hangingChars="58"/>
        <w:rPr>
          <w:rFonts w:ascii="宋体" w:hAnsi="宋体" w:cs="宋体"/>
          <w:sz w:val="24"/>
          <w:szCs w:val="24"/>
        </w:rPr>
      </w:pPr>
      <w:r>
        <w:rPr>
          <w:rFonts w:hint="eastAsia" w:ascii="宋体" w:hAnsi="宋体" w:cs="宋体"/>
          <w:sz w:val="24"/>
          <w:szCs w:val="24"/>
        </w:rPr>
        <w:t>违反药品单次最大用量约束</w:t>
      </w:r>
    </w:p>
    <w:p>
      <w:pPr>
        <w:spacing w:line="360" w:lineRule="auto"/>
        <w:ind w:hanging="1"/>
        <w:rPr>
          <w:rFonts w:ascii="宋体" w:hAnsi="宋体" w:cs="宋体"/>
        </w:rPr>
      </w:pPr>
      <w:r>
        <w:rPr>
          <w:rFonts w:hint="eastAsia" w:ascii="宋体" w:hAnsi="宋体" w:cs="宋体"/>
        </w:rPr>
        <w:t>审核患者使用的单个药品一次用药量是否超过该药品说明书上限制的单次最大剂量，以避免用药过量导致不良反应。</w:t>
      </w:r>
    </w:p>
    <w:p>
      <w:pPr>
        <w:pStyle w:val="3"/>
        <w:ind w:left="137" w:hanging="137" w:hangingChars="57"/>
        <w:rPr>
          <w:rFonts w:ascii="宋体" w:hAnsi="宋体" w:cs="宋体"/>
          <w:sz w:val="24"/>
          <w:szCs w:val="24"/>
        </w:rPr>
      </w:pPr>
      <w:r>
        <w:rPr>
          <w:rFonts w:hint="eastAsia" w:ascii="宋体" w:hAnsi="宋体" w:cs="宋体"/>
          <w:sz w:val="24"/>
          <w:szCs w:val="24"/>
        </w:rPr>
        <w:t>违反药品单日最大用量约束</w:t>
      </w:r>
    </w:p>
    <w:p>
      <w:pPr>
        <w:spacing w:line="360" w:lineRule="auto"/>
        <w:ind w:firstLine="2"/>
        <w:rPr>
          <w:rFonts w:ascii="宋体" w:hAnsi="宋体" w:cs="宋体"/>
        </w:rPr>
      </w:pPr>
      <w:r>
        <w:rPr>
          <w:rFonts w:hint="eastAsia" w:ascii="宋体" w:hAnsi="宋体" w:cs="宋体"/>
        </w:rPr>
        <w:t>审核患者使用的单个药品一日总用药量是否超过该药品说明书上限制的单日最大剂量，以避免用药过量导致不良反应。</w:t>
      </w:r>
    </w:p>
    <w:p>
      <w:pPr>
        <w:pStyle w:val="3"/>
        <w:ind w:left="140" w:hanging="140" w:hangingChars="58"/>
        <w:rPr>
          <w:rFonts w:ascii="宋体" w:hAnsi="宋体" w:cs="宋体"/>
          <w:color w:val="000000"/>
          <w:sz w:val="24"/>
          <w:szCs w:val="24"/>
        </w:rPr>
      </w:pPr>
      <w:r>
        <w:rPr>
          <w:rFonts w:hint="eastAsia" w:ascii="宋体" w:hAnsi="宋体" w:cs="宋体"/>
          <w:color w:val="000000"/>
          <w:sz w:val="24"/>
          <w:szCs w:val="24"/>
        </w:rPr>
        <w:t>违反药品最大使用疗程约束（包括门特患者审核周期内总量限制）</w:t>
      </w:r>
    </w:p>
    <w:p>
      <w:pPr>
        <w:spacing w:line="360" w:lineRule="auto"/>
        <w:ind w:hanging="6"/>
        <w:rPr>
          <w:rFonts w:ascii="宋体" w:hAnsi="宋体" w:cs="宋体"/>
        </w:rPr>
      </w:pPr>
      <w:r>
        <w:rPr>
          <w:rFonts w:hint="eastAsia" w:ascii="宋体" w:hAnsi="宋体" w:cs="宋体"/>
          <w:color w:val="000000"/>
        </w:rPr>
        <w:t>审核患者单个药品使用的天数是否超过该药品说明书上限制的最大疗程天数，以避免用药过量导致不良反应。</w:t>
      </w:r>
    </w:p>
    <w:p>
      <w:pPr>
        <w:pStyle w:val="3"/>
        <w:ind w:firstLine="1"/>
        <w:rPr>
          <w:rFonts w:ascii="宋体" w:hAnsi="宋体" w:cs="宋体"/>
          <w:sz w:val="24"/>
          <w:szCs w:val="24"/>
        </w:rPr>
      </w:pPr>
      <w:r>
        <w:rPr>
          <w:rFonts w:hint="eastAsia" w:ascii="宋体" w:hAnsi="宋体" w:cs="宋体"/>
          <w:sz w:val="24"/>
          <w:szCs w:val="24"/>
        </w:rPr>
        <w:t>违反诊疗项目性别限制约束</w:t>
      </w:r>
    </w:p>
    <w:p>
      <w:pPr>
        <w:spacing w:line="360" w:lineRule="auto"/>
        <w:ind w:firstLine="1"/>
        <w:rPr>
          <w:rFonts w:ascii="宋体" w:hAnsi="宋体" w:cs="宋体"/>
        </w:rPr>
      </w:pPr>
      <w:r>
        <w:rPr>
          <w:rFonts w:hint="eastAsia" w:ascii="宋体" w:hAnsi="宋体" w:cs="宋体"/>
        </w:rPr>
        <w:t>如患者使用了具有明显性别特点的项目，审核患者性别是否符合规定。</w:t>
      </w:r>
    </w:p>
    <w:p>
      <w:pPr>
        <w:pStyle w:val="3"/>
        <w:ind w:firstLine="1"/>
        <w:rPr>
          <w:rFonts w:ascii="宋体" w:hAnsi="宋体" w:cs="宋体"/>
          <w:sz w:val="24"/>
          <w:szCs w:val="24"/>
        </w:rPr>
      </w:pPr>
      <w:r>
        <w:rPr>
          <w:rFonts w:hint="eastAsia" w:ascii="宋体" w:hAnsi="宋体" w:cs="宋体"/>
          <w:sz w:val="24"/>
          <w:szCs w:val="24"/>
        </w:rPr>
        <w:t>违反项目适用前提约束</w:t>
      </w:r>
    </w:p>
    <w:p>
      <w:pPr>
        <w:spacing w:line="360" w:lineRule="auto"/>
        <w:ind w:firstLine="1"/>
        <w:rPr>
          <w:rFonts w:ascii="宋体" w:hAnsi="宋体" w:cs="宋体"/>
        </w:rPr>
      </w:pPr>
      <w:r>
        <w:rPr>
          <w:rFonts w:hint="eastAsia" w:ascii="宋体" w:hAnsi="宋体" w:cs="宋体"/>
        </w:rPr>
        <w:t>审核收取一个项目的费用之前（或同一天内），是否收取了与之存在关联性的前提项目的费用（如“射频消融术”是“射频导管”的前提项目）。</w:t>
      </w:r>
    </w:p>
    <w:p>
      <w:pPr>
        <w:pStyle w:val="2"/>
        <w:numPr>
          <w:ilvl w:val="0"/>
          <w:numId w:val="2"/>
        </w:numPr>
        <w:tabs>
          <w:tab w:val="left" w:pos="0"/>
          <w:tab w:val="left" w:pos="420"/>
          <w:tab w:val="clear" w:pos="576"/>
        </w:tabs>
        <w:jc w:val="left"/>
        <w:rPr>
          <w:rFonts w:ascii="宋体" w:hAnsi="宋体" w:cs="宋体"/>
          <w:sz w:val="24"/>
          <w:szCs w:val="24"/>
        </w:rPr>
      </w:pPr>
      <w:r>
        <w:rPr>
          <w:rFonts w:hint="eastAsia" w:ascii="宋体" w:hAnsi="宋体" w:cs="宋体"/>
          <w:sz w:val="24"/>
          <w:szCs w:val="24"/>
        </w:rPr>
        <w:t>医保知识库主要内容</w:t>
      </w:r>
    </w:p>
    <w:p>
      <w:pPr>
        <w:spacing w:line="360" w:lineRule="auto"/>
        <w:rPr>
          <w:rFonts w:ascii="宋体" w:hAnsi="宋体" w:cs="宋体"/>
        </w:rPr>
      </w:pPr>
      <w:r>
        <w:rPr>
          <w:rFonts w:hint="eastAsia" w:ascii="宋体" w:hAnsi="宋体" w:cs="宋体"/>
        </w:rPr>
        <w:t>注：以下为知识库的规则示例，实际生产使用规则以成都市市医保和门特审核规则为准。</w:t>
      </w:r>
    </w:p>
    <w:p>
      <w:pPr>
        <w:pStyle w:val="3"/>
        <w:ind w:firstLine="1"/>
        <w:rPr>
          <w:rFonts w:ascii="宋体" w:hAnsi="宋体" w:cs="宋体"/>
          <w:sz w:val="24"/>
          <w:szCs w:val="24"/>
        </w:rPr>
      </w:pPr>
      <w:r>
        <w:rPr>
          <w:rFonts w:hint="eastAsia" w:ascii="宋体" w:hAnsi="宋体" w:cs="宋体"/>
          <w:sz w:val="24"/>
          <w:szCs w:val="24"/>
        </w:rPr>
        <w:t>1．违反药品限制使用条件约束</w:t>
      </w:r>
    </w:p>
    <w:p>
      <w:pPr>
        <w:spacing w:line="360" w:lineRule="auto"/>
        <w:ind w:hanging="142"/>
        <w:rPr>
          <w:rFonts w:hint="eastAsia" w:ascii="宋体" w:hAnsi="宋体" w:cs="宋体"/>
        </w:rPr>
      </w:pPr>
      <w:r>
        <w:rPr>
          <w:rFonts w:hint="eastAsia" w:ascii="宋体" w:hAnsi="宋体" w:cs="宋体"/>
        </w:rPr>
        <w:t xml:space="preserve"> 针对使用了指定范围内药品的患者，判断其诊断、诊疗项目、就医医院等级、险种类型、年龄等是否符合限制使用条件约束。</w:t>
      </w:r>
    </w:p>
    <w:p>
      <w:pPr>
        <w:pStyle w:val="5"/>
        <w:numPr>
          <w:ilvl w:val="0"/>
          <w:numId w:val="3"/>
        </w:numPr>
        <w:rPr>
          <w:rFonts w:hint="eastAsia" w:ascii="宋体" w:hAnsi="宋体" w:cs="宋体"/>
          <w:b/>
          <w:bCs/>
          <w:sz w:val="24"/>
          <w:szCs w:val="24"/>
        </w:rPr>
      </w:pPr>
      <w:r>
        <w:rPr>
          <w:rFonts w:hint="eastAsia" w:ascii="宋体" w:hAnsi="宋体" w:cs="宋体"/>
          <w:b/>
          <w:bCs/>
          <w:sz w:val="24"/>
          <w:szCs w:val="24"/>
        </w:rPr>
        <w:t>提醒规则</w:t>
      </w:r>
    </w:p>
    <w:p>
      <w:r>
        <w:rPr>
          <w:rFonts w:hint="eastAsia"/>
        </w:rPr>
        <w:t>审核复杂逻辑限制条件，使用即提醒。</w:t>
      </w:r>
    </w:p>
    <w:p>
      <w:pPr>
        <w:pStyle w:val="3"/>
        <w:rPr>
          <w:rFonts w:ascii="宋体" w:hAnsi="宋体" w:cs="宋体"/>
          <w:sz w:val="24"/>
          <w:szCs w:val="24"/>
        </w:rPr>
      </w:pPr>
      <w:r>
        <w:rPr>
          <w:rFonts w:hint="eastAsia" w:ascii="宋体" w:hAnsi="宋体" w:cs="宋体"/>
          <w:sz w:val="24"/>
          <w:szCs w:val="24"/>
        </w:rPr>
        <w:t>3．违反阶梯用药约束</w:t>
      </w:r>
    </w:p>
    <w:p>
      <w:pPr>
        <w:spacing w:line="360" w:lineRule="auto"/>
        <w:rPr>
          <w:rFonts w:ascii="宋体" w:hAnsi="宋体" w:cs="宋体"/>
        </w:rPr>
      </w:pPr>
      <w:r>
        <w:rPr>
          <w:rFonts w:hint="eastAsia" w:ascii="宋体" w:hAnsi="宋体" w:cs="宋体"/>
        </w:rPr>
        <w:t>审核患者本次就诊（或过去一段时间内）是否使用过一线药品。</w:t>
      </w:r>
    </w:p>
    <w:p>
      <w:pPr>
        <w:pStyle w:val="3"/>
        <w:ind w:left="2262" w:hanging="2262" w:hangingChars="939"/>
        <w:rPr>
          <w:rFonts w:ascii="宋体" w:hAnsi="宋体" w:cs="宋体"/>
          <w:sz w:val="24"/>
          <w:szCs w:val="24"/>
        </w:rPr>
      </w:pPr>
      <w:r>
        <w:rPr>
          <w:rFonts w:hint="eastAsia" w:ascii="宋体" w:hAnsi="宋体" w:cs="宋体"/>
          <w:sz w:val="24"/>
          <w:szCs w:val="24"/>
        </w:rPr>
        <w:t>4．违反药品最小分类叠加使用约束</w:t>
      </w:r>
    </w:p>
    <w:p>
      <w:pPr>
        <w:spacing w:line="360" w:lineRule="auto"/>
        <w:ind w:left="53" w:hanging="52" w:hangingChars="25"/>
        <w:rPr>
          <w:rFonts w:ascii="宋体" w:hAnsi="宋体" w:cs="宋体"/>
        </w:rPr>
      </w:pPr>
      <w:r>
        <w:rPr>
          <w:rFonts w:hint="eastAsia" w:ascii="宋体" w:hAnsi="宋体" w:cs="宋体"/>
        </w:rPr>
        <w:t>审核同一天内，是否使用了两种或两种以上药品目录中最小分类下的（同类或相同给药途径的）同类药品。</w:t>
      </w:r>
    </w:p>
    <w:p>
      <w:pPr>
        <w:pStyle w:val="3"/>
        <w:ind w:firstLine="2"/>
        <w:rPr>
          <w:rFonts w:ascii="宋体" w:hAnsi="宋体" w:cs="宋体"/>
          <w:sz w:val="24"/>
          <w:szCs w:val="24"/>
        </w:rPr>
      </w:pPr>
      <w:r>
        <w:rPr>
          <w:rFonts w:hint="eastAsia" w:ascii="宋体" w:hAnsi="宋体" w:cs="宋体"/>
          <w:sz w:val="24"/>
          <w:szCs w:val="24"/>
        </w:rPr>
        <w:t>5．违反分解收费约束</w:t>
      </w:r>
    </w:p>
    <w:p>
      <w:pPr>
        <w:spacing w:line="360" w:lineRule="auto"/>
        <w:ind w:hanging="1"/>
        <w:rPr>
          <w:rFonts w:ascii="宋体" w:hAnsi="宋体" w:cs="宋体"/>
        </w:rPr>
      </w:pPr>
      <w:r>
        <w:rPr>
          <w:rFonts w:hint="eastAsia" w:ascii="宋体" w:hAnsi="宋体" w:cs="宋体"/>
        </w:rPr>
        <w:t>审核一次就诊或同一天内，是否同时收取了审核对象与主项目的费用。主项目指“项目内涵”含审核对象的项目。</w:t>
      </w:r>
    </w:p>
    <w:p>
      <w:pPr>
        <w:pStyle w:val="3"/>
        <w:ind w:firstLine="2"/>
        <w:rPr>
          <w:rFonts w:ascii="宋体" w:hAnsi="宋体" w:cs="宋体"/>
          <w:sz w:val="24"/>
          <w:szCs w:val="24"/>
        </w:rPr>
      </w:pPr>
      <w:r>
        <w:rPr>
          <w:rFonts w:hint="eastAsia" w:ascii="宋体" w:hAnsi="宋体" w:cs="宋体"/>
          <w:sz w:val="24"/>
          <w:szCs w:val="24"/>
        </w:rPr>
        <w:t>6．违反医院等级（类型）约束</w:t>
      </w:r>
    </w:p>
    <w:p>
      <w:pPr>
        <w:spacing w:line="360" w:lineRule="auto"/>
        <w:rPr>
          <w:rFonts w:ascii="宋体" w:hAnsi="宋体" w:cs="宋体"/>
        </w:rPr>
      </w:pPr>
      <w:r>
        <w:rPr>
          <w:rFonts w:hint="eastAsia" w:ascii="宋体" w:hAnsi="宋体" w:cs="宋体"/>
        </w:rPr>
        <w:t>审核患者本次就诊的医院类型是否符合医保政策规定。</w:t>
      </w:r>
    </w:p>
    <w:p>
      <w:pPr>
        <w:pStyle w:val="3"/>
        <w:ind w:firstLine="2"/>
        <w:rPr>
          <w:rFonts w:ascii="宋体" w:hAnsi="宋体" w:cs="宋体"/>
          <w:sz w:val="24"/>
          <w:szCs w:val="24"/>
        </w:rPr>
      </w:pPr>
      <w:r>
        <w:rPr>
          <w:rFonts w:hint="eastAsia" w:ascii="宋体" w:hAnsi="宋体" w:cs="宋体"/>
          <w:sz w:val="24"/>
          <w:szCs w:val="24"/>
        </w:rPr>
        <w:t>7．违反险种类型约束</w:t>
      </w:r>
    </w:p>
    <w:p>
      <w:pPr>
        <w:spacing w:line="360" w:lineRule="auto"/>
        <w:rPr>
          <w:rFonts w:ascii="宋体" w:hAnsi="宋体" w:cs="宋体"/>
        </w:rPr>
      </w:pPr>
      <w:r>
        <w:rPr>
          <w:rFonts w:hint="eastAsia" w:ascii="宋体" w:hAnsi="宋体" w:cs="宋体"/>
        </w:rPr>
        <w:t>针对使用了指定范围内项目的患者，审核其险种是否符合规定。</w:t>
      </w:r>
    </w:p>
    <w:p>
      <w:pPr>
        <w:pStyle w:val="3"/>
        <w:ind w:firstLine="2"/>
        <w:rPr>
          <w:rFonts w:ascii="宋体" w:hAnsi="宋体" w:cs="宋体"/>
          <w:sz w:val="24"/>
          <w:szCs w:val="24"/>
        </w:rPr>
      </w:pPr>
      <w:r>
        <w:rPr>
          <w:rFonts w:hint="eastAsia" w:ascii="宋体" w:hAnsi="宋体" w:cs="宋体"/>
          <w:sz w:val="24"/>
          <w:szCs w:val="24"/>
        </w:rPr>
        <w:t>8．违反限儿童支付使用约束</w:t>
      </w:r>
    </w:p>
    <w:p>
      <w:pPr>
        <w:spacing w:line="360" w:lineRule="auto"/>
        <w:rPr>
          <w:rFonts w:ascii="宋体" w:hAnsi="宋体" w:cs="宋体"/>
        </w:rPr>
      </w:pPr>
      <w:r>
        <w:rPr>
          <w:rFonts w:hint="eastAsia" w:ascii="宋体" w:hAnsi="宋体" w:cs="宋体"/>
        </w:rPr>
        <w:t>针对使用了指定范围内项目的患者，审核其年龄是否符合规定。</w:t>
      </w:r>
    </w:p>
    <w:p>
      <w:pPr>
        <w:pStyle w:val="3"/>
        <w:ind w:firstLine="2"/>
        <w:rPr>
          <w:rFonts w:ascii="宋体" w:hAnsi="宋体" w:cs="宋体"/>
          <w:sz w:val="24"/>
          <w:szCs w:val="24"/>
        </w:rPr>
      </w:pPr>
      <w:r>
        <w:rPr>
          <w:rFonts w:hint="eastAsia" w:ascii="宋体" w:hAnsi="宋体" w:cs="宋体"/>
          <w:sz w:val="24"/>
          <w:szCs w:val="24"/>
        </w:rPr>
        <w:t>9．违反频次限定约束</w:t>
      </w:r>
    </w:p>
    <w:p>
      <w:pPr>
        <w:spacing w:line="360" w:lineRule="auto"/>
        <w:rPr>
          <w:rFonts w:ascii="宋体" w:hAnsi="宋体" w:cs="宋体"/>
        </w:rPr>
      </w:pPr>
      <w:r>
        <w:rPr>
          <w:rFonts w:hint="eastAsia" w:ascii="宋体" w:hAnsi="宋体" w:cs="宋体"/>
        </w:rPr>
        <w:t>审核项目在规定时间段内（一天或一次就诊）总频次是否超过医保规定的数量。</w:t>
      </w:r>
    </w:p>
    <w:p>
      <w:pPr>
        <w:pStyle w:val="3"/>
        <w:ind w:left="60" w:hanging="60" w:hangingChars="25"/>
        <w:rPr>
          <w:rFonts w:ascii="宋体" w:hAnsi="宋体" w:cs="宋体"/>
          <w:sz w:val="24"/>
          <w:szCs w:val="24"/>
        </w:rPr>
      </w:pPr>
      <w:r>
        <w:rPr>
          <w:rFonts w:hint="eastAsia" w:ascii="宋体" w:hAnsi="宋体" w:cs="宋体"/>
          <w:sz w:val="24"/>
          <w:szCs w:val="24"/>
        </w:rPr>
        <w:t>10．违反总额限定约束</w:t>
      </w:r>
    </w:p>
    <w:p>
      <w:pPr>
        <w:spacing w:line="360" w:lineRule="auto"/>
        <w:ind w:left="53" w:hanging="52" w:hangingChars="25"/>
        <w:rPr>
          <w:rFonts w:ascii="宋体" w:hAnsi="宋体" w:cs="宋体"/>
        </w:rPr>
      </w:pPr>
      <w:r>
        <w:rPr>
          <w:rFonts w:hint="eastAsia" w:ascii="宋体" w:hAnsi="宋体" w:cs="宋体"/>
        </w:rPr>
        <w:t>在指定时间范围内（一次、一天、一次住院），判断当前项目（与其所属组别的其它项目）总额是否超过规定的限额。</w:t>
      </w:r>
    </w:p>
    <w:p>
      <w:pPr>
        <w:pStyle w:val="3"/>
        <w:ind w:firstLine="2"/>
        <w:rPr>
          <w:rFonts w:ascii="宋体" w:hAnsi="宋体" w:cs="宋体"/>
          <w:sz w:val="24"/>
          <w:szCs w:val="24"/>
        </w:rPr>
      </w:pPr>
      <w:r>
        <w:rPr>
          <w:rFonts w:hint="eastAsia" w:ascii="宋体" w:hAnsi="宋体" w:cs="宋体"/>
          <w:sz w:val="24"/>
          <w:szCs w:val="24"/>
        </w:rPr>
        <w:t>11．违反门特病种用药范围约束</w:t>
      </w:r>
    </w:p>
    <w:p>
      <w:pPr>
        <w:spacing w:line="360" w:lineRule="auto"/>
        <w:ind w:firstLine="2"/>
        <w:rPr>
          <w:rFonts w:ascii="宋体" w:hAnsi="宋体" w:cs="宋体"/>
        </w:rPr>
      </w:pPr>
      <w:r>
        <w:rPr>
          <w:rFonts w:hint="eastAsia" w:ascii="宋体" w:hAnsi="宋体" w:cs="宋体"/>
        </w:rPr>
        <w:t>审核当前药品是否符合患者申请门特病种的用药范围。</w:t>
      </w:r>
    </w:p>
    <w:p>
      <w:pPr>
        <w:spacing w:line="360" w:lineRule="auto"/>
        <w:rPr>
          <w:rFonts w:ascii="宋体" w:hAnsi="宋体" w:cs="宋体"/>
        </w:rPr>
      </w:pPr>
    </w:p>
    <w:p>
      <w:pPr>
        <w:pStyle w:val="3"/>
        <w:rPr>
          <w:rFonts w:ascii="宋体" w:hAnsi="宋体" w:cs="宋体"/>
          <w:sz w:val="24"/>
          <w:szCs w:val="24"/>
        </w:rPr>
      </w:pPr>
      <w:r>
        <w:rPr>
          <w:rFonts w:hint="eastAsia" w:ascii="宋体" w:hAnsi="宋体" w:cs="宋体"/>
          <w:sz w:val="24"/>
          <w:szCs w:val="24"/>
        </w:rPr>
        <w:t>12．违反特定条件下频次限定约束</w:t>
      </w:r>
    </w:p>
    <w:p>
      <w:pPr>
        <w:spacing w:line="360" w:lineRule="auto"/>
        <w:ind w:left="53" w:hanging="52" w:hangingChars="25"/>
        <w:rPr>
          <w:rFonts w:ascii="宋体" w:hAnsi="宋体" w:cs="宋体"/>
        </w:rPr>
      </w:pPr>
      <w:r>
        <w:rPr>
          <w:rFonts w:hint="eastAsia" w:ascii="宋体" w:hAnsi="宋体" w:cs="宋体"/>
        </w:rPr>
        <w:t>同一诊疗项目在指定情况下可用X次，其他情况下可用Y次。</w:t>
      </w:r>
      <w:r>
        <w:rPr>
          <w:rFonts w:hint="eastAsia" w:ascii="宋体" w:hAnsi="宋体" w:cs="宋体"/>
        </w:rPr>
        <w:tab/>
      </w:r>
    </w:p>
    <w:p>
      <w:pPr>
        <w:pStyle w:val="2"/>
        <w:tabs>
          <w:tab w:val="left" w:pos="0"/>
          <w:tab w:val="left" w:pos="420"/>
          <w:tab w:val="clear" w:pos="576"/>
        </w:tabs>
        <w:jc w:val="left"/>
        <w:rPr>
          <w:rFonts w:hint="eastAsia" w:ascii="宋体" w:hAnsi="宋体" w:cs="宋体"/>
          <w:sz w:val="24"/>
          <w:szCs w:val="24"/>
        </w:rPr>
      </w:pPr>
      <w:r>
        <w:rPr>
          <w:rFonts w:hint="eastAsia" w:ascii="宋体" w:hAnsi="宋体" w:cs="宋体"/>
          <w:sz w:val="24"/>
          <w:szCs w:val="24"/>
        </w:rPr>
        <w:t>三、审核功能</w:t>
      </w:r>
    </w:p>
    <w:p>
      <w:pPr>
        <w:pStyle w:val="2"/>
        <w:tabs>
          <w:tab w:val="left" w:pos="0"/>
          <w:tab w:val="left" w:pos="420"/>
          <w:tab w:val="clear" w:pos="576"/>
        </w:tabs>
        <w:jc w:val="left"/>
        <w:rPr>
          <w:rFonts w:ascii="宋体" w:hAnsi="宋体" w:cs="宋体"/>
          <w:sz w:val="24"/>
          <w:szCs w:val="24"/>
        </w:rPr>
      </w:pPr>
      <w:r>
        <w:rPr>
          <w:rFonts w:hint="eastAsia" w:ascii="宋体" w:hAnsi="宋体" w:cs="宋体"/>
          <w:sz w:val="24"/>
          <w:szCs w:val="24"/>
        </w:rPr>
        <w:t>1．门特处方审核</w:t>
      </w:r>
    </w:p>
    <w:p>
      <w:pPr>
        <w:spacing w:line="360" w:lineRule="auto"/>
        <w:rPr>
          <w:rFonts w:ascii="宋体" w:hAnsi="宋体" w:cs="宋体"/>
        </w:rPr>
      </w:pPr>
      <w:r>
        <w:rPr>
          <w:rFonts w:hint="eastAsia" w:ascii="宋体" w:hAnsi="宋体" w:cs="宋体"/>
        </w:rPr>
        <w:t>用于医疗行为的发生过程中，当医师给门特患者开具</w:t>
      </w:r>
      <w:r>
        <w:rPr>
          <w:rFonts w:hint="eastAsia"/>
        </w:rPr>
        <w:t>门特处方</w:t>
      </w:r>
      <w:r>
        <w:rPr>
          <w:rFonts w:hint="eastAsia" w:ascii="宋体" w:hAnsi="宋体" w:cs="宋体"/>
        </w:rPr>
        <w:t>时，智能审方系统将对其合理性、合规性给出实时判断，当有异常（违规）时及时提醒该医师；同时向医师提供异常（违规）处方内容的处置功能（包括：项目置换、改自费、继续开具）。</w:t>
      </w:r>
    </w:p>
    <w:p>
      <w:pPr>
        <w:pStyle w:val="3"/>
        <w:numPr>
          <w:ilvl w:val="0"/>
          <w:numId w:val="4"/>
        </w:numPr>
        <w:rPr>
          <w:rFonts w:hint="eastAsia" w:ascii="宋体" w:hAnsi="宋体" w:cs="宋体"/>
          <w:sz w:val="24"/>
          <w:szCs w:val="24"/>
        </w:rPr>
      </w:pPr>
      <w:r>
        <w:rPr>
          <w:rFonts w:hint="eastAsia" w:ascii="宋体" w:hAnsi="宋体" w:cs="宋体"/>
          <w:sz w:val="24"/>
          <w:szCs w:val="24"/>
        </w:rPr>
        <w:t>医师治疗方案实时提醒</w:t>
      </w:r>
    </w:p>
    <w:p>
      <w:pPr>
        <w:spacing w:line="360" w:lineRule="auto"/>
        <w:rPr>
          <w:rFonts w:hint="eastAsia" w:ascii="宋体" w:hAnsi="宋体" w:cs="宋体"/>
        </w:rPr>
      </w:pPr>
      <w:r>
        <w:rPr>
          <w:rFonts w:hint="eastAsia"/>
        </w:rPr>
        <w:t>医师在开具门特治疗方案时，</w:t>
      </w:r>
      <w:r>
        <w:rPr>
          <w:rFonts w:hint="eastAsia" w:ascii="宋体" w:hAnsi="宋体" w:cs="宋体"/>
        </w:rPr>
        <w:t>智能审方系统将对其合理性、合规性给出实时判断，当有异常（违规）时及时提醒该医师，</w:t>
      </w:r>
      <w:r>
        <w:rPr>
          <w:rFonts w:hint="eastAsia"/>
        </w:rPr>
        <w:t>在不干预医师医疗服务行为的前提下，从源头上避免违规行为的产生，加快医保门特管理政策的推广和落地。</w:t>
      </w:r>
    </w:p>
    <w:p>
      <w:pPr>
        <w:pStyle w:val="3"/>
        <w:rPr>
          <w:rFonts w:ascii="宋体" w:hAnsi="宋体" w:cs="宋体"/>
          <w:sz w:val="24"/>
          <w:szCs w:val="24"/>
        </w:rPr>
      </w:pPr>
      <w:r>
        <w:rPr>
          <w:rFonts w:hint="eastAsia" w:ascii="宋体" w:hAnsi="宋体" w:cs="宋体"/>
          <w:sz w:val="24"/>
          <w:szCs w:val="24"/>
        </w:rPr>
        <w:t>3．医保办治疗方案审核</w:t>
      </w:r>
    </w:p>
    <w:p>
      <w:pPr>
        <w:rPr>
          <w:rFonts w:hint="eastAsia"/>
        </w:rPr>
      </w:pPr>
      <w:r>
        <w:rPr>
          <w:rFonts w:hint="eastAsia"/>
        </w:rPr>
        <w:t>医保办对门特治疗方案进行审核时，HIS系统自动调用门特治疗方案智能审方服务进行审核，筛查出治疗方案中存在的违规疑点并提醒医保办工作人员。</w:t>
      </w:r>
    </w:p>
    <w:p>
      <w:pPr>
        <w:bidi w:val="0"/>
        <w:jc w:val="left"/>
        <w:rPr>
          <w:rFonts w:hint="default" w:cstheme="minorBidi"/>
          <w:b/>
          <w:bCs/>
          <w:kern w:val="2"/>
          <w:sz w:val="32"/>
          <w:szCs w:val="40"/>
          <w:lang w:val="en-US" w:eastAsia="zh-CN" w:bidi="ar-SA"/>
        </w:rPr>
      </w:pPr>
    </w:p>
    <w:p>
      <w:pPr>
        <w:bidi w:val="0"/>
        <w:jc w:val="left"/>
        <w:rPr>
          <w:rFonts w:hint="default" w:cstheme="minorBidi"/>
          <w:b/>
          <w:bCs/>
          <w:kern w:val="2"/>
          <w:sz w:val="32"/>
          <w:szCs w:val="40"/>
          <w:lang w:val="en-US" w:eastAsia="zh-CN" w:bidi="ar-SA"/>
        </w:rPr>
      </w:pPr>
    </w:p>
    <w:p>
      <w:pPr>
        <w:bidi w:val="0"/>
        <w:jc w:val="left"/>
        <w:rPr>
          <w:rFonts w:hint="default" w:cstheme="minorBidi"/>
          <w:b/>
          <w:bCs/>
          <w:kern w:val="2"/>
          <w:sz w:val="32"/>
          <w:szCs w:val="40"/>
          <w:lang w:val="en-US" w:eastAsia="zh-CN" w:bidi="ar-SA"/>
        </w:rPr>
      </w:pPr>
    </w:p>
    <w:p>
      <w:pPr>
        <w:bidi w:val="0"/>
        <w:jc w:val="left"/>
        <w:rPr>
          <w:rFonts w:hint="default" w:cstheme="minorBidi"/>
          <w:b/>
          <w:bCs/>
          <w:kern w:val="2"/>
          <w:sz w:val="32"/>
          <w:szCs w:val="40"/>
          <w:lang w:val="en-US" w:eastAsia="zh-CN" w:bidi="ar-SA"/>
        </w:rPr>
      </w:pPr>
    </w:p>
    <w:p>
      <w:pPr>
        <w:bidi w:val="0"/>
        <w:jc w:val="left"/>
        <w:rPr>
          <w:rFonts w:hint="default" w:cstheme="minorBidi"/>
          <w:b/>
          <w:bCs/>
          <w:kern w:val="2"/>
          <w:sz w:val="32"/>
          <w:szCs w:val="40"/>
          <w:lang w:val="en-US" w:eastAsia="zh-CN" w:bidi="ar-SA"/>
        </w:rPr>
      </w:pPr>
    </w:p>
    <w:p>
      <w:pPr>
        <w:bidi w:val="0"/>
        <w:jc w:val="left"/>
        <w:rPr>
          <w:rFonts w:hint="default" w:cstheme="minorBidi"/>
          <w:b/>
          <w:bCs/>
          <w:kern w:val="2"/>
          <w:sz w:val="32"/>
          <w:szCs w:val="40"/>
          <w:lang w:val="en-US" w:eastAsia="zh-CN" w:bidi="ar-SA"/>
        </w:rPr>
      </w:pPr>
    </w:p>
    <w:p>
      <w:pPr>
        <w:bidi w:val="0"/>
        <w:jc w:val="left"/>
        <w:rPr>
          <w:rFonts w:hint="default" w:cstheme="minorBidi"/>
          <w:b/>
          <w:bCs/>
          <w:kern w:val="2"/>
          <w:sz w:val="32"/>
          <w:szCs w:val="40"/>
          <w:lang w:val="en-US" w:eastAsia="zh-CN" w:bidi="ar-SA"/>
        </w:rPr>
      </w:pPr>
    </w:p>
    <w:p>
      <w:pPr>
        <w:bidi w:val="0"/>
        <w:jc w:val="left"/>
        <w:rPr>
          <w:rFonts w:hint="default" w:cstheme="minorBidi"/>
          <w:b/>
          <w:bCs/>
          <w:kern w:val="2"/>
          <w:sz w:val="32"/>
          <w:szCs w:val="40"/>
          <w:lang w:val="en-US" w:eastAsia="zh-CN" w:bidi="ar-SA"/>
        </w:rPr>
      </w:pPr>
    </w:p>
    <w:p>
      <w:pPr>
        <w:bidi w:val="0"/>
        <w:jc w:val="left"/>
        <w:rPr>
          <w:rFonts w:hint="default" w:cstheme="minorBidi"/>
          <w:b/>
          <w:bCs/>
          <w:kern w:val="2"/>
          <w:sz w:val="32"/>
          <w:szCs w:val="40"/>
          <w:lang w:val="en-US" w:eastAsia="zh-CN" w:bidi="ar-SA"/>
        </w:rPr>
      </w:pPr>
    </w:p>
    <w:p>
      <w:pPr>
        <w:bidi w:val="0"/>
        <w:jc w:val="left"/>
        <w:rPr>
          <w:rFonts w:hint="default" w:cstheme="minorBidi"/>
          <w:b/>
          <w:bCs/>
          <w:kern w:val="2"/>
          <w:sz w:val="32"/>
          <w:szCs w:val="40"/>
          <w:lang w:val="en-US" w:eastAsia="zh-CN" w:bidi="ar-SA"/>
        </w:rPr>
      </w:pPr>
    </w:p>
    <w:p>
      <w:pPr>
        <w:bidi w:val="0"/>
        <w:jc w:val="left"/>
        <w:rPr>
          <w:rFonts w:hint="default" w:cstheme="minorBidi"/>
          <w:b/>
          <w:bCs/>
          <w:kern w:val="2"/>
          <w:sz w:val="32"/>
          <w:szCs w:val="40"/>
          <w:lang w:val="en-US" w:eastAsia="zh-CN" w:bidi="ar-SA"/>
        </w:rPr>
      </w:pPr>
    </w:p>
    <w:p>
      <w:pPr>
        <w:bidi w:val="0"/>
        <w:jc w:val="left"/>
        <w:rPr>
          <w:rFonts w:hint="eastAsia" w:cstheme="minorBidi"/>
          <w:b/>
          <w:bCs/>
          <w:kern w:val="2"/>
          <w:sz w:val="32"/>
          <w:szCs w:val="40"/>
          <w:lang w:val="en-US" w:eastAsia="zh-CN" w:bidi="ar-SA"/>
        </w:rPr>
      </w:pPr>
      <w:r>
        <w:rPr>
          <w:rFonts w:hint="eastAsia" w:cstheme="minorBidi"/>
          <w:b/>
          <w:bCs/>
          <w:kern w:val="2"/>
          <w:sz w:val="32"/>
          <w:szCs w:val="40"/>
          <w:lang w:val="en-US" w:eastAsia="zh-CN" w:bidi="ar-SA"/>
        </w:rPr>
        <w:t>附件4：</w:t>
      </w:r>
    </w:p>
    <w:p>
      <w:pPr>
        <w:spacing w:after="0" w:line="360" w:lineRule="auto"/>
        <w:rPr>
          <w:rFonts w:ascii="微软雅黑" w:hAnsi="微软雅黑" w:cs="微软雅黑"/>
          <w:sz w:val="32"/>
          <w:szCs w:val="32"/>
        </w:rPr>
      </w:pPr>
      <w:r>
        <w:rPr>
          <w:rFonts w:hint="eastAsia" w:ascii="微软雅黑" w:hAnsi="微软雅黑" w:cs="微软雅黑"/>
          <w:sz w:val="32"/>
          <w:szCs w:val="32"/>
        </w:rPr>
        <w:t xml:space="preserve">“老年围手术期（择期非心脏手术）健康综合评估系统” </w:t>
      </w:r>
    </w:p>
    <w:p>
      <w:pPr>
        <w:pStyle w:val="2"/>
        <w:numPr>
          <w:ilvl w:val="1"/>
          <w:numId w:val="5"/>
        </w:numPr>
        <w:tabs>
          <w:tab w:val="left" w:pos="560"/>
          <w:tab w:val="clear" w:pos="576"/>
        </w:tabs>
        <w:adjustRightInd w:val="0"/>
        <w:snapToGrid w:val="0"/>
        <w:rPr>
          <w:rFonts w:hint="eastAsia" w:cs="微软雅黑"/>
          <w:b w:val="0"/>
          <w:sz w:val="30"/>
          <w:szCs w:val="30"/>
        </w:rPr>
      </w:pPr>
      <w:bookmarkStart w:id="10" w:name="_Toc366424151"/>
      <w:bookmarkStart w:id="11" w:name="_Toc53143264"/>
      <w:bookmarkStart w:id="12" w:name="_Toc332971262"/>
      <w:bookmarkStart w:id="13" w:name="_Toc366423485"/>
      <w:bookmarkStart w:id="14" w:name="_Toc366423097"/>
      <w:r>
        <w:rPr>
          <w:rFonts w:hint="eastAsia" w:cs="微软雅黑"/>
          <w:b w:val="0"/>
          <w:sz w:val="30"/>
          <w:szCs w:val="30"/>
        </w:rPr>
        <w:t>项目名称</w:t>
      </w:r>
      <w:bookmarkEnd w:id="10"/>
      <w:bookmarkEnd w:id="11"/>
      <w:bookmarkEnd w:id="12"/>
      <w:bookmarkEnd w:id="13"/>
      <w:bookmarkEnd w:id="14"/>
    </w:p>
    <w:p>
      <w:pPr>
        <w:spacing w:after="0" w:line="360" w:lineRule="auto"/>
        <w:ind w:firstLine="600" w:firstLineChars="200"/>
        <w:rPr>
          <w:rFonts w:hint="eastAsia" w:ascii="微软雅黑" w:hAnsi="微软雅黑" w:cs="微软雅黑"/>
          <w:sz w:val="30"/>
          <w:szCs w:val="30"/>
        </w:rPr>
      </w:pPr>
      <w:r>
        <w:rPr>
          <w:rFonts w:hint="eastAsia" w:ascii="微软雅黑" w:hAnsi="微软雅黑" w:cs="微软雅黑"/>
          <w:sz w:val="30"/>
          <w:szCs w:val="30"/>
        </w:rPr>
        <w:t>老年患者围术期（择期非心脏手术）综合评估软件系统服务</w:t>
      </w:r>
    </w:p>
    <w:p>
      <w:pPr>
        <w:pStyle w:val="2"/>
        <w:numPr>
          <w:ilvl w:val="1"/>
          <w:numId w:val="5"/>
        </w:numPr>
        <w:tabs>
          <w:tab w:val="left" w:pos="560"/>
          <w:tab w:val="clear" w:pos="576"/>
        </w:tabs>
        <w:adjustRightInd w:val="0"/>
        <w:snapToGrid w:val="0"/>
        <w:rPr>
          <w:rFonts w:hint="eastAsia" w:cs="微软雅黑"/>
          <w:b w:val="0"/>
          <w:sz w:val="30"/>
          <w:szCs w:val="30"/>
        </w:rPr>
      </w:pPr>
      <w:bookmarkStart w:id="15" w:name="_Toc53143266"/>
      <w:r>
        <w:rPr>
          <w:rFonts w:hint="eastAsia" w:cs="微软雅黑"/>
          <w:b w:val="0"/>
          <w:sz w:val="30"/>
          <w:szCs w:val="30"/>
        </w:rPr>
        <w:t>建设任务</w:t>
      </w:r>
      <w:bookmarkEnd w:id="15"/>
    </w:p>
    <w:p>
      <w:pPr>
        <w:spacing w:after="0" w:line="360" w:lineRule="auto"/>
        <w:ind w:firstLine="480" w:firstLineChars="200"/>
        <w:rPr>
          <w:rFonts w:hint="eastAsia" w:ascii="微软雅黑" w:hAnsi="微软雅黑" w:cs="微软雅黑"/>
          <w:sz w:val="24"/>
          <w:szCs w:val="24"/>
        </w:rPr>
      </w:pPr>
      <w:r>
        <w:rPr>
          <w:rFonts w:hint="eastAsia" w:ascii="微软雅黑" w:hAnsi="微软雅黑" w:cs="微软雅黑"/>
          <w:sz w:val="24"/>
          <w:szCs w:val="24"/>
        </w:rPr>
        <w:t>随着社会快速的老龄化，老年围术期患者存在多病共存，合并衰弱、疼痛、营养不良、血栓高风险、躯体功能障碍等多种老年问题，如果没有及时地评估和干预，老年患者的术后并发症、致残率、医疗费用会显著增高，甚至出现死亡的不良临床结局。使得老年科医师及外科医师越来越关注老年患者围术期的管理，老年综合评估是发现老年患者诸多问题的重要手段。</w:t>
      </w:r>
    </w:p>
    <w:p>
      <w:pPr>
        <w:spacing w:after="0" w:line="360" w:lineRule="auto"/>
        <w:ind w:firstLine="480" w:firstLineChars="200"/>
        <w:rPr>
          <w:rFonts w:hint="eastAsia" w:ascii="微软雅黑" w:hAnsi="微软雅黑" w:cs="微软雅黑"/>
          <w:sz w:val="24"/>
          <w:szCs w:val="24"/>
        </w:rPr>
      </w:pPr>
      <w:r>
        <w:rPr>
          <w:rFonts w:hint="eastAsia" w:ascii="微软雅黑" w:hAnsi="微软雅黑" w:cs="微软雅黑"/>
          <w:sz w:val="24"/>
          <w:szCs w:val="24"/>
        </w:rPr>
        <w:t>老年综合评估是国际和国内医学界公认的现代老年医学的核心诊断技术，是老年人全面健康的内容出发点，是作为国家重点专科必备的内容之一，也是明确老年病科需要开展的工作内容之一。对老年患者进行科学持续的综合评估，结合临床疾病诊断、药物治疗和康复治疗等，并给予连续性、全面干预和管理，能最大程度地维护和改善患者的健康与功能状态，改善老年患者的健康状况，并提高老年患者的生存质量；并能为专科治疗提供最大程度的协同管理和辅助。</w:t>
      </w:r>
    </w:p>
    <w:p>
      <w:pPr>
        <w:spacing w:after="0" w:line="360" w:lineRule="auto"/>
        <w:ind w:firstLine="480" w:firstLineChars="200"/>
        <w:rPr>
          <w:rFonts w:hint="eastAsia" w:ascii="微软雅黑" w:hAnsi="微软雅黑" w:cs="微软雅黑"/>
          <w:sz w:val="24"/>
          <w:szCs w:val="24"/>
        </w:rPr>
      </w:pPr>
      <w:r>
        <w:rPr>
          <w:rFonts w:hint="eastAsia" w:ascii="微软雅黑" w:hAnsi="微软雅黑" w:cs="微软雅黑"/>
          <w:sz w:val="24"/>
          <w:szCs w:val="24"/>
        </w:rPr>
        <w:t>具体体现在以下方面：</w:t>
      </w:r>
    </w:p>
    <w:p>
      <w:pPr>
        <w:numPr>
          <w:ilvl w:val="0"/>
          <w:numId w:val="6"/>
        </w:numPr>
        <w:spacing w:after="0" w:line="360" w:lineRule="auto"/>
        <w:ind w:firstLine="480" w:firstLineChars="200"/>
        <w:rPr>
          <w:rFonts w:hint="eastAsia" w:ascii="微软雅黑" w:hAnsi="微软雅黑"/>
          <w:sz w:val="24"/>
          <w:szCs w:val="24"/>
        </w:rPr>
      </w:pPr>
      <w:r>
        <w:rPr>
          <w:rFonts w:hint="eastAsia" w:ascii="微软雅黑" w:hAnsi="微软雅黑"/>
          <w:sz w:val="24"/>
          <w:szCs w:val="24"/>
        </w:rPr>
        <w:t>建立老年患者围术期（择期非心脏手术）综合评估软件一体化管理平台，实现老年围术期患者的统一管理。</w:t>
      </w:r>
    </w:p>
    <w:p>
      <w:pPr>
        <w:numPr>
          <w:ilvl w:val="0"/>
          <w:numId w:val="6"/>
        </w:numPr>
        <w:spacing w:after="0" w:line="360" w:lineRule="auto"/>
        <w:ind w:firstLine="480" w:firstLineChars="200"/>
        <w:rPr>
          <w:rFonts w:hint="eastAsia" w:ascii="微软雅黑" w:hAnsi="微软雅黑"/>
          <w:sz w:val="24"/>
          <w:szCs w:val="24"/>
        </w:rPr>
      </w:pPr>
      <w:r>
        <w:rPr>
          <w:rFonts w:hint="eastAsia" w:ascii="微软雅黑" w:hAnsi="微软雅黑"/>
          <w:sz w:val="24"/>
          <w:szCs w:val="24"/>
        </w:rPr>
        <w:t>建立老年围术期患者管理模式，以骨科为试点，逐步推广到普外科、泌尿外科等其他手术科室。</w:t>
      </w:r>
    </w:p>
    <w:p>
      <w:pPr>
        <w:numPr>
          <w:ilvl w:val="0"/>
          <w:numId w:val="6"/>
        </w:numPr>
        <w:spacing w:after="0" w:line="360" w:lineRule="auto"/>
        <w:ind w:firstLine="480" w:firstLineChars="200"/>
        <w:rPr>
          <w:rFonts w:hint="eastAsia" w:ascii="微软雅黑" w:hAnsi="微软雅黑"/>
          <w:sz w:val="24"/>
          <w:szCs w:val="24"/>
        </w:rPr>
      </w:pPr>
      <w:r>
        <w:rPr>
          <w:rFonts w:hint="eastAsia" w:ascii="微软雅黑" w:hAnsi="微软雅黑"/>
          <w:sz w:val="24"/>
          <w:szCs w:val="24"/>
        </w:rPr>
        <w:t>建立老年围术期患者数据库，对数据进行分析，建立术后并发症的预测模型，并进行验证。</w:t>
      </w:r>
    </w:p>
    <w:p>
      <w:pPr>
        <w:numPr>
          <w:ilvl w:val="0"/>
          <w:numId w:val="6"/>
        </w:numPr>
        <w:spacing w:after="0" w:line="360" w:lineRule="auto"/>
        <w:ind w:firstLine="480" w:firstLineChars="200"/>
        <w:rPr>
          <w:rFonts w:hint="eastAsia" w:ascii="微软雅黑" w:hAnsi="微软雅黑"/>
          <w:sz w:val="24"/>
          <w:szCs w:val="24"/>
        </w:rPr>
      </w:pPr>
      <w:r>
        <w:rPr>
          <w:rFonts w:hint="eastAsia" w:ascii="微软雅黑" w:hAnsi="微软雅黑"/>
          <w:sz w:val="24"/>
          <w:szCs w:val="24"/>
        </w:rPr>
        <w:t>全面提升医院老年围术期管理水平，打造老年围术期管理品牌，提升医院的影响力。</w:t>
      </w:r>
    </w:p>
    <w:p>
      <w:pPr>
        <w:spacing w:after="0" w:line="360" w:lineRule="auto"/>
        <w:ind w:firstLine="480" w:firstLineChars="200"/>
        <w:rPr>
          <w:rFonts w:hint="eastAsia" w:ascii="微软雅黑" w:hAnsi="微软雅黑" w:cs="微软雅黑"/>
          <w:sz w:val="24"/>
          <w:szCs w:val="24"/>
        </w:rPr>
      </w:pPr>
    </w:p>
    <w:p>
      <w:pPr>
        <w:spacing w:after="0" w:line="360" w:lineRule="auto"/>
        <w:rPr>
          <w:rFonts w:ascii="微软雅黑" w:hAnsi="微软雅黑" w:cs="微软雅黑"/>
          <w:sz w:val="24"/>
          <w:szCs w:val="24"/>
        </w:rPr>
      </w:pPr>
      <w:r>
        <w:rPr>
          <w:rFonts w:hint="eastAsia" w:ascii="微软雅黑" w:hAnsi="微软雅黑" w:cs="微软雅黑"/>
          <w:sz w:val="24"/>
          <w:szCs w:val="24"/>
        </w:rPr>
        <w:t>2、具体内容包含但不限于以下功能：</w:t>
      </w:r>
    </w:p>
    <w:p>
      <w:pPr>
        <w:tabs>
          <w:tab w:val="left" w:pos="312"/>
        </w:tabs>
        <w:spacing w:after="0" w:line="360" w:lineRule="auto"/>
        <w:rPr>
          <w:rFonts w:ascii="微软雅黑" w:hAnsi="微软雅黑" w:cs="微软雅黑"/>
          <w:sz w:val="24"/>
          <w:szCs w:val="24"/>
        </w:rPr>
      </w:pPr>
      <w:r>
        <w:rPr>
          <w:rFonts w:hint="eastAsia" w:ascii="微软雅黑" w:hAnsi="微软雅黑" w:cs="微软雅黑"/>
          <w:sz w:val="24"/>
          <w:szCs w:val="24"/>
        </w:rPr>
        <w:t>（1）一般资料</w:t>
      </w:r>
    </w:p>
    <w:p>
      <w:pPr>
        <w:spacing w:after="0" w:line="360" w:lineRule="auto"/>
        <w:ind w:firstLine="480" w:firstLineChars="200"/>
        <w:rPr>
          <w:rFonts w:ascii="微软雅黑" w:hAnsi="微软雅黑" w:cs="微软雅黑"/>
          <w:sz w:val="24"/>
          <w:szCs w:val="24"/>
        </w:rPr>
      </w:pPr>
      <w:r>
        <w:rPr>
          <w:rFonts w:hint="eastAsia" w:ascii="微软雅黑" w:hAnsi="微软雅黑" w:cs="微软雅黑"/>
          <w:sz w:val="24"/>
          <w:szCs w:val="24"/>
        </w:rPr>
        <w:t>包括患者姓名、性别、年龄等基本信息，以及婚姻状况、居住方式、受教育程度和医疗保障形式等。</w:t>
      </w:r>
    </w:p>
    <w:p>
      <w:pPr>
        <w:tabs>
          <w:tab w:val="left" w:pos="312"/>
        </w:tabs>
        <w:spacing w:after="0" w:line="360" w:lineRule="auto"/>
        <w:rPr>
          <w:rFonts w:ascii="微软雅黑" w:hAnsi="微软雅黑" w:cs="微软雅黑"/>
          <w:sz w:val="24"/>
          <w:szCs w:val="24"/>
        </w:rPr>
      </w:pPr>
      <w:r>
        <w:rPr>
          <w:rFonts w:hint="eastAsia" w:ascii="微软雅黑" w:hAnsi="微软雅黑" w:cs="微软雅黑"/>
          <w:sz w:val="24"/>
          <w:szCs w:val="24"/>
        </w:rPr>
        <w:t>（2）</w:t>
      </w:r>
      <w:r>
        <w:rPr>
          <w:rFonts w:ascii="微软雅黑" w:hAnsi="微软雅黑" w:cs="微软雅黑"/>
          <w:sz w:val="24"/>
          <w:szCs w:val="24"/>
        </w:rPr>
        <w:t>病历基础数据</w:t>
      </w:r>
    </w:p>
    <w:p>
      <w:pPr>
        <w:spacing w:after="0" w:line="360" w:lineRule="auto"/>
        <w:rPr>
          <w:rFonts w:ascii="微软雅黑" w:hAnsi="微软雅黑" w:cs="微软雅黑"/>
          <w:sz w:val="24"/>
          <w:szCs w:val="24"/>
        </w:rPr>
      </w:pPr>
      <w:r>
        <w:rPr>
          <w:rFonts w:hint="eastAsia" w:ascii="微软雅黑" w:hAnsi="微软雅黑" w:cs="微软雅黑"/>
          <w:sz w:val="24"/>
          <w:szCs w:val="24"/>
        </w:rPr>
        <w:t xml:space="preserve">       包括既往手术史、本次临床诊断、本次手术名称及方式、麻醉方式等。</w:t>
      </w:r>
    </w:p>
    <w:p>
      <w:pPr>
        <w:tabs>
          <w:tab w:val="left" w:pos="312"/>
        </w:tabs>
        <w:spacing w:after="0" w:line="360" w:lineRule="auto"/>
        <w:rPr>
          <w:rFonts w:ascii="微软雅黑" w:hAnsi="微软雅黑" w:cs="微软雅黑"/>
          <w:sz w:val="24"/>
          <w:szCs w:val="24"/>
        </w:rPr>
      </w:pPr>
      <w:r>
        <w:rPr>
          <w:rFonts w:hint="eastAsia" w:ascii="微软雅黑" w:hAnsi="微软雅黑" w:cs="微软雅黑"/>
          <w:sz w:val="24"/>
          <w:szCs w:val="24"/>
        </w:rPr>
        <w:t>（3）术前评估</w:t>
      </w:r>
    </w:p>
    <w:p>
      <w:pPr>
        <w:spacing w:after="0" w:line="360" w:lineRule="auto"/>
        <w:rPr>
          <w:rFonts w:ascii="微软雅黑" w:hAnsi="微软雅黑" w:cs="微软雅黑"/>
          <w:sz w:val="24"/>
          <w:szCs w:val="24"/>
        </w:rPr>
      </w:pPr>
      <w:r>
        <w:rPr>
          <w:rFonts w:hint="eastAsia" w:ascii="微软雅黑" w:hAnsi="微软雅黑" w:cs="微软雅黑"/>
          <w:sz w:val="24"/>
          <w:szCs w:val="24"/>
        </w:rPr>
        <w:t xml:space="preserve">        包括视力、听力、心功能、肺功能、术前疾病严重程度评估、老年综合征（包括疼痛、衰弱、认知功能障碍、便秘、尿失禁、焦虑、抑郁、睡眠障碍、吞咽障碍、营养不良、谵妄风险等）、血栓形成风险、手术出血风险、肝肾功能、电解质等评估。医护团队根据评估结果进行评估。</w:t>
      </w:r>
    </w:p>
    <w:p>
      <w:pPr>
        <w:tabs>
          <w:tab w:val="left" w:pos="312"/>
        </w:tabs>
        <w:spacing w:after="0" w:line="360" w:lineRule="auto"/>
        <w:rPr>
          <w:rFonts w:ascii="微软雅黑" w:hAnsi="微软雅黑" w:cs="微软雅黑"/>
          <w:sz w:val="24"/>
          <w:szCs w:val="24"/>
        </w:rPr>
      </w:pPr>
      <w:r>
        <w:rPr>
          <w:rFonts w:hint="eastAsia" w:ascii="微软雅黑" w:hAnsi="微软雅黑" w:cs="微软雅黑"/>
          <w:sz w:val="24"/>
          <w:szCs w:val="24"/>
        </w:rPr>
        <w:t>（4）</w:t>
      </w:r>
      <w:r>
        <w:rPr>
          <w:rFonts w:ascii="微软雅黑" w:hAnsi="微软雅黑" w:cs="微软雅黑"/>
          <w:sz w:val="24"/>
          <w:szCs w:val="24"/>
        </w:rPr>
        <w:t>术后并发症风险预测</w:t>
      </w:r>
    </w:p>
    <w:p>
      <w:pPr>
        <w:spacing w:after="0" w:line="360" w:lineRule="auto"/>
        <w:rPr>
          <w:rFonts w:ascii="微软雅黑" w:hAnsi="微软雅黑" w:cs="微软雅黑"/>
          <w:sz w:val="24"/>
          <w:szCs w:val="24"/>
        </w:rPr>
      </w:pPr>
      <w:r>
        <w:rPr>
          <w:rFonts w:hint="eastAsia" w:ascii="微软雅黑" w:hAnsi="微软雅黑" w:cs="微软雅黑"/>
          <w:sz w:val="24"/>
          <w:szCs w:val="24"/>
        </w:rPr>
        <w:t xml:space="preserve">       包括术后肺炎及其他肺部并发症、下肢深静脉血栓形成和肺栓塞的评估。</w:t>
      </w:r>
    </w:p>
    <w:p>
      <w:pPr>
        <w:tabs>
          <w:tab w:val="left" w:pos="312"/>
        </w:tabs>
        <w:spacing w:after="0" w:line="360" w:lineRule="auto"/>
        <w:rPr>
          <w:rFonts w:ascii="微软雅黑" w:hAnsi="微软雅黑" w:cs="微软雅黑"/>
          <w:sz w:val="24"/>
          <w:szCs w:val="24"/>
        </w:rPr>
      </w:pPr>
      <w:r>
        <w:rPr>
          <w:rFonts w:hint="eastAsia" w:ascii="微软雅黑" w:hAnsi="微软雅黑" w:cs="微软雅黑"/>
          <w:sz w:val="24"/>
          <w:szCs w:val="24"/>
        </w:rPr>
        <w:t>（5）</w:t>
      </w:r>
      <w:r>
        <w:rPr>
          <w:rFonts w:ascii="微软雅黑" w:hAnsi="微软雅黑" w:cs="微软雅黑"/>
          <w:sz w:val="24"/>
          <w:szCs w:val="24"/>
        </w:rPr>
        <w:t>术后评估</w:t>
      </w:r>
    </w:p>
    <w:p>
      <w:pPr>
        <w:spacing w:after="0" w:line="360" w:lineRule="auto"/>
        <w:rPr>
          <w:rFonts w:ascii="微软雅黑" w:hAnsi="微软雅黑" w:cs="微软雅黑"/>
          <w:sz w:val="24"/>
          <w:szCs w:val="24"/>
        </w:rPr>
      </w:pPr>
      <w:r>
        <w:rPr>
          <w:rFonts w:hint="eastAsia" w:ascii="微软雅黑" w:hAnsi="微软雅黑" w:cs="微软雅黑"/>
          <w:sz w:val="24"/>
          <w:szCs w:val="24"/>
        </w:rPr>
        <w:t xml:space="preserve">      包括术后是否入住ICU的记录，以及谵妄、疼痛、睡眠、感染、院内不良事件发生（跌倒、压疮等）的评估。</w:t>
      </w:r>
    </w:p>
    <w:p>
      <w:pPr>
        <w:tabs>
          <w:tab w:val="left" w:pos="312"/>
        </w:tabs>
        <w:spacing w:after="0" w:line="360" w:lineRule="auto"/>
        <w:rPr>
          <w:rFonts w:ascii="微软雅黑" w:hAnsi="微软雅黑" w:cs="微软雅黑"/>
          <w:sz w:val="24"/>
          <w:szCs w:val="24"/>
        </w:rPr>
      </w:pPr>
      <w:r>
        <w:rPr>
          <w:rFonts w:hint="eastAsia" w:ascii="微软雅黑" w:hAnsi="微软雅黑" w:cs="微软雅黑"/>
          <w:sz w:val="24"/>
          <w:szCs w:val="24"/>
        </w:rPr>
        <w:t>（6）出院前评估</w:t>
      </w:r>
    </w:p>
    <w:p>
      <w:pPr>
        <w:spacing w:after="0" w:line="360" w:lineRule="auto"/>
        <w:rPr>
          <w:rFonts w:ascii="微软雅黑" w:hAnsi="微软雅黑" w:cs="微软雅黑"/>
          <w:sz w:val="24"/>
          <w:szCs w:val="24"/>
        </w:rPr>
      </w:pPr>
      <w:r>
        <w:rPr>
          <w:rFonts w:hint="eastAsia" w:ascii="微软雅黑" w:hAnsi="微软雅黑" w:cs="微软雅黑"/>
          <w:sz w:val="24"/>
          <w:szCs w:val="24"/>
        </w:rPr>
        <w:t xml:space="preserve">     包括精神状态、谵妄、疼痛的评估以及出院后去向记录。</w:t>
      </w:r>
    </w:p>
    <w:p/>
    <w:p>
      <w:pPr>
        <w:bidi w:val="0"/>
        <w:jc w:val="left"/>
        <w:rPr>
          <w:rFonts w:hint="default" w:cstheme="minorBidi"/>
          <w:b/>
          <w:bCs/>
          <w:kern w:val="2"/>
          <w:sz w:val="32"/>
          <w:szCs w:val="40"/>
          <w:lang w:val="en-US" w:eastAsia="zh-CN" w:bidi="ar-SA"/>
        </w:rPr>
      </w:pPr>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D7B26"/>
    <w:multiLevelType w:val="singleLevel"/>
    <w:tmpl w:val="89CD7B26"/>
    <w:lvl w:ilvl="0" w:tentative="0">
      <w:start w:val="2"/>
      <w:numFmt w:val="decimal"/>
      <w:suff w:val="nothing"/>
      <w:lvlText w:val="%1．"/>
      <w:lvlJc w:val="left"/>
    </w:lvl>
  </w:abstractNum>
  <w:abstractNum w:abstractNumId="1">
    <w:nsid w:val="922DC1D2"/>
    <w:multiLevelType w:val="singleLevel"/>
    <w:tmpl w:val="922DC1D2"/>
    <w:lvl w:ilvl="0" w:tentative="0">
      <w:start w:val="2"/>
      <w:numFmt w:val="decimal"/>
      <w:lvlText w:val="%1."/>
      <w:lvlJc w:val="left"/>
      <w:pPr>
        <w:tabs>
          <w:tab w:val="left" w:pos="312"/>
        </w:tabs>
      </w:pPr>
    </w:lvl>
  </w:abstractNum>
  <w:abstractNum w:abstractNumId="2">
    <w:nsid w:val="CAE4CBA8"/>
    <w:multiLevelType w:val="singleLevel"/>
    <w:tmpl w:val="CAE4CBA8"/>
    <w:lvl w:ilvl="0" w:tentative="0">
      <w:start w:val="2"/>
      <w:numFmt w:val="chineseCounting"/>
      <w:suff w:val="nothing"/>
      <w:lvlText w:val="%1、"/>
      <w:lvlJc w:val="left"/>
      <w:rPr>
        <w:rFonts w:hint="eastAsia"/>
      </w:rPr>
    </w:lvl>
  </w:abstractNum>
  <w:abstractNum w:abstractNumId="3">
    <w:nsid w:val="07492826"/>
    <w:multiLevelType w:val="multilevel"/>
    <w:tmpl w:val="07492826"/>
    <w:lvl w:ilvl="0" w:tentative="0">
      <w:start w:val="1"/>
      <w:numFmt w:val="decimal"/>
      <w:lvlText w:val="第%1章 "/>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431"/>
        </w:tabs>
        <w:ind w:left="1431"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F7D3287"/>
    <w:multiLevelType w:val="multilevel"/>
    <w:tmpl w:val="1F7D3287"/>
    <w:lvl w:ilvl="0" w:tentative="0">
      <w:start w:val="1"/>
      <w:numFmt w:val="decimal"/>
      <w:lvlText w:val="第%1章"/>
      <w:lvlJc w:val="left"/>
      <w:pPr>
        <w:tabs>
          <w:tab w:val="left" w:pos="1418"/>
        </w:tabs>
        <w:ind w:left="993" w:firstLine="0"/>
      </w:pPr>
      <w:rPr>
        <w:rFonts w:hint="eastAsia"/>
        <w:b/>
        <w:bCs w:val="0"/>
        <w:i w:val="0"/>
        <w:iCs w:val="0"/>
        <w:caps w:val="0"/>
        <w:smallCaps w:val="0"/>
        <w:strike w:val="0"/>
        <w:dstrike w:val="0"/>
        <w:vanish w:val="0"/>
        <w:spacing w:val="0"/>
        <w:position w:val="0"/>
        <w:sz w:val="44"/>
        <w:u w:val="none"/>
        <w:vertAlign w:val="baseline"/>
      </w:rPr>
    </w:lvl>
    <w:lvl w:ilvl="1" w:tentative="0">
      <w:start w:val="1"/>
      <w:numFmt w:val="decimal"/>
      <w:isLgl/>
      <w:lvlText w:val="%1.%2"/>
      <w:lvlJc w:val="left"/>
      <w:pPr>
        <w:tabs>
          <w:tab w:val="left" w:pos="425"/>
        </w:tabs>
        <w:ind w:left="0" w:firstLine="0"/>
      </w:pPr>
      <w:rPr>
        <w:rFonts w:hint="eastAsia" w:ascii="微软雅黑" w:hAnsi="微软雅黑" w:eastAsia="微软雅黑"/>
        <w:b/>
        <w:i w:val="0"/>
        <w:color w:val="000000"/>
      </w:rPr>
    </w:lvl>
    <w:lvl w:ilvl="2" w:tentative="0">
      <w:start w:val="1"/>
      <w:numFmt w:val="decimal"/>
      <w:isLgl/>
      <w:suff w:val="space"/>
      <w:lvlText w:val="%1.%2.%3"/>
      <w:lvlJc w:val="left"/>
      <w:pPr>
        <w:ind w:left="0" w:firstLine="0"/>
      </w:pPr>
      <w:rPr>
        <w:rFonts w:hint="eastAsia" w:ascii="微软雅黑" w:hAnsi="微软雅黑" w:eastAsia="微软雅黑"/>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425"/>
        </w:tabs>
        <w:ind w:left="0" w:firstLine="0"/>
      </w:pPr>
      <w:rPr>
        <w:rFonts w:hint="eastAsia"/>
        <w:b/>
      </w:rPr>
    </w:lvl>
    <w:lvl w:ilvl="5" w:tentative="0">
      <w:start w:val="1"/>
      <w:numFmt w:val="decimal"/>
      <w:isLgl/>
      <w:lvlText w:val="%1.%2.%3.%4.%5.%6"/>
      <w:lvlJc w:val="left"/>
      <w:pPr>
        <w:tabs>
          <w:tab w:val="left" w:pos="425"/>
        </w:tabs>
        <w:ind w:left="0" w:firstLine="0"/>
      </w:pPr>
      <w:rPr>
        <w:rFonts w:hint="eastAsia"/>
      </w:rPr>
    </w:lvl>
    <w:lvl w:ilvl="6" w:tentative="0">
      <w:start w:val="1"/>
      <w:numFmt w:val="decimal"/>
      <w:isLgl/>
      <w:lvlText w:val="%1.%2.%3.%4.%5.%6.%7"/>
      <w:lvlJc w:val="left"/>
      <w:pPr>
        <w:tabs>
          <w:tab w:val="left" w:pos="425"/>
        </w:tabs>
        <w:ind w:left="0" w:firstLine="0"/>
      </w:pPr>
      <w:rPr>
        <w:rFonts w:hint="eastAsia"/>
      </w:rPr>
    </w:lvl>
    <w:lvl w:ilvl="7" w:tentative="0">
      <w:start w:val="1"/>
      <w:numFmt w:val="decimal"/>
      <w:isLgl/>
      <w:lvlText w:val="%1.%2.%3.%4.%5.%6.%7.%8"/>
      <w:lvlJc w:val="left"/>
      <w:pPr>
        <w:tabs>
          <w:tab w:val="left" w:pos="425"/>
        </w:tabs>
        <w:ind w:left="0" w:firstLine="0"/>
      </w:pPr>
      <w:rPr>
        <w:rFonts w:hint="eastAsia"/>
      </w:rPr>
    </w:lvl>
    <w:lvl w:ilvl="8" w:tentative="0">
      <w:start w:val="1"/>
      <w:numFmt w:val="decimal"/>
      <w:isLgl/>
      <w:lvlText w:val="%1.%2.%3.%4.%5.%6.%7.%8.%9"/>
      <w:lvlJc w:val="left"/>
      <w:pPr>
        <w:tabs>
          <w:tab w:val="left" w:pos="425"/>
        </w:tabs>
        <w:ind w:left="0" w:firstLine="0"/>
      </w:pPr>
      <w:rPr>
        <w:rFonts w:hint="eastAsia"/>
      </w:rPr>
    </w:lvl>
  </w:abstractNum>
  <w:abstractNum w:abstractNumId="5">
    <w:nsid w:val="51863425"/>
    <w:multiLevelType w:val="singleLevel"/>
    <w:tmpl w:val="51863425"/>
    <w:lvl w:ilvl="0" w:tentative="0">
      <w:start w:val="1"/>
      <w:numFmt w:val="decimal"/>
      <w:lvlText w:val="%1."/>
      <w:lvlJc w:val="left"/>
      <w:pPr>
        <w:tabs>
          <w:tab w:val="left" w:pos="312"/>
        </w:tabs>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0665D"/>
    <w:rsid w:val="3820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tabs>
        <w:tab w:val="left" w:pos="576"/>
      </w:tabs>
      <w:spacing w:before="260" w:after="260" w:line="412" w:lineRule="auto"/>
      <w:outlineLvl w:val="1"/>
    </w:pPr>
    <w:rPr>
      <w:rFonts w:ascii="Arial" w:hAnsi="Arial" w:eastAsia="黑体" w:cs="Times New Roman"/>
      <w:b/>
      <w:bCs/>
      <w:sz w:val="32"/>
      <w:szCs w:val="32"/>
    </w:rPr>
  </w:style>
  <w:style w:type="paragraph" w:styleId="3">
    <w:name w:val="heading 3"/>
    <w:basedOn w:val="1"/>
    <w:next w:val="4"/>
    <w:semiHidden/>
    <w:unhideWhenUsed/>
    <w:qFormat/>
    <w:uiPriority w:val="0"/>
    <w:pPr>
      <w:keepNext/>
      <w:keepLines/>
      <w:tabs>
        <w:tab w:val="left" w:pos="720"/>
      </w:tabs>
      <w:spacing w:before="260" w:after="260" w:line="412" w:lineRule="auto"/>
      <w:outlineLvl w:val="2"/>
    </w:pPr>
    <w:rPr>
      <w:rFonts w:ascii="Times New Roman" w:hAnsi="Times New Roman" w:eastAsia="宋体" w:cs="Times New Roman"/>
      <w:b/>
      <w:bCs/>
      <w:sz w:val="32"/>
      <w:szCs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uiPriority w:val="99"/>
    <w:pPr>
      <w:ind w:firstLine="420"/>
    </w:pPr>
    <w:rPr>
      <w:kern w:val="2"/>
      <w:sz w:val="21"/>
      <w:szCs w:val="22"/>
    </w:rPr>
  </w:style>
  <w:style w:type="paragraph" w:styleId="5">
    <w:name w:val="Body Text"/>
    <w:basedOn w:val="1"/>
    <w:next w:val="1"/>
    <w:semiHidden/>
    <w:unhideWhenUsed/>
    <w:qFormat/>
    <w:uiPriority w:val="99"/>
    <w:pPr>
      <w:spacing w:after="120"/>
    </w:pPr>
  </w:style>
  <w:style w:type="paragraph" w:styleId="6">
    <w:name w:val="Body Text First Indent"/>
    <w:basedOn w:val="5"/>
    <w:semiHidden/>
    <w:unhideWhenUsed/>
    <w:uiPriority w:val="0"/>
    <w:pPr>
      <w:spacing w:after="0" w:line="360" w:lineRule="auto"/>
      <w:ind w:firstLine="200" w:firstLineChars="200"/>
    </w:pPr>
    <w:rPr>
      <w:rFonts w:ascii="Times New Roman" w:hAnsi="Times New Roman" w:eastAsia="宋体" w:cs="Times New Roman"/>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首行缩进"/>
    <w:basedOn w:val="1"/>
    <w:qFormat/>
    <w:uiPriority w:val="0"/>
    <w:pPr>
      <w:spacing w:line="588" w:lineRule="exact"/>
      <w:ind w:firstLine="200" w:firstLineChars="200"/>
    </w:pPr>
    <w:rPr>
      <w:rFonts w:ascii="Calibri" w:hAnsi="Calibri" w:eastAsia="仿宋"/>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2021-04-26T09:54:00Z</dcterms:created>
  <dc:creator>医学装备科-肖婷</dc:creator>
  <cp:lastModifiedBy>医学装备科-肖婷</cp:lastModifiedBy>
  <dcterms:modified xsi:type="dcterms:W3CDTF">2021-04-26T09:57:51Z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7C9773CF358D4131BB9C1003EE19E483</vt:lpwstr>
  </property>
</Properties>
</file>