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napToGrid w:val="0"/>
          <w:szCs w:val="21"/>
        </w:rPr>
      </w:pPr>
      <w:bookmarkStart w:id="0" w:name="_GoBack"/>
      <w:bookmarkEnd w:id="0"/>
      <w:r>
        <w:rPr>
          <w:rFonts w:hint="eastAsia" w:ascii="宋体" w:hAnsi="宋体" w:eastAsia="宋体"/>
          <w:b/>
          <w:bCs/>
          <w:snapToGrid w:val="0"/>
          <w:szCs w:val="21"/>
        </w:rPr>
        <w:t>成都市第五人民医院</w:t>
      </w:r>
    </w:p>
    <w:p>
      <w:pPr>
        <w:spacing w:line="360" w:lineRule="auto"/>
        <w:jc w:val="center"/>
        <w:rPr>
          <w:rFonts w:hint="default" w:ascii="宋体" w:hAnsi="宋体" w:eastAsia="宋体"/>
          <w:b/>
          <w:bCs/>
          <w:snapToGrid w:val="0"/>
          <w:szCs w:val="21"/>
          <w:lang w:val="en-US" w:eastAsia="zh-CN"/>
        </w:rPr>
      </w:pPr>
      <w:r>
        <w:rPr>
          <w:rFonts w:hint="eastAsia" w:ascii="宋体" w:hAnsi="宋体" w:eastAsia="宋体"/>
          <w:b/>
          <w:bCs/>
          <w:snapToGrid w:val="0"/>
          <w:szCs w:val="21"/>
        </w:rPr>
        <w:t>智慧医院物联网基础平台建设</w:t>
      </w:r>
      <w:r>
        <w:rPr>
          <w:rFonts w:hint="eastAsia" w:ascii="宋体" w:hAnsi="宋体" w:eastAsia="宋体"/>
          <w:b/>
          <w:bCs/>
          <w:snapToGrid w:val="0"/>
          <w:szCs w:val="21"/>
          <w:lang w:val="en-US" w:eastAsia="zh-CN"/>
        </w:rPr>
        <w:t>项目市场调参数</w:t>
      </w:r>
    </w:p>
    <w:p>
      <w:pPr>
        <w:spacing w:line="360" w:lineRule="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因我院物联网智慧医院医院建设需求，现就物联网基础平台及应用系统进行市场调研，征求建设方案，欢迎有意向的公司参与报名。</w:t>
      </w:r>
    </w:p>
    <w:p>
      <w:pPr>
        <w:pStyle w:val="13"/>
        <w:numPr>
          <w:ilvl w:val="0"/>
          <w:numId w:val="2"/>
        </w:numPr>
        <w:spacing w:line="360" w:lineRule="auto"/>
        <w:ind w:firstLineChars="0"/>
        <w:rPr>
          <w:rFonts w:ascii="宋体" w:hAnsi="宋体" w:eastAsia="宋体"/>
          <w:szCs w:val="21"/>
        </w:rPr>
      </w:pPr>
      <w:r>
        <w:rPr>
          <w:rFonts w:hint="eastAsia" w:ascii="宋体" w:hAnsi="宋体" w:eastAsia="宋体"/>
          <w:szCs w:val="21"/>
        </w:rPr>
        <w:t>建设内容：</w:t>
      </w:r>
    </w:p>
    <w:p>
      <w:pPr>
        <w:pStyle w:val="13"/>
        <w:numPr>
          <w:ilvl w:val="0"/>
          <w:numId w:val="3"/>
        </w:numPr>
        <w:spacing w:line="360" w:lineRule="auto"/>
        <w:ind w:firstLineChars="0"/>
        <w:rPr>
          <w:rFonts w:ascii="宋体" w:hAnsi="宋体" w:eastAsia="宋体"/>
          <w:bCs/>
          <w:szCs w:val="21"/>
        </w:rPr>
      </w:pPr>
      <w:r>
        <w:rPr>
          <w:rFonts w:hint="eastAsia" w:ascii="宋体" w:hAnsi="宋体" w:eastAsia="宋体"/>
          <w:szCs w:val="21"/>
        </w:rPr>
        <w:t>物联网基础网络平台：一套物理线路支持</w:t>
      </w:r>
      <w:r>
        <w:rPr>
          <w:rFonts w:ascii="宋体" w:hAnsi="宋体" w:eastAsia="宋体"/>
          <w:snapToGrid w:val="0"/>
          <w:szCs w:val="21"/>
        </w:rPr>
        <w:t>多类型、多频点物联网及医疗遥测等系统的信号覆盖</w:t>
      </w:r>
      <w:r>
        <w:rPr>
          <w:rFonts w:hint="eastAsia" w:ascii="宋体" w:hAnsi="宋体" w:eastAsia="宋体"/>
          <w:snapToGrid w:val="0"/>
          <w:szCs w:val="21"/>
        </w:rPr>
        <w:t>，解决不同频点、不同协议的物联网基础信号覆盖</w:t>
      </w:r>
      <w:r>
        <w:rPr>
          <w:rFonts w:ascii="宋体" w:hAnsi="宋体" w:eastAsia="宋体"/>
          <w:bCs/>
          <w:szCs w:val="21"/>
        </w:rPr>
        <w:t xml:space="preserve"> </w:t>
      </w:r>
    </w:p>
    <w:p>
      <w:pPr>
        <w:pStyle w:val="13"/>
        <w:numPr>
          <w:ilvl w:val="0"/>
          <w:numId w:val="3"/>
        </w:numPr>
        <w:spacing w:line="360" w:lineRule="auto"/>
        <w:ind w:firstLineChars="0"/>
        <w:rPr>
          <w:rFonts w:ascii="宋体" w:hAnsi="宋体" w:eastAsia="宋体"/>
          <w:bCs/>
          <w:szCs w:val="21"/>
        </w:rPr>
      </w:pPr>
      <w:r>
        <w:rPr>
          <w:rFonts w:hint="eastAsia" w:ascii="宋体" w:hAnsi="宋体" w:eastAsia="宋体"/>
          <w:bCs/>
          <w:szCs w:val="21"/>
        </w:rPr>
        <w:t>物联网传感平台（含物联网基站、物联网运维管理平台、物联网定位引擎、物联网数据引擎等）</w:t>
      </w:r>
    </w:p>
    <w:p>
      <w:pPr>
        <w:pStyle w:val="13"/>
        <w:numPr>
          <w:ilvl w:val="0"/>
          <w:numId w:val="3"/>
        </w:numPr>
        <w:spacing w:line="360" w:lineRule="auto"/>
        <w:ind w:firstLineChars="0"/>
        <w:rPr>
          <w:rFonts w:ascii="宋体" w:hAnsi="宋体" w:eastAsia="宋体"/>
          <w:bCs/>
          <w:szCs w:val="21"/>
        </w:rPr>
      </w:pPr>
      <w:r>
        <w:rPr>
          <w:rFonts w:hint="eastAsia" w:ascii="宋体" w:hAnsi="宋体" w:eastAsia="宋体"/>
          <w:bCs/>
          <w:szCs w:val="21"/>
        </w:rPr>
        <w:t>物联网应用系统：患者体温监控系统（含配套设备）、医院冷链管理系统（含配套设备）、医院环境监控系统（含配套设备）、婴儿防盗系统（含配套设备）</w:t>
      </w:r>
    </w:p>
    <w:p>
      <w:pPr>
        <w:pStyle w:val="13"/>
        <w:numPr>
          <w:ilvl w:val="0"/>
          <w:numId w:val="2"/>
        </w:numPr>
        <w:spacing w:line="360" w:lineRule="auto"/>
        <w:ind w:firstLineChars="0"/>
        <w:rPr>
          <w:rFonts w:ascii="宋体" w:hAnsi="宋体" w:eastAsia="宋体"/>
          <w:bCs/>
          <w:szCs w:val="21"/>
        </w:rPr>
      </w:pPr>
      <w:r>
        <w:rPr>
          <w:rFonts w:hint="eastAsia" w:ascii="宋体" w:hAnsi="宋体" w:eastAsia="宋体"/>
          <w:bCs/>
          <w:szCs w:val="21"/>
        </w:rPr>
        <w:t>项目要求：</w:t>
      </w:r>
    </w:p>
    <w:p>
      <w:pPr>
        <w:pStyle w:val="13"/>
        <w:numPr>
          <w:ilvl w:val="1"/>
          <w:numId w:val="2"/>
        </w:numPr>
        <w:spacing w:line="360" w:lineRule="auto"/>
        <w:ind w:firstLineChars="0"/>
        <w:rPr>
          <w:rFonts w:ascii="宋体" w:hAnsi="宋体" w:eastAsia="宋体"/>
          <w:bCs/>
          <w:szCs w:val="21"/>
        </w:rPr>
      </w:pPr>
      <w:r>
        <w:rPr>
          <w:rFonts w:hint="eastAsia" w:ascii="宋体" w:hAnsi="宋体" w:eastAsia="宋体"/>
          <w:snapToGrid w:val="0"/>
          <w:szCs w:val="21"/>
        </w:rPr>
        <w:t>总体要求：考虑到无线物联网建设的复杂性和后续重复建设带来的成本及维护管理等问题，物联网平台</w:t>
      </w:r>
      <w:r>
        <w:rPr>
          <w:rFonts w:ascii="宋体" w:hAnsi="宋体" w:eastAsia="宋体" w:cs="宋体"/>
          <w:bCs/>
          <w:szCs w:val="21"/>
        </w:rPr>
        <w:t>基础</w:t>
      </w:r>
      <w:r>
        <w:rPr>
          <w:rFonts w:hint="eastAsia" w:ascii="宋体" w:hAnsi="宋体" w:eastAsia="宋体" w:cs="宋体"/>
          <w:bCs/>
          <w:szCs w:val="21"/>
        </w:rPr>
        <w:t>线路部分</w:t>
      </w:r>
      <w:r>
        <w:rPr>
          <w:rFonts w:ascii="宋体" w:hAnsi="宋体" w:eastAsia="宋体" w:cs="宋体"/>
          <w:bCs/>
          <w:szCs w:val="21"/>
        </w:rPr>
        <w:t>至少支持工作频率范围</w:t>
      </w:r>
      <w:r>
        <w:rPr>
          <w:rFonts w:ascii="宋体" w:hAnsi="宋体" w:eastAsia="宋体" w:cs="宋体"/>
          <w:szCs w:val="21"/>
        </w:rPr>
        <w:t>433-5850MHz</w:t>
      </w:r>
      <w:r>
        <w:rPr>
          <w:rFonts w:hint="eastAsia" w:ascii="宋体" w:hAnsi="宋体" w:eastAsia="宋体" w:cs="宋体"/>
          <w:szCs w:val="21"/>
        </w:rPr>
        <w:t>，一套物理线路</w:t>
      </w:r>
      <w:r>
        <w:rPr>
          <w:rFonts w:ascii="宋体" w:hAnsi="宋体" w:eastAsia="宋体" w:cs="宋体"/>
          <w:bCs/>
          <w:szCs w:val="21"/>
        </w:rPr>
        <w:t>可并发支持IEEE802.11ac/</w:t>
      </w:r>
      <w:r>
        <w:rPr>
          <w:rFonts w:hint="eastAsia" w:ascii="宋体" w:hAnsi="宋体" w:eastAsia="宋体" w:cs="宋体"/>
          <w:bCs/>
          <w:szCs w:val="21"/>
        </w:rPr>
        <w:t>ax</w:t>
      </w:r>
      <w:r>
        <w:rPr>
          <w:rFonts w:ascii="宋体" w:hAnsi="宋体" w:eastAsia="宋体" w:cs="宋体"/>
          <w:bCs/>
          <w:szCs w:val="21"/>
        </w:rPr>
        <w:t>、ZigBee、RFID、802.15.4、WMTS</w:t>
      </w:r>
      <w:r>
        <w:rPr>
          <w:rFonts w:hint="eastAsia" w:ascii="宋体" w:hAnsi="宋体" w:eastAsia="宋体" w:cs="宋体"/>
          <w:bCs/>
          <w:szCs w:val="21"/>
        </w:rPr>
        <w:t>、运营商3</w:t>
      </w:r>
      <w:r>
        <w:rPr>
          <w:rFonts w:ascii="宋体" w:hAnsi="宋体" w:eastAsia="宋体" w:cs="宋体"/>
          <w:bCs/>
          <w:szCs w:val="21"/>
        </w:rPr>
        <w:t>G/</w:t>
      </w:r>
      <w:r>
        <w:rPr>
          <w:rFonts w:hint="eastAsia" w:ascii="宋体" w:hAnsi="宋体" w:eastAsia="宋体" w:cs="宋体"/>
          <w:bCs/>
          <w:szCs w:val="21"/>
        </w:rPr>
        <w:t>4</w:t>
      </w:r>
      <w:r>
        <w:rPr>
          <w:rFonts w:ascii="宋体" w:hAnsi="宋体" w:eastAsia="宋体" w:cs="宋体"/>
          <w:bCs/>
          <w:szCs w:val="21"/>
        </w:rPr>
        <w:t>G/5G等不同工作频点、不同技术协议的医疗级应用，</w:t>
      </w:r>
      <w:r>
        <w:rPr>
          <w:rFonts w:ascii="宋体" w:hAnsi="宋体" w:eastAsia="宋体"/>
          <w:snapToGrid w:val="0"/>
          <w:szCs w:val="21"/>
        </w:rPr>
        <w:t>支持多频合路技术。能够通过扩展不同的信号接收接入设备，同时提供多类型、多频点物联网及医疗遥测等系统的信号覆盖，扩展不同的系统可以不受不同品牌、厂商的限制，实现数据网、物联网及医疗遥测网络基础部分共用，避免重复建设，重复投资</w:t>
      </w:r>
      <w:r>
        <w:rPr>
          <w:rFonts w:hint="eastAsia" w:ascii="宋体" w:hAnsi="宋体" w:eastAsia="宋体"/>
          <w:snapToGrid w:val="0"/>
          <w:szCs w:val="21"/>
        </w:rPr>
        <w:t>。</w:t>
      </w:r>
    </w:p>
    <w:p>
      <w:pPr>
        <w:pStyle w:val="13"/>
        <w:numPr>
          <w:ilvl w:val="1"/>
          <w:numId w:val="2"/>
        </w:numPr>
        <w:spacing w:line="360" w:lineRule="auto"/>
        <w:ind w:firstLineChars="0"/>
        <w:rPr>
          <w:rFonts w:ascii="宋体" w:hAnsi="宋体" w:eastAsia="宋体"/>
          <w:bCs/>
          <w:szCs w:val="21"/>
        </w:rPr>
      </w:pPr>
      <w:r>
        <w:rPr>
          <w:rFonts w:ascii="宋体" w:hAnsi="宋体" w:eastAsia="宋体"/>
          <w:szCs w:val="21"/>
        </w:rPr>
        <w:t>覆盖方式：方案优先采用室内分布系统技术模式，所有网络有源设备必须集中安装在弱电间或信息中心机房内，</w:t>
      </w:r>
      <w:r>
        <w:rPr>
          <w:rFonts w:hint="eastAsia" w:ascii="宋体" w:hAnsi="宋体" w:eastAsia="宋体"/>
          <w:bCs/>
          <w:szCs w:val="21"/>
        </w:rPr>
        <w:t>基础线路部分应采用全无源器件，</w:t>
      </w:r>
      <w:r>
        <w:rPr>
          <w:rFonts w:ascii="宋体" w:hAnsi="宋体" w:eastAsia="宋体"/>
          <w:bCs/>
          <w:szCs w:val="21"/>
        </w:rPr>
        <w:t>布线时应充分考虑防潮、防尘、防震等环境因素</w:t>
      </w:r>
      <w:r>
        <w:rPr>
          <w:rFonts w:hint="eastAsia" w:ascii="宋体" w:hAnsi="宋体" w:eastAsia="宋体"/>
          <w:bCs/>
          <w:szCs w:val="21"/>
        </w:rPr>
        <w:t>，</w:t>
      </w:r>
      <w:r>
        <w:rPr>
          <w:rFonts w:ascii="宋体" w:hAnsi="宋体" w:eastAsia="宋体"/>
          <w:szCs w:val="21"/>
        </w:rPr>
        <w:t>以保证稳定的运行环境和网络设备物理安全，同时方便管理和维护。</w:t>
      </w:r>
    </w:p>
    <w:p>
      <w:pPr>
        <w:pStyle w:val="13"/>
        <w:numPr>
          <w:ilvl w:val="1"/>
          <w:numId w:val="2"/>
        </w:numPr>
        <w:spacing w:line="360" w:lineRule="auto"/>
        <w:ind w:firstLineChars="0"/>
        <w:rPr>
          <w:rFonts w:ascii="宋体" w:hAnsi="宋体" w:eastAsia="宋体"/>
          <w:bCs/>
          <w:szCs w:val="21"/>
        </w:rPr>
      </w:pPr>
      <w:r>
        <w:rPr>
          <w:rFonts w:hint="eastAsia" w:ascii="宋体" w:hAnsi="宋体" w:eastAsia="宋体"/>
          <w:bCs/>
          <w:szCs w:val="21"/>
        </w:rPr>
        <w:t xml:space="preserve">网络稳定性：为保证物联网业务的正常开展，在单一病区内，患者体温监控系统、医院冷链管理系统、医院环境监控系统等物联网应用应共用同一台物联网信号接收设备，且物联网信号接收设备数量不得超过一台，以避免物联网信号干扰、数据漫游切换。 </w:t>
      </w:r>
    </w:p>
    <w:p>
      <w:pPr>
        <w:pStyle w:val="13"/>
        <w:numPr>
          <w:ilvl w:val="1"/>
          <w:numId w:val="2"/>
        </w:numPr>
        <w:spacing w:line="360" w:lineRule="auto"/>
        <w:ind w:firstLineChars="0"/>
        <w:rPr>
          <w:rFonts w:ascii="宋体" w:hAnsi="宋体" w:eastAsia="宋体"/>
          <w:bCs/>
          <w:szCs w:val="21"/>
        </w:rPr>
      </w:pPr>
      <w:r>
        <w:rPr>
          <w:rFonts w:hint="eastAsia" w:ascii="宋体" w:hAnsi="宋体" w:eastAsia="宋体"/>
          <w:bCs/>
          <w:szCs w:val="21"/>
        </w:rPr>
        <w:t>兼容性：</w:t>
      </w:r>
      <w:r>
        <w:rPr>
          <w:rFonts w:ascii="宋体" w:hAnsi="宋体" w:eastAsia="宋体"/>
          <w:szCs w:val="21"/>
        </w:rPr>
        <w:t>为了保证系统的兼容性及稳定性</w:t>
      </w:r>
      <w:r>
        <w:rPr>
          <w:rFonts w:hint="eastAsia" w:ascii="宋体" w:hAnsi="宋体" w:eastAsia="宋体"/>
          <w:szCs w:val="21"/>
        </w:rPr>
        <w:t>，</w:t>
      </w:r>
      <w:r>
        <w:rPr>
          <w:rFonts w:ascii="宋体" w:hAnsi="宋体" w:eastAsia="宋体"/>
          <w:szCs w:val="21"/>
        </w:rPr>
        <w:t>便于施工、调试及维护，要求</w:t>
      </w:r>
      <w:r>
        <w:rPr>
          <w:rFonts w:hint="eastAsia" w:ascii="宋体" w:hAnsi="宋体" w:eastAsia="宋体"/>
          <w:szCs w:val="21"/>
        </w:rPr>
        <w:t>本次建设</w:t>
      </w:r>
      <w:r>
        <w:rPr>
          <w:rFonts w:ascii="宋体" w:hAnsi="宋体" w:eastAsia="宋体"/>
          <w:szCs w:val="21"/>
        </w:rPr>
        <w:t>所有</w:t>
      </w:r>
      <w:r>
        <w:rPr>
          <w:rFonts w:hint="eastAsia" w:ascii="宋体" w:hAnsi="宋体" w:eastAsia="宋体"/>
          <w:szCs w:val="21"/>
        </w:rPr>
        <w:t>设备硬件及软件</w:t>
      </w:r>
      <w:r>
        <w:rPr>
          <w:rFonts w:ascii="宋体" w:hAnsi="宋体" w:eastAsia="宋体"/>
          <w:bCs/>
          <w:szCs w:val="21"/>
        </w:rPr>
        <w:t>须</w:t>
      </w:r>
      <w:r>
        <w:rPr>
          <w:rFonts w:ascii="宋体" w:hAnsi="宋体" w:eastAsia="宋体"/>
          <w:szCs w:val="21"/>
        </w:rPr>
        <w:t>使用同一品牌产品。</w:t>
      </w:r>
    </w:p>
    <w:p>
      <w:pPr>
        <w:pStyle w:val="13"/>
        <w:numPr>
          <w:ilvl w:val="1"/>
          <w:numId w:val="2"/>
        </w:numPr>
        <w:spacing w:line="360" w:lineRule="auto"/>
        <w:ind w:firstLineChars="0"/>
        <w:rPr>
          <w:rFonts w:ascii="宋体" w:hAnsi="宋体" w:eastAsia="宋体"/>
          <w:bCs/>
          <w:szCs w:val="21"/>
        </w:rPr>
      </w:pPr>
      <w:r>
        <w:rPr>
          <w:rFonts w:hint="eastAsia" w:ascii="宋体" w:hAnsi="宋体" w:eastAsia="宋体"/>
          <w:szCs w:val="21"/>
        </w:rPr>
        <w:t>物联网传感平台：物联网综合运维管理平台支持对各种医疗物联网的基础设施硬件、终端、标签、应用软件的运行情况进行中心监控，问题告警、统计分析等，能图形化显示供</w:t>
      </w:r>
      <w:r>
        <w:rPr>
          <w:rFonts w:ascii="宋体" w:hAnsi="宋体" w:eastAsia="宋体"/>
          <w:szCs w:val="21"/>
        </w:rPr>
        <w:t>CPU、内存</w:t>
      </w:r>
      <w:r>
        <w:rPr>
          <w:rFonts w:hint="eastAsia" w:ascii="宋体" w:hAnsi="宋体" w:eastAsia="宋体"/>
          <w:szCs w:val="21"/>
        </w:rPr>
        <w:t>、在离线</w:t>
      </w:r>
      <w:r>
        <w:rPr>
          <w:rFonts w:ascii="宋体" w:hAnsi="宋体" w:eastAsia="宋体"/>
          <w:szCs w:val="21"/>
        </w:rPr>
        <w:t>等关键指标运行数据</w:t>
      </w:r>
      <w:r>
        <w:rPr>
          <w:rFonts w:hint="eastAsia" w:ascii="宋体" w:hAnsi="宋体" w:eastAsia="宋体"/>
          <w:szCs w:val="21"/>
        </w:rPr>
        <w:t>。</w:t>
      </w:r>
    </w:p>
    <w:p>
      <w:pPr>
        <w:pStyle w:val="13"/>
        <w:numPr>
          <w:ilvl w:val="1"/>
          <w:numId w:val="2"/>
        </w:numPr>
        <w:spacing w:line="360" w:lineRule="auto"/>
        <w:ind w:firstLineChars="0"/>
        <w:rPr>
          <w:rFonts w:ascii="宋体" w:hAnsi="宋体" w:eastAsia="宋体"/>
          <w:bCs/>
          <w:szCs w:val="21"/>
        </w:rPr>
      </w:pPr>
      <w:r>
        <w:rPr>
          <w:rFonts w:hint="eastAsia" w:ascii="宋体" w:hAnsi="宋体" w:eastAsia="宋体"/>
          <w:szCs w:val="21"/>
        </w:rPr>
        <w:t>物联网应用：物联网应用软件能依据各科室不同需求适配，</w:t>
      </w:r>
      <w:r>
        <w:rPr>
          <w:rFonts w:hint="eastAsia" w:ascii="宋体" w:hAnsi="宋体" w:eastAsia="宋体"/>
          <w:bCs/>
          <w:szCs w:val="21"/>
        </w:rPr>
        <w:t>各种物联网应用终端、标签</w:t>
      </w:r>
      <w:r>
        <w:rPr>
          <w:rFonts w:hint="eastAsia" w:ascii="宋体" w:hAnsi="宋体" w:eastAsia="宋体"/>
          <w:szCs w:val="21"/>
        </w:rPr>
        <w:t>可连续工作时间不得小于一年；婴儿防盗手环应采用环保乳胶材料，为敏感婴儿皮肤提供额外保护；</w:t>
      </w:r>
      <w:r>
        <w:rPr>
          <w:rFonts w:hint="eastAsia" w:ascii="宋体" w:hAnsi="宋体" w:eastAsia="宋体"/>
          <w:bCs/>
          <w:szCs w:val="21"/>
        </w:rPr>
        <w:t>环境监控系统能监控</w:t>
      </w:r>
      <w:r>
        <w:rPr>
          <w:rFonts w:hint="eastAsia" w:ascii="宋体" w:hAnsi="宋体" w:eastAsia="宋体"/>
          <w:szCs w:val="21"/>
        </w:rPr>
        <w:t>温度、湿度、噪声、光照、</w:t>
      </w:r>
      <w:r>
        <w:rPr>
          <w:rFonts w:ascii="宋体" w:hAnsi="宋体" w:eastAsia="宋体"/>
          <w:szCs w:val="21"/>
        </w:rPr>
        <w:t>CO2浓度、TVOC、PM1.0、PM2.5、PM10等环境数据</w:t>
      </w:r>
    </w:p>
    <w:p>
      <w:pPr>
        <w:pStyle w:val="13"/>
        <w:numPr>
          <w:ilvl w:val="0"/>
          <w:numId w:val="2"/>
        </w:numPr>
        <w:spacing w:line="360" w:lineRule="auto"/>
        <w:ind w:firstLineChars="0"/>
        <w:rPr>
          <w:rFonts w:ascii="宋体" w:hAnsi="宋体" w:eastAsia="宋体"/>
          <w:bCs/>
          <w:szCs w:val="21"/>
        </w:rPr>
      </w:pPr>
      <w:r>
        <w:rPr>
          <w:rFonts w:hint="eastAsia" w:ascii="宋体" w:hAnsi="宋体" w:eastAsia="宋体"/>
          <w:bCs/>
          <w:szCs w:val="21"/>
        </w:rPr>
        <w:t>建设标准</w:t>
      </w:r>
    </w:p>
    <w:p>
      <w:pPr>
        <w:spacing w:line="360" w:lineRule="auto"/>
        <w:ind w:left="210" w:firstLine="210" w:firstLineChars="100"/>
        <w:rPr>
          <w:rFonts w:ascii="宋体" w:hAnsi="宋体" w:eastAsia="宋体"/>
          <w:bCs/>
          <w:szCs w:val="21"/>
        </w:rPr>
      </w:pPr>
      <w:r>
        <w:rPr>
          <w:rFonts w:hint="eastAsia" w:ascii="宋体" w:hAnsi="宋体" w:eastAsia="宋体"/>
          <w:bCs/>
          <w:szCs w:val="21"/>
        </w:rPr>
        <w:t> 符合《全国医院信息化建设标准与规范</w:t>
      </w:r>
      <w:r>
        <w:rPr>
          <w:rFonts w:ascii="宋体" w:hAnsi="宋体" w:eastAsia="宋体"/>
          <w:bCs/>
          <w:szCs w:val="21"/>
        </w:rPr>
        <w:t>(试行)》、《医院智慧管理分级评估标准体系（试行）》、</w:t>
      </w:r>
      <w:r>
        <w:rPr>
          <w:rFonts w:hint="eastAsia" w:ascii="宋体" w:hAnsi="宋体" w:eastAsia="宋体"/>
          <w:snapToGrid w:val="0"/>
          <w:szCs w:val="21"/>
        </w:rPr>
        <w:t>《四川省智慧医院评审标准》</w:t>
      </w:r>
      <w:r>
        <w:rPr>
          <w:rFonts w:ascii="宋体" w:hAnsi="宋体" w:eastAsia="宋体"/>
          <w:bCs/>
          <w:szCs w:val="21"/>
        </w:rPr>
        <w:t>要求，支持国际、国内的医疗相关标准，包括HL7、XML等相关标准。相关</w:t>
      </w:r>
      <w:r>
        <w:rPr>
          <w:rFonts w:hint="eastAsia" w:ascii="宋体" w:hAnsi="宋体" w:eastAsia="宋体"/>
          <w:bCs/>
          <w:szCs w:val="21"/>
        </w:rPr>
        <w:t>系统</w:t>
      </w:r>
      <w:r>
        <w:rPr>
          <w:rFonts w:ascii="宋体" w:hAnsi="宋体" w:eastAsia="宋体"/>
          <w:bCs/>
          <w:szCs w:val="21"/>
        </w:rPr>
        <w:t>满足医疗质控指标的要求</w:t>
      </w:r>
      <w:r>
        <w:rPr>
          <w:rFonts w:hint="eastAsia" w:ascii="宋体" w:hAnsi="宋体" w:eastAsia="宋体"/>
          <w:bCs/>
          <w:szCs w:val="21"/>
        </w:rPr>
        <w:t>。</w:t>
      </w:r>
    </w:p>
    <w:p>
      <w:pPr>
        <w:spacing w:line="360" w:lineRule="auto"/>
        <w:ind w:firstLine="210" w:firstLineChars="100"/>
        <w:rPr>
          <w:rFonts w:ascii="宋体" w:hAnsi="宋体" w:eastAsia="宋体"/>
          <w:bCs/>
          <w:szCs w:val="21"/>
        </w:rPr>
      </w:pPr>
      <w:r>
        <w:rPr>
          <w:rFonts w:hint="eastAsia" w:ascii="宋体" w:hAnsi="宋体" w:eastAsia="宋体"/>
          <w:bCs/>
          <w:szCs w:val="21"/>
        </w:rPr>
        <w:t>四、</w:t>
      </w:r>
      <w:r>
        <w:rPr>
          <w:rFonts w:hint="eastAsia" w:ascii="宋体" w:hAnsi="宋体" w:eastAsia="宋体"/>
          <w:szCs w:val="21"/>
        </w:rPr>
        <w:t>建设</w:t>
      </w:r>
      <w:r>
        <w:rPr>
          <w:rFonts w:ascii="宋体" w:hAnsi="宋体" w:eastAsia="宋体"/>
          <w:szCs w:val="21"/>
        </w:rPr>
        <w:t>清单</w:t>
      </w:r>
    </w:p>
    <w:tbl>
      <w:tblPr>
        <w:tblStyle w:val="8"/>
        <w:tblpPr w:leftFromText="180" w:rightFromText="180" w:vertAnchor="text" w:horzAnchor="margin" w:tblpXSpec="center" w:tblpY="7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3260"/>
        <w:gridCol w:w="1218"/>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shd w:val="clear" w:color="000000" w:fill="FFFFFF"/>
            <w:noWrap/>
            <w:vAlign w:val="center"/>
          </w:tcPr>
          <w:p>
            <w:pPr>
              <w:pStyle w:val="18"/>
              <w:spacing w:before="156"/>
              <w:jc w:val="center"/>
              <w:rPr>
                <w:b/>
                <w:bCs/>
                <w:color w:val="auto"/>
                <w:sz w:val="21"/>
              </w:rPr>
            </w:pPr>
            <w:r>
              <w:rPr>
                <w:b/>
                <w:bCs/>
                <w:color w:val="auto"/>
                <w:sz w:val="21"/>
              </w:rPr>
              <w:t>序号</w:t>
            </w:r>
          </w:p>
        </w:tc>
        <w:tc>
          <w:tcPr>
            <w:tcW w:w="1985" w:type="dxa"/>
            <w:shd w:val="clear" w:color="000000" w:fill="FFFFFF"/>
            <w:noWrap/>
            <w:vAlign w:val="center"/>
          </w:tcPr>
          <w:p>
            <w:pPr>
              <w:pStyle w:val="18"/>
              <w:spacing w:before="156"/>
              <w:jc w:val="center"/>
              <w:rPr>
                <w:b/>
                <w:bCs/>
                <w:color w:val="auto"/>
                <w:sz w:val="21"/>
              </w:rPr>
            </w:pPr>
            <w:r>
              <w:rPr>
                <w:b/>
                <w:bCs/>
                <w:color w:val="auto"/>
                <w:sz w:val="21"/>
              </w:rPr>
              <w:t>设备名称</w:t>
            </w:r>
          </w:p>
        </w:tc>
        <w:tc>
          <w:tcPr>
            <w:tcW w:w="3260" w:type="dxa"/>
            <w:shd w:val="clear" w:color="000000" w:fill="FFFFFF"/>
            <w:vAlign w:val="center"/>
          </w:tcPr>
          <w:p>
            <w:pPr>
              <w:pStyle w:val="18"/>
              <w:spacing w:before="156"/>
              <w:jc w:val="center"/>
              <w:rPr>
                <w:b/>
                <w:bCs/>
                <w:color w:val="auto"/>
                <w:sz w:val="21"/>
              </w:rPr>
            </w:pPr>
            <w:r>
              <w:rPr>
                <w:rFonts w:hint="eastAsia"/>
                <w:b/>
                <w:bCs/>
                <w:color w:val="auto"/>
                <w:sz w:val="21"/>
              </w:rPr>
              <w:t>系统</w:t>
            </w:r>
            <w:r>
              <w:rPr>
                <w:b/>
                <w:bCs/>
                <w:color w:val="auto"/>
                <w:sz w:val="21"/>
              </w:rPr>
              <w:t>描述</w:t>
            </w:r>
          </w:p>
        </w:tc>
        <w:tc>
          <w:tcPr>
            <w:tcW w:w="1218" w:type="dxa"/>
            <w:shd w:val="clear" w:color="000000" w:fill="FFFFFF"/>
            <w:noWrap/>
            <w:vAlign w:val="center"/>
          </w:tcPr>
          <w:p>
            <w:pPr>
              <w:pStyle w:val="18"/>
              <w:spacing w:before="156"/>
              <w:rPr>
                <w:b/>
                <w:bCs/>
                <w:color w:val="auto"/>
                <w:sz w:val="21"/>
              </w:rPr>
            </w:pPr>
            <w:r>
              <w:rPr>
                <w:rFonts w:hint="eastAsia"/>
                <w:b/>
                <w:bCs/>
                <w:color w:val="auto"/>
                <w:sz w:val="21"/>
              </w:rPr>
              <w:t>数量</w:t>
            </w:r>
          </w:p>
        </w:tc>
        <w:tc>
          <w:tcPr>
            <w:tcW w:w="1022" w:type="dxa"/>
            <w:shd w:val="clear" w:color="000000" w:fill="FFFFFF"/>
            <w:noWrap/>
            <w:vAlign w:val="center"/>
          </w:tcPr>
          <w:p>
            <w:pPr>
              <w:pStyle w:val="18"/>
              <w:spacing w:before="156"/>
              <w:rPr>
                <w:b/>
                <w:bCs/>
                <w:color w:val="auto"/>
                <w:sz w:val="21"/>
              </w:rPr>
            </w:pPr>
            <w:r>
              <w:rPr>
                <w:rFonts w:hint="eastAsia"/>
                <w:b/>
                <w:bCs/>
                <w:color w:val="auto"/>
                <w:sz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shd w:val="clear" w:color="000000" w:fill="FFFFFF"/>
            <w:noWrap/>
            <w:vAlign w:val="center"/>
          </w:tcPr>
          <w:p>
            <w:pPr>
              <w:pStyle w:val="18"/>
              <w:spacing w:before="156"/>
              <w:jc w:val="center"/>
              <w:rPr>
                <w:bCs/>
                <w:color w:val="auto"/>
                <w:sz w:val="21"/>
              </w:rPr>
            </w:pPr>
            <w:r>
              <w:rPr>
                <w:bCs/>
                <w:color w:val="auto"/>
                <w:sz w:val="21"/>
              </w:rPr>
              <w:t>1</w:t>
            </w:r>
          </w:p>
        </w:tc>
        <w:tc>
          <w:tcPr>
            <w:tcW w:w="1985" w:type="dxa"/>
            <w:shd w:val="clear" w:color="000000" w:fill="FFFFFF"/>
            <w:vAlign w:val="center"/>
          </w:tcPr>
          <w:p>
            <w:pPr>
              <w:pStyle w:val="18"/>
              <w:spacing w:before="156"/>
              <w:rPr>
                <w:bCs/>
                <w:color w:val="auto"/>
                <w:sz w:val="21"/>
              </w:rPr>
            </w:pPr>
            <w:r>
              <w:rPr>
                <w:rFonts w:hint="eastAsia"/>
                <w:bCs/>
                <w:color w:val="auto"/>
                <w:sz w:val="21"/>
              </w:rPr>
              <w:t>医疗物联网基础网络平台</w:t>
            </w:r>
          </w:p>
        </w:tc>
        <w:tc>
          <w:tcPr>
            <w:tcW w:w="3260" w:type="dxa"/>
            <w:shd w:val="clear" w:color="000000" w:fill="FFFFFF"/>
            <w:vAlign w:val="center"/>
          </w:tcPr>
          <w:p>
            <w:pPr>
              <w:pStyle w:val="18"/>
              <w:spacing w:before="156"/>
              <w:rPr>
                <w:bCs/>
                <w:color w:val="auto"/>
                <w:sz w:val="21"/>
              </w:rPr>
            </w:pPr>
            <w:r>
              <w:rPr>
                <w:rFonts w:hint="eastAsia" w:cs="宋体"/>
                <w:bCs/>
                <w:color w:val="auto"/>
                <w:sz w:val="21"/>
              </w:rPr>
              <w:t>工作频率：</w:t>
            </w:r>
            <w:r>
              <w:rPr>
                <w:rFonts w:cs="宋体"/>
                <w:color w:val="auto"/>
                <w:sz w:val="21"/>
              </w:rPr>
              <w:t>400-6000MHz</w:t>
            </w:r>
            <w:r>
              <w:rPr>
                <w:rFonts w:hint="eastAsia" w:cs="宋体"/>
                <w:color w:val="auto"/>
                <w:sz w:val="21"/>
              </w:rPr>
              <w:t>，一网多用、多网合一，本次建设覆第二盖住院大楼2</w:t>
            </w:r>
            <w:r>
              <w:rPr>
                <w:rFonts w:cs="宋体"/>
                <w:color w:val="auto"/>
                <w:sz w:val="21"/>
              </w:rPr>
              <w:t>-19</w:t>
            </w:r>
            <w:r>
              <w:rPr>
                <w:rFonts w:hint="eastAsia" w:cs="宋体"/>
                <w:color w:val="auto"/>
                <w:sz w:val="21"/>
              </w:rPr>
              <w:t>楼所有病区</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18</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7" w:type="dxa"/>
            <w:shd w:val="clear" w:color="000000" w:fill="FFFFFF"/>
            <w:noWrap/>
            <w:vAlign w:val="center"/>
          </w:tcPr>
          <w:p>
            <w:pPr>
              <w:pStyle w:val="18"/>
              <w:spacing w:before="156"/>
              <w:jc w:val="center"/>
              <w:rPr>
                <w:bCs/>
                <w:color w:val="auto"/>
                <w:sz w:val="21"/>
              </w:rPr>
            </w:pPr>
            <w:r>
              <w:rPr>
                <w:bCs/>
                <w:color w:val="auto"/>
                <w:sz w:val="21"/>
              </w:rPr>
              <w:t>2</w:t>
            </w:r>
          </w:p>
        </w:tc>
        <w:tc>
          <w:tcPr>
            <w:tcW w:w="1985" w:type="dxa"/>
            <w:shd w:val="clear" w:color="000000" w:fill="FFFFFF"/>
            <w:vAlign w:val="center"/>
          </w:tcPr>
          <w:p>
            <w:pPr>
              <w:pStyle w:val="18"/>
              <w:spacing w:before="156"/>
              <w:rPr>
                <w:bCs/>
                <w:color w:val="auto"/>
                <w:sz w:val="21"/>
              </w:rPr>
            </w:pPr>
            <w:r>
              <w:rPr>
                <w:rFonts w:hint="eastAsia"/>
                <w:bCs/>
                <w:color w:val="auto"/>
                <w:sz w:val="21"/>
              </w:rPr>
              <w:t>医疗物联网基站</w:t>
            </w:r>
          </w:p>
        </w:tc>
        <w:tc>
          <w:tcPr>
            <w:tcW w:w="3260" w:type="dxa"/>
            <w:shd w:val="clear" w:color="000000" w:fill="FFFFFF"/>
            <w:vAlign w:val="center"/>
          </w:tcPr>
          <w:p>
            <w:pPr>
              <w:pStyle w:val="18"/>
              <w:spacing w:before="156"/>
              <w:rPr>
                <w:bCs/>
                <w:color w:val="auto"/>
                <w:sz w:val="21"/>
              </w:rPr>
            </w:pPr>
            <w:r>
              <w:rPr>
                <w:rFonts w:hint="eastAsia"/>
                <w:bCs/>
                <w:color w:val="auto"/>
                <w:sz w:val="21"/>
              </w:rPr>
              <w:t>实时接收、推送传感器数据和报警信息，支持和医疗物联网平台集成使用</w:t>
            </w:r>
            <w:r>
              <w:rPr>
                <w:bCs/>
                <w:color w:val="auto"/>
                <w:sz w:val="21"/>
              </w:rPr>
              <w:t xml:space="preserve"> </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18</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shd w:val="clear" w:color="000000" w:fill="FFFFFF"/>
            <w:noWrap/>
            <w:vAlign w:val="center"/>
          </w:tcPr>
          <w:p>
            <w:pPr>
              <w:pStyle w:val="18"/>
              <w:spacing w:before="156"/>
              <w:jc w:val="center"/>
              <w:rPr>
                <w:bCs/>
                <w:color w:val="auto"/>
                <w:sz w:val="21"/>
              </w:rPr>
            </w:pPr>
            <w:r>
              <w:rPr>
                <w:bCs/>
                <w:color w:val="auto"/>
                <w:sz w:val="21"/>
              </w:rPr>
              <w:t>3</w:t>
            </w:r>
          </w:p>
        </w:tc>
        <w:tc>
          <w:tcPr>
            <w:tcW w:w="1985" w:type="dxa"/>
            <w:shd w:val="clear" w:color="000000" w:fill="FFFFFF"/>
            <w:vAlign w:val="center"/>
          </w:tcPr>
          <w:p>
            <w:pPr>
              <w:pStyle w:val="18"/>
              <w:spacing w:before="156"/>
              <w:rPr>
                <w:bCs/>
                <w:color w:val="auto"/>
                <w:sz w:val="21"/>
              </w:rPr>
            </w:pPr>
            <w:r>
              <w:rPr>
                <w:rFonts w:hint="eastAsia"/>
                <w:bCs/>
                <w:color w:val="auto"/>
                <w:sz w:val="21"/>
              </w:rPr>
              <w:t>物联网综合运维平台软件</w:t>
            </w:r>
          </w:p>
        </w:tc>
        <w:tc>
          <w:tcPr>
            <w:tcW w:w="3260" w:type="dxa"/>
            <w:shd w:val="clear" w:color="000000" w:fill="FFFFFF"/>
            <w:vAlign w:val="center"/>
          </w:tcPr>
          <w:p>
            <w:pPr>
              <w:pStyle w:val="18"/>
              <w:spacing w:before="156"/>
              <w:rPr>
                <w:bCs/>
                <w:strike/>
                <w:color w:val="auto"/>
                <w:sz w:val="21"/>
              </w:rPr>
            </w:pPr>
            <w:r>
              <w:rPr>
                <w:rFonts w:hint="eastAsia"/>
                <w:bCs/>
                <w:color w:val="auto"/>
                <w:sz w:val="21"/>
              </w:rPr>
              <w:t>对医疗物联网的基础设施硬件、终端、标签、应用软件的运行情况进行中心监控，问题告警、统计分析等</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bCs/>
                <w:color w:val="auto"/>
                <w:sz w:val="21"/>
              </w:rPr>
              <w:t>4</w:t>
            </w:r>
          </w:p>
        </w:tc>
        <w:tc>
          <w:tcPr>
            <w:tcW w:w="1985" w:type="dxa"/>
            <w:shd w:val="clear" w:color="000000" w:fill="FFFFFF"/>
            <w:vAlign w:val="center"/>
          </w:tcPr>
          <w:p>
            <w:pPr>
              <w:pStyle w:val="18"/>
              <w:spacing w:before="156"/>
              <w:rPr>
                <w:bCs/>
                <w:color w:val="auto"/>
                <w:sz w:val="21"/>
              </w:rPr>
            </w:pPr>
            <w:r>
              <w:rPr>
                <w:rFonts w:hint="eastAsia"/>
                <w:bCs/>
                <w:color w:val="auto"/>
                <w:sz w:val="21"/>
              </w:rPr>
              <w:t>物联网数据采集引擎软件</w:t>
            </w:r>
          </w:p>
        </w:tc>
        <w:tc>
          <w:tcPr>
            <w:tcW w:w="3260" w:type="dxa"/>
            <w:shd w:val="clear" w:color="000000" w:fill="FFFFFF"/>
            <w:vAlign w:val="center"/>
          </w:tcPr>
          <w:p>
            <w:pPr>
              <w:pStyle w:val="18"/>
              <w:spacing w:before="156"/>
              <w:rPr>
                <w:bCs/>
                <w:strike/>
                <w:color w:val="auto"/>
                <w:sz w:val="21"/>
              </w:rPr>
            </w:pPr>
            <w:r>
              <w:rPr>
                <w:rFonts w:hint="eastAsia"/>
                <w:bCs/>
                <w:color w:val="auto"/>
                <w:sz w:val="21"/>
              </w:rPr>
              <w:t>统一处理各种物联网终端通过物联网传感基站和单元上传的数据，统一管理、解析并且分发数据</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18</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rFonts w:hint="eastAsia"/>
                <w:bCs/>
                <w:color w:val="auto"/>
                <w:sz w:val="21"/>
              </w:rPr>
              <w:t>5</w:t>
            </w:r>
          </w:p>
        </w:tc>
        <w:tc>
          <w:tcPr>
            <w:tcW w:w="1985" w:type="dxa"/>
            <w:shd w:val="clear" w:color="000000" w:fill="FFFFFF"/>
            <w:vAlign w:val="center"/>
          </w:tcPr>
          <w:p>
            <w:pPr>
              <w:pStyle w:val="18"/>
              <w:spacing w:before="156"/>
              <w:rPr>
                <w:bCs/>
                <w:color w:val="auto"/>
                <w:sz w:val="21"/>
              </w:rPr>
            </w:pPr>
            <w:r>
              <w:rPr>
                <w:rFonts w:hint="eastAsia"/>
                <w:bCs/>
                <w:color w:val="auto"/>
                <w:sz w:val="21"/>
              </w:rPr>
              <w:t>物联网定位引擎软件</w:t>
            </w:r>
          </w:p>
        </w:tc>
        <w:tc>
          <w:tcPr>
            <w:tcW w:w="3260" w:type="dxa"/>
            <w:shd w:val="clear" w:color="000000" w:fill="FFFFFF"/>
            <w:vAlign w:val="center"/>
          </w:tcPr>
          <w:p>
            <w:pPr>
              <w:pStyle w:val="18"/>
              <w:spacing w:before="156"/>
              <w:rPr>
                <w:bCs/>
                <w:color w:val="auto"/>
                <w:sz w:val="21"/>
              </w:rPr>
            </w:pPr>
            <w:r>
              <w:rPr>
                <w:rFonts w:hint="eastAsia"/>
                <w:bCs/>
                <w:color w:val="auto"/>
                <w:sz w:val="21"/>
              </w:rPr>
              <w:t>实时解析、分发定位标签和定位天线上传的定位数据和事件数据等</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rFonts w:hint="eastAsia"/>
                <w:bCs/>
                <w:color w:val="auto"/>
                <w:sz w:val="21"/>
              </w:rPr>
              <w:t>6</w:t>
            </w:r>
          </w:p>
        </w:tc>
        <w:tc>
          <w:tcPr>
            <w:tcW w:w="1985" w:type="dxa"/>
            <w:shd w:val="clear" w:color="000000" w:fill="FFFFFF"/>
            <w:vAlign w:val="center"/>
          </w:tcPr>
          <w:p>
            <w:pPr>
              <w:pStyle w:val="18"/>
              <w:spacing w:before="156"/>
              <w:rPr>
                <w:bCs/>
                <w:color w:val="auto"/>
                <w:sz w:val="21"/>
              </w:rPr>
            </w:pPr>
            <w:r>
              <w:rPr>
                <w:rFonts w:hint="eastAsia"/>
                <w:bCs/>
                <w:sz w:val="21"/>
              </w:rPr>
              <w:t>患者体温监控系统（含配套设备）</w:t>
            </w:r>
          </w:p>
        </w:tc>
        <w:tc>
          <w:tcPr>
            <w:tcW w:w="3260" w:type="dxa"/>
            <w:shd w:val="clear" w:color="000000" w:fill="FFFFFF"/>
            <w:vAlign w:val="center"/>
          </w:tcPr>
          <w:p>
            <w:pPr>
              <w:pStyle w:val="18"/>
              <w:spacing w:before="156"/>
              <w:rPr>
                <w:bCs/>
                <w:color w:val="auto"/>
                <w:sz w:val="21"/>
              </w:rPr>
            </w:pPr>
            <w:r>
              <w:rPr>
                <w:rFonts w:hint="eastAsia"/>
                <w:bCs/>
                <w:color w:val="auto"/>
                <w:sz w:val="21"/>
              </w:rPr>
              <w:t>实时监护患者体温数据，自动生成患者体温历史曲线，本次建设覆盖第二住院大楼1</w:t>
            </w:r>
            <w:r>
              <w:rPr>
                <w:bCs/>
                <w:color w:val="auto"/>
                <w:sz w:val="21"/>
              </w:rPr>
              <w:t>6-19</w:t>
            </w:r>
            <w:r>
              <w:rPr>
                <w:rFonts w:hint="eastAsia"/>
                <w:bCs/>
                <w:color w:val="auto"/>
                <w:sz w:val="21"/>
              </w:rPr>
              <w:t xml:space="preserve">层 </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4</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rFonts w:hint="eastAsia"/>
                <w:bCs/>
                <w:color w:val="auto"/>
                <w:sz w:val="21"/>
              </w:rPr>
              <w:t>7</w:t>
            </w:r>
          </w:p>
        </w:tc>
        <w:tc>
          <w:tcPr>
            <w:tcW w:w="1985" w:type="dxa"/>
            <w:shd w:val="clear" w:color="000000" w:fill="FFFFFF"/>
            <w:vAlign w:val="center"/>
          </w:tcPr>
          <w:p>
            <w:pPr>
              <w:pStyle w:val="18"/>
              <w:spacing w:before="156"/>
              <w:rPr>
                <w:bCs/>
                <w:color w:val="auto"/>
                <w:sz w:val="21"/>
              </w:rPr>
            </w:pPr>
            <w:r>
              <w:rPr>
                <w:rFonts w:hint="eastAsia"/>
                <w:bCs/>
                <w:sz w:val="21"/>
              </w:rPr>
              <w:t>医院冷链管理系统（含配套设备）</w:t>
            </w:r>
          </w:p>
        </w:tc>
        <w:tc>
          <w:tcPr>
            <w:tcW w:w="3260" w:type="dxa"/>
            <w:shd w:val="clear" w:color="000000" w:fill="FFFFFF"/>
            <w:vAlign w:val="center"/>
          </w:tcPr>
          <w:p>
            <w:pPr>
              <w:pStyle w:val="18"/>
              <w:spacing w:before="156"/>
              <w:rPr>
                <w:bCs/>
                <w:color w:val="auto"/>
                <w:sz w:val="21"/>
              </w:rPr>
            </w:pPr>
            <w:r>
              <w:rPr>
                <w:rFonts w:hint="eastAsia"/>
                <w:bCs/>
                <w:color w:val="auto"/>
                <w:sz w:val="21"/>
              </w:rPr>
              <w:t>用于集中监控冰箱温湿度数据，查询历史数据并生成报表，定义异常事件告警规则等，支持对接微信小程序、微信公众号；本次建设第二覆盖住院大楼2</w:t>
            </w:r>
            <w:r>
              <w:rPr>
                <w:bCs/>
                <w:color w:val="auto"/>
                <w:sz w:val="21"/>
              </w:rPr>
              <w:t>-19</w:t>
            </w:r>
            <w:r>
              <w:rPr>
                <w:rFonts w:hint="eastAsia"/>
                <w:bCs/>
                <w:color w:val="auto"/>
                <w:sz w:val="21"/>
              </w:rPr>
              <w:t>层</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18</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rFonts w:hint="eastAsia"/>
                <w:bCs/>
                <w:color w:val="auto"/>
                <w:sz w:val="21"/>
              </w:rPr>
              <w:t>8</w:t>
            </w:r>
          </w:p>
        </w:tc>
        <w:tc>
          <w:tcPr>
            <w:tcW w:w="1985" w:type="dxa"/>
            <w:shd w:val="clear" w:color="000000" w:fill="FFFFFF"/>
            <w:vAlign w:val="center"/>
          </w:tcPr>
          <w:p>
            <w:pPr>
              <w:pStyle w:val="18"/>
              <w:spacing w:before="156"/>
              <w:rPr>
                <w:bCs/>
                <w:sz w:val="21"/>
              </w:rPr>
            </w:pPr>
            <w:r>
              <w:rPr>
                <w:rFonts w:hint="eastAsia"/>
                <w:bCs/>
                <w:sz w:val="21"/>
              </w:rPr>
              <w:t>医院环境监控系统（含配套设备）</w:t>
            </w:r>
          </w:p>
        </w:tc>
        <w:tc>
          <w:tcPr>
            <w:tcW w:w="3260" w:type="dxa"/>
            <w:shd w:val="clear" w:color="000000" w:fill="FFFFFF"/>
            <w:vAlign w:val="center"/>
          </w:tcPr>
          <w:p>
            <w:pPr>
              <w:pStyle w:val="18"/>
              <w:spacing w:before="156"/>
              <w:rPr>
                <w:bCs/>
                <w:color w:val="auto"/>
                <w:sz w:val="21"/>
              </w:rPr>
            </w:pPr>
            <w:r>
              <w:rPr>
                <w:rFonts w:hint="eastAsia"/>
                <w:bCs/>
                <w:color w:val="auto"/>
                <w:sz w:val="21"/>
              </w:rPr>
              <w:t>集中监控温度、湿度、噪声、光照、</w:t>
            </w:r>
            <w:r>
              <w:rPr>
                <w:bCs/>
                <w:color w:val="auto"/>
                <w:sz w:val="21"/>
              </w:rPr>
              <w:t>CO2浓度、TVOC、PM1.0、PM2.5、PM10等环境数据，</w:t>
            </w:r>
            <w:r>
              <w:rPr>
                <w:rFonts w:hint="eastAsia"/>
                <w:bCs/>
                <w:color w:val="auto"/>
                <w:sz w:val="21"/>
              </w:rPr>
              <w:t>本次建设覆盖第二住院大楼2</w:t>
            </w:r>
            <w:r>
              <w:rPr>
                <w:bCs/>
                <w:color w:val="auto"/>
                <w:sz w:val="21"/>
              </w:rPr>
              <w:t>-19</w:t>
            </w:r>
            <w:r>
              <w:rPr>
                <w:rFonts w:hint="eastAsia"/>
                <w:bCs/>
                <w:color w:val="auto"/>
                <w:sz w:val="21"/>
              </w:rPr>
              <w:t>层</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18</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pPr>
              <w:pStyle w:val="18"/>
              <w:spacing w:before="156"/>
              <w:jc w:val="center"/>
              <w:rPr>
                <w:bCs/>
                <w:color w:val="auto"/>
                <w:sz w:val="21"/>
              </w:rPr>
            </w:pPr>
            <w:r>
              <w:rPr>
                <w:rFonts w:hint="eastAsia"/>
                <w:bCs/>
                <w:color w:val="auto"/>
                <w:sz w:val="21"/>
              </w:rPr>
              <w:t>9</w:t>
            </w:r>
          </w:p>
        </w:tc>
        <w:tc>
          <w:tcPr>
            <w:tcW w:w="1985" w:type="dxa"/>
            <w:shd w:val="clear" w:color="000000" w:fill="FFFFFF"/>
            <w:vAlign w:val="center"/>
          </w:tcPr>
          <w:p>
            <w:pPr>
              <w:pStyle w:val="18"/>
              <w:spacing w:before="156"/>
              <w:rPr>
                <w:bCs/>
                <w:sz w:val="21"/>
              </w:rPr>
            </w:pPr>
            <w:r>
              <w:rPr>
                <w:rFonts w:hint="eastAsia"/>
                <w:bCs/>
                <w:sz w:val="21"/>
              </w:rPr>
              <w:t>婴儿防盗系统（含配套设备）</w:t>
            </w:r>
          </w:p>
        </w:tc>
        <w:tc>
          <w:tcPr>
            <w:tcW w:w="3260" w:type="dxa"/>
            <w:shd w:val="clear" w:color="000000" w:fill="FFFFFF"/>
            <w:vAlign w:val="center"/>
          </w:tcPr>
          <w:p>
            <w:pPr>
              <w:pStyle w:val="18"/>
              <w:spacing w:before="156"/>
              <w:rPr>
                <w:bCs/>
                <w:color w:val="auto"/>
                <w:sz w:val="21"/>
              </w:rPr>
            </w:pPr>
            <w:r>
              <w:rPr>
                <w:rFonts w:hint="eastAsia"/>
                <w:bCs/>
                <w:color w:val="auto"/>
                <w:sz w:val="21"/>
              </w:rPr>
              <w:t>集中监控在院婴儿的安全状态，防止婴儿被盗，支持病区管理、床位管理、标签绑定、授权管理及告警策略管理，本次建设覆盖第二住院大楼7层产科</w:t>
            </w:r>
          </w:p>
        </w:tc>
        <w:tc>
          <w:tcPr>
            <w:tcW w:w="1218" w:type="dxa"/>
            <w:shd w:val="clear" w:color="000000" w:fill="FFFFFF"/>
            <w:noWrap/>
            <w:vAlign w:val="center"/>
          </w:tcPr>
          <w:p>
            <w:pPr>
              <w:pStyle w:val="18"/>
              <w:spacing w:before="156"/>
              <w:jc w:val="center"/>
              <w:rPr>
                <w:bCs/>
                <w:color w:val="auto"/>
                <w:sz w:val="21"/>
              </w:rPr>
            </w:pPr>
            <w:r>
              <w:rPr>
                <w:rFonts w:hint="eastAsia"/>
                <w:bCs/>
                <w:color w:val="auto"/>
                <w:sz w:val="21"/>
              </w:rPr>
              <w:t>1</w:t>
            </w:r>
          </w:p>
        </w:tc>
        <w:tc>
          <w:tcPr>
            <w:tcW w:w="1022" w:type="dxa"/>
            <w:shd w:val="clear" w:color="000000" w:fill="FFFFFF"/>
            <w:noWrap/>
            <w:vAlign w:val="center"/>
          </w:tcPr>
          <w:p>
            <w:pPr>
              <w:pStyle w:val="18"/>
              <w:spacing w:before="156"/>
              <w:jc w:val="center"/>
              <w:rPr>
                <w:bCs/>
                <w:color w:val="auto"/>
                <w:sz w:val="21"/>
              </w:rPr>
            </w:pPr>
            <w:r>
              <w:rPr>
                <w:rFonts w:hint="eastAsia"/>
                <w:bCs/>
                <w:color w:val="auto"/>
                <w:sz w:val="21"/>
              </w:rPr>
              <w:t>套</w:t>
            </w:r>
          </w:p>
        </w:tc>
      </w:tr>
    </w:tbl>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D05B6"/>
    <w:multiLevelType w:val="multilevel"/>
    <w:tmpl w:val="041D05B6"/>
    <w:lvl w:ilvl="0" w:tentative="0">
      <w:start w:val="1"/>
      <w:numFmt w:val="decimal"/>
      <w:lvlText w:val="%1、"/>
      <w:lvlJc w:val="left"/>
      <w:pPr>
        <w:ind w:left="780" w:hanging="36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F891E29"/>
    <w:multiLevelType w:val="multilevel"/>
    <w:tmpl w:val="0F891E29"/>
    <w:lvl w:ilvl="0" w:tentative="0">
      <w:start w:val="1"/>
      <w:numFmt w:val="japaneseCounting"/>
      <w:lvlText w:val="%1、"/>
      <w:lvlJc w:val="left"/>
      <w:pPr>
        <w:ind w:left="630" w:hanging="420"/>
      </w:pPr>
      <w:rPr>
        <w:rFonts w:hint="default"/>
      </w:rPr>
    </w:lvl>
    <w:lvl w:ilvl="1" w:tentative="0">
      <w:start w:val="1"/>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58C008B0"/>
    <w:multiLevelType w:val="multilevel"/>
    <w:tmpl w:val="58C008B0"/>
    <w:lvl w:ilvl="0" w:tentative="0">
      <w:start w:val="1"/>
      <w:numFmt w:val="chineseCountingThousand"/>
      <w:pStyle w:val="2"/>
      <w:lvlText w:val="%1、"/>
      <w:lvlJc w:val="left"/>
      <w:pPr>
        <w:ind w:left="0" w:firstLine="0"/>
      </w:pPr>
      <w:rPr>
        <w:rFonts w:hint="eastAsia"/>
      </w:rPr>
    </w:lvl>
    <w:lvl w:ilvl="1" w:tentative="0">
      <w:start w:val="1"/>
      <w:numFmt w:val="decimal"/>
      <w:pStyle w:val="3"/>
      <w:isLgl/>
      <w:lvlText w:val="%1.%2"/>
      <w:lvlJc w:val="left"/>
      <w:pPr>
        <w:ind w:left="170" w:firstLine="0"/>
      </w:pPr>
      <w:rPr>
        <w:rFonts w:hint="eastAsia"/>
      </w:rPr>
    </w:lvl>
    <w:lvl w:ilvl="2" w:tentative="0">
      <w:start w:val="1"/>
      <w:numFmt w:val="decimal"/>
      <w:pStyle w:val="4"/>
      <w:isLgl/>
      <w:lvlText w:val="%1.%2.%3"/>
      <w:lvlJc w:val="left"/>
      <w:pPr>
        <w:ind w:left="340" w:firstLine="0"/>
      </w:pPr>
      <w:rPr>
        <w:rFonts w:hint="eastAsia"/>
      </w:rPr>
    </w:lvl>
    <w:lvl w:ilvl="3" w:tentative="0">
      <w:start w:val="1"/>
      <w:numFmt w:val="decimal"/>
      <w:pStyle w:val="5"/>
      <w:isLgl/>
      <w:lvlText w:val="%1.%2.%3.%4"/>
      <w:lvlJc w:val="left"/>
      <w:pPr>
        <w:ind w:left="510" w:firstLine="0"/>
      </w:pPr>
      <w:rPr>
        <w:rFonts w:hint="eastAsia"/>
      </w:rPr>
    </w:lvl>
    <w:lvl w:ilvl="4" w:tentative="0">
      <w:start w:val="1"/>
      <w:numFmt w:val="decimal"/>
      <w:lvlText w:val="%1.%2.%3.%4.%5"/>
      <w:lvlJc w:val="left"/>
      <w:pPr>
        <w:ind w:left="680" w:firstLine="0"/>
      </w:pPr>
      <w:rPr>
        <w:rFonts w:hint="eastAsia"/>
      </w:rPr>
    </w:lvl>
    <w:lvl w:ilvl="5" w:tentative="0">
      <w:start w:val="1"/>
      <w:numFmt w:val="decimal"/>
      <w:lvlText w:val="%1.%2.%3.%4.%5.%6"/>
      <w:lvlJc w:val="left"/>
      <w:pPr>
        <w:ind w:left="850" w:firstLine="0"/>
      </w:pPr>
      <w:rPr>
        <w:rFonts w:hint="eastAsia"/>
      </w:rPr>
    </w:lvl>
    <w:lvl w:ilvl="6" w:tentative="0">
      <w:start w:val="1"/>
      <w:numFmt w:val="decimal"/>
      <w:lvlText w:val="%1.%2.%3.%4.%5.%6.%7"/>
      <w:lvlJc w:val="left"/>
      <w:pPr>
        <w:ind w:left="1020" w:firstLine="0"/>
      </w:pPr>
      <w:rPr>
        <w:rFonts w:hint="eastAsia"/>
      </w:rPr>
    </w:lvl>
    <w:lvl w:ilvl="7" w:tentative="0">
      <w:start w:val="1"/>
      <w:numFmt w:val="decimal"/>
      <w:lvlText w:val="%1.%2.%3.%4.%5.%6.%7.%8"/>
      <w:lvlJc w:val="left"/>
      <w:pPr>
        <w:ind w:left="1190" w:firstLine="0"/>
      </w:pPr>
      <w:rPr>
        <w:rFonts w:hint="eastAsia"/>
      </w:rPr>
    </w:lvl>
    <w:lvl w:ilvl="8" w:tentative="0">
      <w:start w:val="1"/>
      <w:numFmt w:val="decimal"/>
      <w:lvlText w:val="%1.%2.%3.%4.%5.%6.%7.%8.%9"/>
      <w:lvlJc w:val="left"/>
      <w:pPr>
        <w:ind w:left="136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B4"/>
    <w:rsid w:val="00031A9B"/>
    <w:rsid w:val="000416FF"/>
    <w:rsid w:val="000958A8"/>
    <w:rsid w:val="000B4289"/>
    <w:rsid w:val="000E0678"/>
    <w:rsid w:val="000E1DB6"/>
    <w:rsid w:val="00140FAF"/>
    <w:rsid w:val="00155C47"/>
    <w:rsid w:val="002112A9"/>
    <w:rsid w:val="0032463A"/>
    <w:rsid w:val="003B48FA"/>
    <w:rsid w:val="003C3406"/>
    <w:rsid w:val="003C7DB5"/>
    <w:rsid w:val="003E031C"/>
    <w:rsid w:val="004A2239"/>
    <w:rsid w:val="004C1501"/>
    <w:rsid w:val="0051100B"/>
    <w:rsid w:val="005236A4"/>
    <w:rsid w:val="00596B98"/>
    <w:rsid w:val="005E1C5D"/>
    <w:rsid w:val="00602653"/>
    <w:rsid w:val="00696BB4"/>
    <w:rsid w:val="006A2B88"/>
    <w:rsid w:val="006A4CB3"/>
    <w:rsid w:val="006E23F2"/>
    <w:rsid w:val="006E6561"/>
    <w:rsid w:val="006F452D"/>
    <w:rsid w:val="00713700"/>
    <w:rsid w:val="007412AC"/>
    <w:rsid w:val="00755F19"/>
    <w:rsid w:val="007C11D6"/>
    <w:rsid w:val="00845219"/>
    <w:rsid w:val="00886498"/>
    <w:rsid w:val="008E20A8"/>
    <w:rsid w:val="008E2911"/>
    <w:rsid w:val="00923773"/>
    <w:rsid w:val="009C08DD"/>
    <w:rsid w:val="009E7975"/>
    <w:rsid w:val="00A40542"/>
    <w:rsid w:val="00A618A3"/>
    <w:rsid w:val="00A77F9D"/>
    <w:rsid w:val="00AD0FD5"/>
    <w:rsid w:val="00B009C1"/>
    <w:rsid w:val="00B12641"/>
    <w:rsid w:val="00BE0796"/>
    <w:rsid w:val="00C1284B"/>
    <w:rsid w:val="00CF1CC1"/>
    <w:rsid w:val="00D0383D"/>
    <w:rsid w:val="00D107E9"/>
    <w:rsid w:val="00D720AC"/>
    <w:rsid w:val="00DE1372"/>
    <w:rsid w:val="00E135DD"/>
    <w:rsid w:val="00E400C7"/>
    <w:rsid w:val="00E60828"/>
    <w:rsid w:val="00EE0839"/>
    <w:rsid w:val="00EF5431"/>
    <w:rsid w:val="00F46BA8"/>
    <w:rsid w:val="00FA6C8C"/>
    <w:rsid w:val="00FD0B26"/>
    <w:rsid w:val="1A9052B8"/>
    <w:rsid w:val="406921E8"/>
    <w:rsid w:val="4CC97E78"/>
    <w:rsid w:val="580B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numPr>
        <w:ilvl w:val="0"/>
        <w:numId w:val="1"/>
      </w:numPr>
      <w:spacing w:line="360" w:lineRule="auto"/>
      <w:outlineLvl w:val="0"/>
    </w:pPr>
    <w:rPr>
      <w:rFonts w:ascii="Times New Roman" w:hAnsi="Times New Roman" w:eastAsia="宋体" w:cs="Times New Roman"/>
      <w:b/>
      <w:bCs/>
      <w:snapToGrid w:val="0"/>
      <w:sz w:val="28"/>
      <w:szCs w:val="32"/>
    </w:rPr>
  </w:style>
  <w:style w:type="paragraph" w:styleId="3">
    <w:name w:val="heading 2"/>
    <w:basedOn w:val="1"/>
    <w:next w:val="1"/>
    <w:link w:val="15"/>
    <w:unhideWhenUsed/>
    <w:qFormat/>
    <w:uiPriority w:val="0"/>
    <w:pPr>
      <w:keepNext/>
      <w:keepLines/>
      <w:numPr>
        <w:ilvl w:val="1"/>
        <w:numId w:val="1"/>
      </w:numPr>
      <w:spacing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0"/>
    <w:pPr>
      <w:keepNext/>
      <w:keepLines/>
      <w:numPr>
        <w:ilvl w:val="2"/>
        <w:numId w:val="1"/>
      </w:numPr>
      <w:spacing w:line="360" w:lineRule="auto"/>
      <w:outlineLvl w:val="2"/>
    </w:pPr>
    <w:rPr>
      <w:rFonts w:ascii="Times New Roman" w:hAnsi="Times New Roman" w:eastAsia="宋体" w:cs="Times New Roman"/>
      <w:b/>
      <w:bCs/>
      <w:sz w:val="30"/>
      <w:szCs w:val="32"/>
    </w:rPr>
  </w:style>
  <w:style w:type="paragraph" w:styleId="5">
    <w:name w:val="heading 4"/>
    <w:basedOn w:val="1"/>
    <w:next w:val="1"/>
    <w:link w:val="17"/>
    <w:unhideWhenUsed/>
    <w:qFormat/>
    <w:uiPriority w:val="0"/>
    <w:pPr>
      <w:keepNext/>
      <w:keepLines/>
      <w:numPr>
        <w:ilvl w:val="3"/>
        <w:numId w:val="1"/>
      </w:numPr>
      <w:spacing w:line="360"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10"/>
    <w:link w:val="2"/>
    <w:qFormat/>
    <w:uiPriority w:val="0"/>
    <w:rPr>
      <w:rFonts w:ascii="Times New Roman" w:hAnsi="Times New Roman" w:eastAsia="宋体" w:cs="Times New Roman"/>
      <w:b/>
      <w:bCs/>
      <w:snapToGrid w:val="0"/>
      <w:sz w:val="28"/>
      <w:szCs w:val="32"/>
    </w:rPr>
  </w:style>
  <w:style w:type="character" w:customStyle="1" w:styleId="15">
    <w:name w:val="标题 2 字符"/>
    <w:basedOn w:val="10"/>
    <w:link w:val="3"/>
    <w:qFormat/>
    <w:uiPriority w:val="0"/>
    <w:rPr>
      <w:rFonts w:asciiTheme="majorHAnsi" w:hAnsiTheme="majorHAnsi" w:eastAsiaTheme="majorEastAsia" w:cstheme="majorBidi"/>
      <w:b/>
      <w:bCs/>
      <w:sz w:val="32"/>
      <w:szCs w:val="32"/>
    </w:rPr>
  </w:style>
  <w:style w:type="character" w:customStyle="1" w:styleId="16">
    <w:name w:val="标题 3 字符"/>
    <w:basedOn w:val="10"/>
    <w:link w:val="4"/>
    <w:uiPriority w:val="0"/>
    <w:rPr>
      <w:rFonts w:ascii="Times New Roman" w:hAnsi="Times New Roman" w:eastAsia="宋体" w:cs="Times New Roman"/>
      <w:b/>
      <w:bCs/>
      <w:sz w:val="30"/>
      <w:szCs w:val="32"/>
    </w:rPr>
  </w:style>
  <w:style w:type="character" w:customStyle="1" w:styleId="17">
    <w:name w:val="标题 4 字符"/>
    <w:basedOn w:val="10"/>
    <w:link w:val="5"/>
    <w:qFormat/>
    <w:uiPriority w:val="0"/>
    <w:rPr>
      <w:rFonts w:asciiTheme="majorHAnsi" w:hAnsiTheme="majorHAnsi" w:eastAsiaTheme="majorEastAsia" w:cstheme="majorBidi"/>
      <w:b/>
      <w:bCs/>
      <w:sz w:val="28"/>
      <w:szCs w:val="28"/>
    </w:rPr>
  </w:style>
  <w:style w:type="paragraph" w:styleId="18">
    <w:name w:val="No Spacing"/>
    <w:link w:val="19"/>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character" w:customStyle="1" w:styleId="19">
    <w:name w:val="无间隔 字符"/>
    <w:link w:val="18"/>
    <w:qFormat/>
    <w:locked/>
    <w:uiPriority w:val="1"/>
    <w:rPr>
      <w:rFonts w:ascii="宋体" w:hAnsi="宋体" w:eastAsia="宋体" w:cs="Times New Roman"/>
      <w:color w:val="000000"/>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276</Words>
  <Characters>1578</Characters>
  <Lines>13</Lines>
  <Paragraphs>3</Paragraphs>
  <TotalTime>6</TotalTime>
  <ScaleCrop>false</ScaleCrop>
  <LinksUpToDate>false</LinksUpToDate>
  <CharactersWithSpaces>1851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2022-02-10T12:42:00Z</dcterms:created>
  <dc:creator>nana</dc:creator>
  <cp:lastModifiedBy>admin</cp:lastModifiedBy>
  <dcterms:modified xsi:type="dcterms:W3CDTF">2022-02-16T08:24:51Z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1D6C207726414749BF428C6996274890</vt:lpwstr>
  </property>
</Properties>
</file>