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成都市第五人民医院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外事法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律服务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随着我院五个医院建设逐渐深入，对外开放的程度不断增强，出国（境）、国际交流合作、外事活动等不断增加，按照国家卫健委《在华开展国际合作项目管理办法的通知》（国卫办国际法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〔2020〕</w:t>
      </w:r>
      <w:r>
        <w:rPr>
          <w:rFonts w:hint="eastAsia" w:ascii="仿宋_GB2312" w:hAnsi="仿宋_GB2312" w:eastAsia="仿宋_GB2312" w:cs="仿宋_GB2312"/>
          <w:sz w:val="32"/>
          <w:szCs w:val="32"/>
        </w:rPr>
        <w:t>20号），成都市《关于规范管理线上外事活动的通知》（成外发〔2020〕29号）等文件精神，为减少和规避因政治、经济、法制、文化和语言表达等差异给我院国际交流合作可能带来的风险，特申请采购专业外事法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一、服务概况和内容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（一）服务概况。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安排专职或兼职人员负责我院外事法务服务和法务管理。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1.清理、建立、完善医院国际交流合作与外事活动相关规章制度；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2.解答医院国际交流合作与外事活动中遇到的法务问题，提供外事法务咨询和法律意见，提供书面法律意见；就外事相关法务问题出具包括不限于律师意见书、律师函、声明、确认书等法律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文书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3.合同签订、履行合同合规管理；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4.外事法律知识培训；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5.为医院处理各种外事突发应急事件提供法律支持；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6.依法保护医院及医院主要技术人员专利、专有权、著作权等知识产权；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7.为医院外事诉讼、仲裁、医疗事故鉴定案件进行前期法律论证、策划，代理参加诉讼或仲裁等；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8.其它涉外法律事务服务。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资格</w:t>
      </w:r>
      <w:r>
        <w:rPr>
          <w:rFonts w:hint="eastAsia" w:ascii="楷体_GB2312" w:hAnsi="楷体_GB2312" w:eastAsia="楷体_GB2312" w:cs="楷体_GB2312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1.律师事务所必须具备相关司法部门颁发的执业许可证，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为本项目服务的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注册律师具有司法部门颁发的律师执业资格证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同时提供社保证明。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有规范、健全的服务质量控制体系、内部管理制度。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.具有大陆法系、美英法系外事法律服务经验。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.本项目不安排专职人员驻场办公，要求收到我院外事法律服务需求后48小时内出具律师意见书并以将扫描件及时发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送责任科室，纸质版应在3个工作日内送达责任科室。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4.后续服务保障要求：供应商应提供后续服务承诺，包括但不限于对服务期间履行外事法务职责的行为承担责任，在职责范围内对法务质量终身负责。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5.涉外医疗法律服务。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.本服务一采三年，一年一签，上一年度考核合格后，再签署下一年度合作合同。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成都市第五人民医院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月6日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C545F"/>
    <w:rsid w:val="4AC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2022-04-07T05:51:00Z</dcterms:created>
  <dc:creator>锐狐</dc:creator>
  <cp:lastModifiedBy>锐狐</cp:lastModifiedBy>
  <dcterms:modified xsi:type="dcterms:W3CDTF">2022-04-07T05:52:43Z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0CB5845E11404B10833F7D240E4DC7BE</vt:lpwstr>
  </property>
</Properties>
</file>