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54"/>
        <w:gridCol w:w="1054"/>
        <w:gridCol w:w="1054"/>
        <w:gridCol w:w="5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等离子双极宫腔电切镜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用于子宫粘膜下肌瘤、子宫内膜息肉、子宫纵隔、子宫内膜去除、子宫腔粘连等宫腔电切手术。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1、宫腔镜一支，镜子视角 12°，直径4毫米，可高温高压消毒，镜子工作长度≥210毫米。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2、等离子双极宫腔电切镜组合鞘一支（26Fr持续灌流可旋转外管鞘，24Fr内管鞘。含标准闭孔器）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3、双极被动工作手件一支；配置双极电切环、双极电凝电极、双极球状电凝电极、双极滚筒状电凝电极、针状电凝电极各一支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4、电极用灭菌管 一根；高频电缆导线 一根；3mm插头式导光束，高温高压灭菌。灭菌用置镜盒三套。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5、可与妇产科在用奥林巴斯等离子双极宫腔电切镜的工作平台兼容。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宫腔检查镜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主要用于妇科疾病的检查和微创治疗，如宫内异物取出、息肉等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1、宫腔镜镜子外径3mm，视野角30°；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2、有软性异物钳，软性活检钳、软性异物钳、硬质分离钳、硬质剪刀、软性剪刀等配置，需根据术中情况进行使用。满足临床需求。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3、导光束≥3m够长，方便使用，满足临床需求。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4、镜鞘需达到4.5-6.5mm，方便更顺利的进入宫腔。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5、可与我院现有狼牌宫腔镜主机兼容。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光学内窥镜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外管鞘  2根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剪刀1把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活检钳1把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异物钳1把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乳腺甲状腺外科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医用放大镜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5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主要用于甲状腺喉返神经、喉上神经保护、乳腺癌胸长神经、胸背神经保护；用于术中重要的血管保护。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视野（达250mm）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最大的景深（达290mm）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防尘、防水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容易清洗和消毒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调节灵活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可独立调左右眼的光学系统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眼镜式和头戴式均可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476829FB"/>
    <w:rsid w:val="16F37E24"/>
    <w:rsid w:val="4768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1129</Words>
  <Characters>1203</Characters>
  <Lines>0</Lines>
  <Paragraphs>0</Paragraphs>
  <TotalTime>1</TotalTime>
  <ScaleCrop>false</ScaleCrop>
  <LinksUpToDate>false</LinksUpToDate>
  <CharactersWithSpaces>1238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2022-08-22T01:09:00Z</dcterms:created>
  <dc:creator>医学装备科-肖婷</dc:creator>
  <cp:lastModifiedBy>医学装备科-肖婷</cp:lastModifiedBy>
  <dcterms:modified xsi:type="dcterms:W3CDTF">2022-08-30T01:16:18Z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B9AEEE548EC041559C53D675C4B18783</vt:lpwstr>
  </property>
</Properties>
</file>