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成都市第五人民医院</w:t>
      </w:r>
    </w:p>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EMC存储维保项目</w:t>
      </w:r>
      <w:r>
        <w:rPr>
          <w:rFonts w:hint="eastAsia" w:ascii="方正小标宋简体" w:hAnsi="方正小标宋简体" w:eastAsia="方正小标宋简体" w:cs="方正小标宋简体"/>
          <w:sz w:val="36"/>
          <w:szCs w:val="36"/>
        </w:rPr>
        <w:t>市场调研参数</w:t>
      </w:r>
    </w:p>
    <w:p>
      <w:pPr>
        <w:spacing w:line="360" w:lineRule="auto"/>
        <w:ind w:firstLine="640" w:firstLineChars="200"/>
        <w:rPr>
          <w:rFonts w:eastAsia="仿宋"/>
          <w:sz w:val="32"/>
        </w:rPr>
      </w:pPr>
      <w:r>
        <w:rPr>
          <w:rFonts w:eastAsia="仿宋"/>
          <w:sz w:val="32"/>
        </w:rPr>
        <w:t>针对我</w:t>
      </w:r>
      <w:r>
        <w:rPr>
          <w:rFonts w:hint="eastAsia" w:eastAsia="仿宋"/>
          <w:sz w:val="32"/>
        </w:rPr>
        <w:t>院</w:t>
      </w:r>
      <w:r>
        <w:rPr>
          <w:rFonts w:eastAsia="仿宋"/>
          <w:sz w:val="32"/>
        </w:rPr>
        <w:t>两台DELL EMC VNX5400存储设备及</w:t>
      </w:r>
      <w:r>
        <w:rPr>
          <w:rFonts w:hint="eastAsia" w:eastAsia="仿宋"/>
          <w:sz w:val="32"/>
        </w:rPr>
        <w:t>两</w:t>
      </w:r>
      <w:r>
        <w:rPr>
          <w:rFonts w:eastAsia="仿宋"/>
          <w:sz w:val="32"/>
        </w:rPr>
        <w:t>台VPLEX存储虚拟网关，</w:t>
      </w:r>
      <w:r>
        <w:rPr>
          <w:rFonts w:hint="eastAsia" w:eastAsia="仿宋"/>
          <w:sz w:val="32"/>
        </w:rPr>
        <w:t>四台</w:t>
      </w:r>
      <w:r>
        <w:rPr>
          <w:rFonts w:eastAsia="仿宋"/>
          <w:sz w:val="32"/>
        </w:rPr>
        <w:t>光纤交换机，</w:t>
      </w:r>
      <w:r>
        <w:rPr>
          <w:rFonts w:hint="eastAsia" w:eastAsia="仿宋"/>
          <w:sz w:val="32"/>
        </w:rPr>
        <w:t>两台</w:t>
      </w:r>
      <w:r>
        <w:rPr>
          <w:rFonts w:eastAsia="仿宋"/>
          <w:sz w:val="32"/>
        </w:rPr>
        <w:t>备份RPA设备提供软硬件维护服务，设备清单如下：</w:t>
      </w:r>
    </w:p>
    <w:p>
      <w:pPr>
        <w:spacing w:line="360" w:lineRule="auto"/>
        <w:ind w:firstLine="643" w:firstLineChars="200"/>
        <w:rPr>
          <w:rFonts w:eastAsia="仿宋"/>
          <w:b/>
          <w:sz w:val="32"/>
        </w:rPr>
      </w:pPr>
      <w:bookmarkStart w:id="1" w:name="_GoBack"/>
      <w:bookmarkEnd w:id="1"/>
    </w:p>
    <w:tbl>
      <w:tblPr>
        <w:tblStyle w:val="10"/>
        <w:tblW w:w="8843" w:type="dxa"/>
        <w:tblInd w:w="-5" w:type="dxa"/>
        <w:tblLayout w:type="autofit"/>
        <w:tblCellMar>
          <w:top w:w="0" w:type="dxa"/>
          <w:left w:w="0" w:type="dxa"/>
          <w:bottom w:w="0" w:type="dxa"/>
          <w:right w:w="0" w:type="dxa"/>
        </w:tblCellMar>
      </w:tblPr>
      <w:tblGrid>
        <w:gridCol w:w="1480"/>
        <w:gridCol w:w="1720"/>
        <w:gridCol w:w="2559"/>
        <w:gridCol w:w="3084"/>
      </w:tblGrid>
      <w:tr>
        <w:tblPrEx>
          <w:tblCellMar>
            <w:top w:w="0" w:type="dxa"/>
            <w:left w:w="0" w:type="dxa"/>
            <w:bottom w:w="0" w:type="dxa"/>
            <w:right w:w="0" w:type="dxa"/>
          </w:tblCellMar>
        </w:tblPrEx>
        <w:trPr>
          <w:trHeight w:val="480" w:hRule="atLeast"/>
        </w:trPr>
        <w:tc>
          <w:tcPr>
            <w:tcW w:w="1480" w:type="dxa"/>
            <w:tcBorders>
              <w:top w:val="single" w:color="auto" w:sz="8" w:space="0"/>
              <w:left w:val="single" w:color="auto" w:sz="8" w:space="0"/>
              <w:bottom w:val="single" w:color="auto" w:sz="4" w:space="0"/>
              <w:right w:val="single" w:color="auto" w:sz="8" w:space="0"/>
            </w:tcBorders>
            <w:shd w:val="clear" w:color="auto" w:fill="9BC2E6"/>
            <w:noWrap w:val="0"/>
            <w:tcMar>
              <w:top w:w="0" w:type="dxa"/>
              <w:left w:w="108" w:type="dxa"/>
              <w:bottom w:w="0" w:type="dxa"/>
              <w:right w:w="108" w:type="dxa"/>
            </w:tcMar>
            <w:vAlign w:val="center"/>
          </w:tcPr>
          <w:p>
            <w:pPr>
              <w:jc w:val="center"/>
              <w:rPr>
                <w:b/>
                <w:bCs/>
                <w:color w:val="000000"/>
                <w:kern w:val="0"/>
                <w:sz w:val="18"/>
                <w:szCs w:val="18"/>
              </w:rPr>
            </w:pPr>
            <w:r>
              <w:rPr>
                <w:b/>
                <w:bCs/>
                <w:color w:val="000000"/>
                <w:sz w:val="18"/>
                <w:szCs w:val="18"/>
              </w:rPr>
              <w:t>用户名称</w:t>
            </w:r>
          </w:p>
        </w:tc>
        <w:tc>
          <w:tcPr>
            <w:tcW w:w="1720" w:type="dxa"/>
            <w:tcBorders>
              <w:top w:val="single" w:color="auto" w:sz="8" w:space="0"/>
              <w:left w:val="nil"/>
              <w:bottom w:val="single" w:color="auto" w:sz="4" w:space="0"/>
              <w:right w:val="single" w:color="auto" w:sz="8" w:space="0"/>
            </w:tcBorders>
            <w:shd w:val="clear" w:color="auto" w:fill="9BC2E6"/>
            <w:noWrap w:val="0"/>
            <w:tcMar>
              <w:top w:w="0" w:type="dxa"/>
              <w:left w:w="108" w:type="dxa"/>
              <w:bottom w:w="0" w:type="dxa"/>
              <w:right w:w="108" w:type="dxa"/>
            </w:tcMar>
            <w:vAlign w:val="center"/>
          </w:tcPr>
          <w:p>
            <w:pPr>
              <w:rPr>
                <w:b/>
                <w:bCs/>
                <w:color w:val="000000"/>
                <w:sz w:val="18"/>
                <w:szCs w:val="18"/>
              </w:rPr>
            </w:pPr>
            <w:r>
              <w:rPr>
                <w:b/>
                <w:bCs/>
                <w:color w:val="000000"/>
                <w:sz w:val="18"/>
                <w:szCs w:val="18"/>
              </w:rPr>
              <w:t>设备类型</w:t>
            </w:r>
          </w:p>
        </w:tc>
        <w:tc>
          <w:tcPr>
            <w:tcW w:w="2559" w:type="dxa"/>
            <w:tcBorders>
              <w:top w:val="single" w:color="auto" w:sz="8" w:space="0"/>
              <w:left w:val="nil"/>
              <w:bottom w:val="single" w:color="auto" w:sz="4" w:space="0"/>
              <w:right w:val="single" w:color="auto" w:sz="8" w:space="0"/>
            </w:tcBorders>
            <w:shd w:val="clear" w:color="auto" w:fill="9BC2E6"/>
            <w:noWrap w:val="0"/>
            <w:tcMar>
              <w:top w:w="0" w:type="dxa"/>
              <w:left w:w="108" w:type="dxa"/>
              <w:bottom w:w="0" w:type="dxa"/>
              <w:right w:w="108" w:type="dxa"/>
            </w:tcMar>
            <w:vAlign w:val="center"/>
          </w:tcPr>
          <w:p>
            <w:pPr>
              <w:jc w:val="center"/>
              <w:rPr>
                <w:b/>
                <w:bCs/>
                <w:color w:val="000000"/>
                <w:sz w:val="18"/>
                <w:szCs w:val="18"/>
              </w:rPr>
            </w:pPr>
            <w:r>
              <w:rPr>
                <w:b/>
                <w:bCs/>
                <w:color w:val="000000"/>
                <w:sz w:val="18"/>
                <w:szCs w:val="18"/>
              </w:rPr>
              <w:t>设备类型</w:t>
            </w:r>
          </w:p>
        </w:tc>
        <w:tc>
          <w:tcPr>
            <w:tcW w:w="3084" w:type="dxa"/>
            <w:tcBorders>
              <w:top w:val="single" w:color="auto" w:sz="8" w:space="0"/>
              <w:left w:val="nil"/>
              <w:bottom w:val="single" w:color="auto" w:sz="4" w:space="0"/>
              <w:right w:val="single" w:color="auto" w:sz="8" w:space="0"/>
            </w:tcBorders>
            <w:shd w:val="clear" w:color="auto" w:fill="9BC2E6"/>
            <w:noWrap w:val="0"/>
            <w:tcMar>
              <w:top w:w="0" w:type="dxa"/>
              <w:left w:w="108" w:type="dxa"/>
              <w:bottom w:w="0" w:type="dxa"/>
              <w:right w:w="108" w:type="dxa"/>
            </w:tcMar>
            <w:vAlign w:val="center"/>
          </w:tcPr>
          <w:p>
            <w:pPr>
              <w:jc w:val="center"/>
              <w:rPr>
                <w:b/>
                <w:bCs/>
                <w:color w:val="000000"/>
                <w:sz w:val="18"/>
                <w:szCs w:val="18"/>
              </w:rPr>
            </w:pPr>
            <w:r>
              <w:rPr>
                <w:b/>
                <w:bCs/>
                <w:color w:val="000000"/>
                <w:sz w:val="18"/>
                <w:szCs w:val="18"/>
              </w:rPr>
              <w:t>序列号</w:t>
            </w:r>
          </w:p>
        </w:tc>
      </w:tr>
      <w:tr>
        <w:tblPrEx>
          <w:tblCellMar>
            <w:top w:w="0" w:type="dxa"/>
            <w:left w:w="0" w:type="dxa"/>
            <w:bottom w:w="0" w:type="dxa"/>
            <w:right w:w="0" w:type="dxa"/>
          </w:tblCellMar>
        </w:tblPrEx>
        <w:trPr>
          <w:trHeight w:val="480" w:hRule="atLeast"/>
        </w:trPr>
        <w:tc>
          <w:tcPr>
            <w:tcW w:w="148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b/>
                <w:bCs/>
                <w:color w:val="000000"/>
                <w:sz w:val="18"/>
                <w:szCs w:val="18"/>
              </w:rPr>
            </w:pPr>
            <w:r>
              <w:rPr>
                <w:rFonts w:hint="eastAsia"/>
                <w:b/>
                <w:bCs/>
                <w:color w:val="000000"/>
                <w:sz w:val="18"/>
                <w:szCs w:val="18"/>
              </w:rPr>
              <w:t>五</w:t>
            </w:r>
            <w:r>
              <w:rPr>
                <w:b/>
                <w:bCs/>
                <w:color w:val="000000"/>
                <w:sz w:val="18"/>
                <w:szCs w:val="18"/>
              </w:rPr>
              <w:t>医院</w:t>
            </w: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交换机</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18"/>
                <w:szCs w:val="18"/>
              </w:rPr>
            </w:pPr>
            <w:r>
              <w:rPr>
                <w:rFonts w:eastAsia="微软雅黑"/>
                <w:sz w:val="18"/>
                <w:szCs w:val="18"/>
              </w:rPr>
              <w:t>DS5100B</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BRCALM2518J00R</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交换机</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18"/>
                <w:szCs w:val="18"/>
              </w:rPr>
            </w:pPr>
            <w:r>
              <w:rPr>
                <w:rFonts w:eastAsia="微软雅黑"/>
                <w:sz w:val="18"/>
                <w:szCs w:val="18"/>
              </w:rPr>
              <w:t>DS5100B</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BRCALM2535H01L</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交换机</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18"/>
                <w:szCs w:val="18"/>
              </w:rPr>
            </w:pPr>
            <w:r>
              <w:rPr>
                <w:rFonts w:eastAsia="微软雅黑"/>
                <w:sz w:val="18"/>
                <w:szCs w:val="18"/>
              </w:rPr>
              <w:t>DS5100B</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BRCALM2519J00B</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交换机</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18"/>
                <w:szCs w:val="18"/>
              </w:rPr>
            </w:pPr>
            <w:r>
              <w:rPr>
                <w:rFonts w:eastAsia="微软雅黑"/>
                <w:sz w:val="18"/>
                <w:szCs w:val="18"/>
              </w:rPr>
              <w:t>DS5100B</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BRCALM2518J00Y</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中端存储</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18"/>
                <w:szCs w:val="18"/>
              </w:rPr>
            </w:pPr>
            <w:r>
              <w:rPr>
                <w:rFonts w:eastAsia="微软雅黑"/>
                <w:sz w:val="18"/>
                <w:szCs w:val="18"/>
              </w:rPr>
              <w:t>VNX5400</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CETV2154500212</w:t>
            </w:r>
          </w:p>
        </w:tc>
      </w:tr>
      <w:tr>
        <w:tblPrEx>
          <w:tblCellMar>
            <w:top w:w="0" w:type="dxa"/>
            <w:left w:w="0" w:type="dxa"/>
            <w:bottom w:w="0" w:type="dxa"/>
            <w:right w:w="0" w:type="dxa"/>
          </w:tblCellMar>
        </w:tblPrEx>
        <w:trPr>
          <w:trHeight w:val="480" w:hRule="atLeast"/>
        </w:trPr>
        <w:tc>
          <w:tcPr>
            <w:tcW w:w="148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中端存储</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18"/>
                <w:szCs w:val="18"/>
              </w:rPr>
            </w:pPr>
            <w:r>
              <w:rPr>
                <w:rFonts w:eastAsia="微软雅黑"/>
                <w:sz w:val="18"/>
                <w:szCs w:val="18"/>
              </w:rPr>
              <w:t>VNX5400</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CETV2151100043</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存储网关</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VPLEX VS2</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CKM00154400218</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存储网关</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VPLEX VS2</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CKM00154400215</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备份设备</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 xml:space="preserve">RPA </w:t>
            </w:r>
            <w:r>
              <w:rPr>
                <w:rFonts w:hint="eastAsia" w:eastAsia="微软雅黑"/>
                <w:sz w:val="18"/>
                <w:szCs w:val="18"/>
              </w:rPr>
              <w:t>gen</w:t>
            </w:r>
            <w:r>
              <w:rPr>
                <w:rFonts w:eastAsia="微软雅黑"/>
                <w:sz w:val="18"/>
                <w:szCs w:val="18"/>
              </w:rPr>
              <w:t>5</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FC6RP155200452</w:t>
            </w:r>
          </w:p>
        </w:tc>
      </w:tr>
      <w:tr>
        <w:tblPrEx>
          <w:tblCellMar>
            <w:top w:w="0" w:type="dxa"/>
            <w:left w:w="0" w:type="dxa"/>
            <w:bottom w:w="0" w:type="dxa"/>
            <w:right w:w="0"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18"/>
                <w:szCs w:val="18"/>
              </w:rPr>
            </w:pPr>
          </w:p>
        </w:tc>
        <w:tc>
          <w:tcPr>
            <w:tcW w:w="1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备份设备</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 xml:space="preserve">RPA </w:t>
            </w:r>
            <w:r>
              <w:rPr>
                <w:rFonts w:hint="eastAsia" w:eastAsia="微软雅黑"/>
                <w:sz w:val="18"/>
                <w:szCs w:val="18"/>
              </w:rPr>
              <w:t>gen</w:t>
            </w:r>
            <w:r>
              <w:rPr>
                <w:rFonts w:eastAsia="微软雅黑"/>
                <w:sz w:val="18"/>
                <w:szCs w:val="18"/>
              </w:rPr>
              <w:t>5</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18"/>
                <w:szCs w:val="18"/>
              </w:rPr>
            </w:pPr>
            <w:r>
              <w:rPr>
                <w:rFonts w:eastAsia="微软雅黑"/>
                <w:sz w:val="18"/>
                <w:szCs w:val="18"/>
              </w:rPr>
              <w:t>FC6RP151600145</w:t>
            </w:r>
          </w:p>
        </w:tc>
      </w:tr>
    </w:tbl>
    <w:p>
      <w:pPr>
        <w:spacing w:line="360" w:lineRule="auto"/>
        <w:ind w:firstLine="643" w:firstLineChars="200"/>
        <w:rPr>
          <w:rFonts w:eastAsia="仿宋"/>
          <w:b/>
          <w:sz w:val="32"/>
        </w:rPr>
      </w:pPr>
    </w:p>
    <w:p>
      <w:pPr>
        <w:spacing w:line="360" w:lineRule="auto"/>
        <w:ind w:firstLine="643" w:firstLineChars="200"/>
        <w:rPr>
          <w:rFonts w:eastAsia="仿宋"/>
          <w:b/>
          <w:sz w:val="32"/>
        </w:rPr>
      </w:pPr>
    </w:p>
    <w:p>
      <w:pPr>
        <w:spacing w:line="360" w:lineRule="auto"/>
        <w:ind w:firstLine="643" w:firstLineChars="200"/>
        <w:rPr>
          <w:rFonts w:eastAsia="仿宋"/>
          <w:sz w:val="32"/>
        </w:rPr>
      </w:pPr>
      <w:r>
        <w:rPr>
          <w:rFonts w:eastAsia="仿宋"/>
          <w:b/>
          <w:sz w:val="32"/>
        </w:rPr>
        <w:t>服务内容</w:t>
      </w:r>
      <w:r>
        <w:rPr>
          <w:rFonts w:hint="eastAsia" w:eastAsia="仿宋"/>
          <w:b/>
          <w:sz w:val="32"/>
        </w:rPr>
        <w:t>及要求</w:t>
      </w:r>
      <w:r>
        <w:rPr>
          <w:rFonts w:eastAsia="仿宋"/>
          <w:b/>
          <w:sz w:val="32"/>
        </w:rPr>
        <w:t>：</w:t>
      </w:r>
    </w:p>
    <w:p>
      <w:pPr>
        <w:spacing w:line="360" w:lineRule="auto"/>
        <w:ind w:firstLine="640" w:firstLineChars="200"/>
        <w:rPr>
          <w:rFonts w:eastAsia="仿宋"/>
          <w:sz w:val="32"/>
        </w:rPr>
      </w:pPr>
      <w:r>
        <w:rPr>
          <w:rFonts w:eastAsia="仿宋"/>
          <w:sz w:val="32"/>
        </w:rPr>
        <w:t>针对我</w:t>
      </w:r>
      <w:r>
        <w:rPr>
          <w:rFonts w:hint="eastAsia" w:eastAsia="仿宋"/>
          <w:sz w:val="32"/>
        </w:rPr>
        <w:t>院</w:t>
      </w:r>
      <w:r>
        <w:rPr>
          <w:rFonts w:eastAsia="仿宋"/>
          <w:sz w:val="32"/>
        </w:rPr>
        <w:t>两台DELL EMC VNX5400存储设备及</w:t>
      </w:r>
      <w:r>
        <w:rPr>
          <w:rFonts w:hint="eastAsia" w:eastAsia="仿宋"/>
          <w:sz w:val="32"/>
        </w:rPr>
        <w:t>两</w:t>
      </w:r>
      <w:r>
        <w:rPr>
          <w:rFonts w:eastAsia="仿宋"/>
          <w:sz w:val="32"/>
        </w:rPr>
        <w:t>台VPLEX存储虚拟网关，</w:t>
      </w:r>
      <w:r>
        <w:rPr>
          <w:rFonts w:hint="eastAsia" w:eastAsia="仿宋"/>
          <w:sz w:val="32"/>
        </w:rPr>
        <w:t>四台</w:t>
      </w:r>
      <w:r>
        <w:rPr>
          <w:rFonts w:eastAsia="仿宋"/>
          <w:sz w:val="32"/>
        </w:rPr>
        <w:t>光纤交换机，</w:t>
      </w:r>
      <w:r>
        <w:rPr>
          <w:rFonts w:hint="eastAsia" w:eastAsia="仿宋"/>
          <w:sz w:val="32"/>
        </w:rPr>
        <w:t>两台</w:t>
      </w:r>
      <w:r>
        <w:rPr>
          <w:rFonts w:eastAsia="仿宋"/>
          <w:sz w:val="32"/>
        </w:rPr>
        <w:t>备份RPA设备提供</w:t>
      </w:r>
      <w:r>
        <w:rPr>
          <w:rFonts w:hint="eastAsia" w:eastAsia="仿宋"/>
          <w:sz w:val="32"/>
          <w:lang w:val="en-US" w:eastAsia="zh-CN"/>
        </w:rPr>
        <w:t>一</w:t>
      </w:r>
      <w:r>
        <w:rPr>
          <w:rFonts w:eastAsia="仿宋"/>
          <w:sz w:val="32"/>
        </w:rPr>
        <w:t>年的软硬件维护服务，需求如下：</w:t>
      </w:r>
    </w:p>
    <w:p>
      <w:pPr>
        <w:spacing w:line="360" w:lineRule="auto"/>
        <w:ind w:firstLine="640" w:firstLineChars="200"/>
        <w:rPr>
          <w:rFonts w:eastAsia="仿宋"/>
          <w:sz w:val="32"/>
        </w:rPr>
      </w:pPr>
    </w:p>
    <w:tbl>
      <w:tblPr>
        <w:tblStyle w:val="10"/>
        <w:tblW w:w="8609"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954"/>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top"/>
          </w:tcPr>
          <w:p>
            <w:pPr>
              <w:spacing w:line="360" w:lineRule="auto"/>
              <w:jc w:val="center"/>
              <w:rPr>
                <w:b/>
                <w:sz w:val="24"/>
                <w:lang w:bidi="en-US"/>
              </w:rPr>
            </w:pPr>
            <w:r>
              <w:rPr>
                <w:b/>
                <w:sz w:val="24"/>
                <w:lang w:bidi="en-US"/>
              </w:rPr>
              <w:t>序号</w:t>
            </w:r>
          </w:p>
        </w:tc>
        <w:tc>
          <w:tcPr>
            <w:tcW w:w="1701" w:type="dxa"/>
            <w:noWrap w:val="0"/>
            <w:vAlign w:val="top"/>
          </w:tcPr>
          <w:p>
            <w:pPr>
              <w:spacing w:line="360" w:lineRule="auto"/>
              <w:jc w:val="center"/>
              <w:rPr>
                <w:b/>
                <w:sz w:val="24"/>
                <w:lang w:bidi="en-US"/>
              </w:rPr>
            </w:pPr>
            <w:r>
              <w:rPr>
                <w:b/>
                <w:sz w:val="24"/>
                <w:lang w:bidi="en-US"/>
              </w:rPr>
              <w:t>需求</w:t>
            </w:r>
          </w:p>
        </w:tc>
        <w:tc>
          <w:tcPr>
            <w:tcW w:w="5954" w:type="dxa"/>
            <w:noWrap w:val="0"/>
            <w:vAlign w:val="top"/>
          </w:tcPr>
          <w:p>
            <w:pPr>
              <w:spacing w:line="360" w:lineRule="auto"/>
              <w:jc w:val="center"/>
              <w:rPr>
                <w:b/>
                <w:sz w:val="24"/>
                <w:lang w:bidi="en-US"/>
              </w:rPr>
            </w:pPr>
            <w:r>
              <w:rPr>
                <w:b/>
                <w:sz w:val="24"/>
                <w:lang w:bidi="en-US"/>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center"/>
          </w:tcPr>
          <w:p>
            <w:pPr>
              <w:spacing w:line="360" w:lineRule="auto"/>
              <w:jc w:val="center"/>
              <w:rPr>
                <w:sz w:val="24"/>
                <w:lang w:bidi="en-US"/>
              </w:rPr>
            </w:pPr>
            <w:r>
              <w:rPr>
                <w:sz w:val="24"/>
                <w:lang w:bidi="en-US"/>
              </w:rPr>
              <w:t>1</w:t>
            </w:r>
          </w:p>
        </w:tc>
        <w:tc>
          <w:tcPr>
            <w:tcW w:w="1701" w:type="dxa"/>
            <w:noWrap w:val="0"/>
            <w:vAlign w:val="center"/>
          </w:tcPr>
          <w:p>
            <w:pPr>
              <w:spacing w:line="360" w:lineRule="auto"/>
              <w:rPr>
                <w:sz w:val="24"/>
                <w:lang w:bidi="en-US"/>
              </w:rPr>
            </w:pPr>
            <w:r>
              <w:rPr>
                <w:sz w:val="24"/>
                <w:lang w:bidi="en-US"/>
              </w:rPr>
              <w:t>服务期限</w:t>
            </w:r>
          </w:p>
        </w:tc>
        <w:tc>
          <w:tcPr>
            <w:tcW w:w="5954" w:type="dxa"/>
            <w:noWrap w:val="0"/>
            <w:vAlign w:val="center"/>
          </w:tcPr>
          <w:p>
            <w:pPr>
              <w:spacing w:line="360" w:lineRule="auto"/>
              <w:rPr>
                <w:sz w:val="24"/>
                <w:lang w:bidi="en-US"/>
              </w:rPr>
            </w:pPr>
            <w:r>
              <w:rPr>
                <w:sz w:val="24"/>
                <w:highlight w:val="yellow"/>
                <w:lang w:bidi="en-US"/>
              </w:rPr>
              <w:t>自从签订合同之日算起，对提供的软硬件提供</w:t>
            </w:r>
            <w:r>
              <w:rPr>
                <w:rFonts w:hint="eastAsia"/>
                <w:sz w:val="24"/>
                <w:highlight w:val="yellow"/>
                <w:lang w:val="en-US" w:eastAsia="zh-CN" w:bidi="en-US"/>
              </w:rPr>
              <w:t>1</w:t>
            </w:r>
            <w:r>
              <w:rPr>
                <w:sz w:val="24"/>
                <w:highlight w:val="yellow"/>
                <w:lang w:bidi="en-US"/>
              </w:rPr>
              <w:t>年的保修服务及</w:t>
            </w:r>
            <w:r>
              <w:rPr>
                <w:rFonts w:hint="eastAsia"/>
                <w:sz w:val="24"/>
                <w:highlight w:val="yellow"/>
                <w:lang w:val="en-US" w:eastAsia="zh-CN" w:bidi="en-US"/>
              </w:rPr>
              <w:t>1</w:t>
            </w:r>
            <w:r>
              <w:rPr>
                <w:sz w:val="24"/>
                <w:highlight w:val="yellow"/>
                <w:lang w:bidi="en-US"/>
              </w:rPr>
              <w:t>年之内软件版本的免费升级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center"/>
          </w:tcPr>
          <w:p>
            <w:pPr>
              <w:spacing w:line="360" w:lineRule="auto"/>
              <w:jc w:val="center"/>
              <w:rPr>
                <w:sz w:val="24"/>
                <w:lang w:bidi="en-US"/>
              </w:rPr>
            </w:pPr>
            <w:r>
              <w:rPr>
                <w:sz w:val="24"/>
                <w:lang w:bidi="en-US"/>
              </w:rPr>
              <w:t>2</w:t>
            </w:r>
          </w:p>
        </w:tc>
        <w:tc>
          <w:tcPr>
            <w:tcW w:w="1701" w:type="dxa"/>
            <w:noWrap w:val="0"/>
            <w:vAlign w:val="center"/>
          </w:tcPr>
          <w:p>
            <w:pPr>
              <w:spacing w:line="360" w:lineRule="auto"/>
              <w:rPr>
                <w:sz w:val="24"/>
                <w:lang w:bidi="en-US"/>
              </w:rPr>
            </w:pPr>
            <w:r>
              <w:rPr>
                <w:sz w:val="24"/>
                <w:lang w:bidi="en-US"/>
              </w:rPr>
              <w:t>服务级别</w:t>
            </w:r>
          </w:p>
        </w:tc>
        <w:tc>
          <w:tcPr>
            <w:tcW w:w="5954" w:type="dxa"/>
            <w:noWrap w:val="0"/>
            <w:vAlign w:val="center"/>
          </w:tcPr>
          <w:p>
            <w:pPr>
              <w:spacing w:line="360" w:lineRule="auto"/>
              <w:rPr>
                <w:sz w:val="24"/>
                <w:lang w:bidi="en-US"/>
              </w:rPr>
            </w:pPr>
            <w:r>
              <w:rPr>
                <w:sz w:val="24"/>
                <w:highlight w:val="yellow"/>
                <w:lang w:bidi="en-US"/>
              </w:rPr>
              <w:t>提供全年7*24*365软硬件上门技术支持</w:t>
            </w:r>
            <w:r>
              <w:rPr>
                <w:rFonts w:hint="eastAsia"/>
                <w:sz w:val="24"/>
                <w:highlight w:val="yellow"/>
                <w:lang w:bidi="en-US"/>
              </w:rPr>
              <w:t>，并根据医院需求，在医院重大变更或重要事件发生时，提供现场驻场服务</w:t>
            </w:r>
            <w:r>
              <w:rPr>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center"/>
          </w:tcPr>
          <w:p>
            <w:pPr>
              <w:spacing w:line="360" w:lineRule="auto"/>
              <w:jc w:val="center"/>
              <w:rPr>
                <w:sz w:val="24"/>
                <w:lang w:bidi="en-US"/>
              </w:rPr>
            </w:pPr>
            <w:r>
              <w:rPr>
                <w:sz w:val="24"/>
                <w:lang w:bidi="en-US"/>
              </w:rPr>
              <w:t>3</w:t>
            </w:r>
          </w:p>
        </w:tc>
        <w:tc>
          <w:tcPr>
            <w:tcW w:w="1701" w:type="dxa"/>
            <w:noWrap w:val="0"/>
            <w:vAlign w:val="center"/>
          </w:tcPr>
          <w:p>
            <w:pPr>
              <w:spacing w:line="360" w:lineRule="auto"/>
              <w:rPr>
                <w:sz w:val="24"/>
                <w:lang w:bidi="en-US"/>
              </w:rPr>
            </w:pPr>
            <w:r>
              <w:rPr>
                <w:sz w:val="24"/>
                <w:lang w:bidi="en-US"/>
              </w:rPr>
              <w:t>服务质量</w:t>
            </w:r>
          </w:p>
        </w:tc>
        <w:tc>
          <w:tcPr>
            <w:tcW w:w="5954" w:type="dxa"/>
            <w:noWrap w:val="0"/>
            <w:vAlign w:val="center"/>
          </w:tcPr>
          <w:p>
            <w:pPr>
              <w:spacing w:line="360" w:lineRule="auto"/>
              <w:rPr>
                <w:sz w:val="24"/>
                <w:lang w:bidi="en-US"/>
              </w:rPr>
            </w:pPr>
            <w:r>
              <w:rPr>
                <w:sz w:val="24"/>
                <w:lang w:bidi="en-US"/>
              </w:rPr>
              <w:t>维保服务期内，投标人及应在充分了解招标人现有环境基础上，提供规范化、高质量的服务</w:t>
            </w:r>
            <w:bookmarkStart w:id="0" w:name="_Toc303066032"/>
            <w:r>
              <w:rPr>
                <w:rFonts w:hint="eastAsia"/>
                <w:sz w:val="24"/>
                <w:lang w:bidi="en-US"/>
              </w:rPr>
              <w:t>。维保厂商需提供本地化服务，在成都当地派有专人负责设备维护、保修工作，并根据院方工作安排，适度参与院方运维、项目建设等工。</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4</w:t>
            </w:r>
          </w:p>
        </w:tc>
        <w:tc>
          <w:tcPr>
            <w:tcW w:w="1701" w:type="dxa"/>
            <w:noWrap w:val="0"/>
            <w:vAlign w:val="center"/>
          </w:tcPr>
          <w:p>
            <w:pPr>
              <w:spacing w:line="360" w:lineRule="auto"/>
              <w:rPr>
                <w:sz w:val="24"/>
                <w:lang w:bidi="en-US"/>
              </w:rPr>
            </w:pPr>
            <w:r>
              <w:rPr>
                <w:sz w:val="24"/>
                <w:lang w:bidi="en-US"/>
              </w:rPr>
              <w:t>服务方式</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现场服务（包括且不限于维护、迁移、升级、恢复、重大变更、紧急故障等）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5</w:t>
            </w:r>
          </w:p>
        </w:tc>
        <w:tc>
          <w:tcPr>
            <w:tcW w:w="1701" w:type="dxa"/>
            <w:noWrap w:val="0"/>
            <w:vAlign w:val="center"/>
          </w:tcPr>
          <w:p>
            <w:pPr>
              <w:spacing w:line="360" w:lineRule="auto"/>
              <w:rPr>
                <w:rFonts w:hint="eastAsia"/>
                <w:sz w:val="24"/>
                <w:lang w:bidi="en-US"/>
              </w:rPr>
            </w:pPr>
            <w:r>
              <w:rPr>
                <w:rFonts w:hint="eastAsia"/>
                <w:sz w:val="24"/>
                <w:lang w:bidi="en-US"/>
              </w:rPr>
              <w:t>涉及</w:t>
            </w:r>
            <w:r>
              <w:rPr>
                <w:sz w:val="24"/>
                <w:lang w:bidi="en-US"/>
              </w:rPr>
              <w:t>零部件更换</w:t>
            </w:r>
            <w:r>
              <w:rPr>
                <w:rFonts w:hint="eastAsia"/>
                <w:sz w:val="24"/>
                <w:lang w:bidi="en-US"/>
              </w:rPr>
              <w:t>的维护性服务</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维保厂商工程师对所保修的发生异常的院方设备硬件或系统软件提供7*24</w:t>
            </w:r>
            <w:r>
              <w:rPr>
                <w:sz w:val="24"/>
                <w:lang w:val="en-US" w:eastAsia="zh-CN" w:bidi="en-US"/>
              </w:rPr>
              <w:t>*365</w:t>
            </w:r>
            <w:r>
              <w:rPr>
                <w:rFonts w:hint="eastAsia"/>
                <w:sz w:val="24"/>
                <w:lang w:val="en-US" w:eastAsia="zh-CN" w:bidi="en-US"/>
              </w:rPr>
              <w:t xml:space="preserve"> 小时服务电话支持。发生故障时，维保厂商工程师需携带备件在4小时内赶到现场进行故障检测、修复工作，并在承诺时间内排除故障并恢复院方生产的正常运行。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6</w:t>
            </w:r>
          </w:p>
        </w:tc>
        <w:tc>
          <w:tcPr>
            <w:tcW w:w="1701" w:type="dxa"/>
            <w:noWrap w:val="0"/>
            <w:vAlign w:val="center"/>
          </w:tcPr>
          <w:p>
            <w:pPr>
              <w:spacing w:line="360" w:lineRule="auto"/>
              <w:rPr>
                <w:sz w:val="24"/>
                <w:lang w:bidi="en-US"/>
              </w:rPr>
            </w:pPr>
            <w:r>
              <w:rPr>
                <w:sz w:val="24"/>
                <w:lang w:bidi="en-US"/>
              </w:rPr>
              <w:t>备品备件</w:t>
            </w:r>
          </w:p>
        </w:tc>
        <w:tc>
          <w:tcPr>
            <w:tcW w:w="5954" w:type="dxa"/>
            <w:noWrap w:val="0"/>
            <w:vAlign w:val="center"/>
          </w:tcPr>
          <w:p>
            <w:pPr>
              <w:pStyle w:val="13"/>
              <w:spacing w:line="360" w:lineRule="auto"/>
              <w:ind w:firstLine="0" w:firstLineChars="0"/>
              <w:rPr>
                <w:sz w:val="24"/>
                <w:lang w:val="en-US" w:eastAsia="zh-CN" w:bidi="en-US"/>
              </w:rPr>
            </w:pPr>
            <w:r>
              <w:rPr>
                <w:rFonts w:ascii="Segoe UI Symbol" w:hAnsi="Segoe UI Symbol" w:cs="Segoe UI Symbol"/>
                <w:sz w:val="24"/>
                <w:lang w:val="en-US" w:eastAsia="zh-CN" w:bidi="en-US"/>
              </w:rPr>
              <w:t>★</w:t>
            </w:r>
            <w:r>
              <w:rPr>
                <w:sz w:val="24"/>
                <w:lang w:val="en-US" w:eastAsia="zh-CN" w:bidi="en-US"/>
              </w:rPr>
              <w:t>承诺</w:t>
            </w:r>
            <w:r>
              <w:rPr>
                <w:rFonts w:hint="eastAsia"/>
                <w:sz w:val="24"/>
                <w:lang w:val="en-US" w:eastAsia="zh-CN" w:bidi="en-US"/>
              </w:rPr>
              <w:t>不少于</w:t>
            </w:r>
            <w:r>
              <w:rPr>
                <w:sz w:val="24"/>
                <w:lang w:val="en-US" w:eastAsia="zh-CN" w:bidi="en-US"/>
              </w:rPr>
              <w:t>10</w:t>
            </w:r>
            <w:r>
              <w:rPr>
                <w:rFonts w:hint="eastAsia"/>
                <w:sz w:val="24"/>
                <w:lang w:val="en-US" w:eastAsia="zh-CN" w:bidi="en-US"/>
              </w:rPr>
              <w:t>件不同类型的常用</w:t>
            </w:r>
            <w:r>
              <w:rPr>
                <w:sz w:val="24"/>
                <w:lang w:val="en-US" w:eastAsia="zh-CN" w:bidi="en-US"/>
              </w:rPr>
              <w:t>备件提前放置于</w:t>
            </w:r>
            <w:r>
              <w:rPr>
                <w:rFonts w:hint="eastAsia"/>
                <w:sz w:val="24"/>
                <w:lang w:val="en-US" w:eastAsia="zh-CN" w:bidi="en-US"/>
              </w:rPr>
              <w:t>医院机房</w:t>
            </w:r>
            <w:r>
              <w:rPr>
                <w:sz w:val="24"/>
                <w:lang w:val="en-US" w:eastAsia="zh-CN" w:bidi="en-US"/>
              </w:rPr>
              <w:t>；</w:t>
            </w:r>
            <w:r>
              <w:rPr>
                <w:rFonts w:hint="eastAsia"/>
                <w:sz w:val="24"/>
                <w:lang w:val="en-US" w:eastAsia="zh-CN" w:bidi="en-US"/>
              </w:rPr>
              <w:t>如需异地调拨备件，需在2</w:t>
            </w:r>
            <w:r>
              <w:rPr>
                <w:sz w:val="24"/>
                <w:lang w:val="en-US" w:eastAsia="zh-CN" w:bidi="en-US"/>
              </w:rPr>
              <w:t>4</w:t>
            </w:r>
            <w:r>
              <w:rPr>
                <w:rFonts w:hint="eastAsia"/>
                <w:sz w:val="24"/>
                <w:lang w:val="en-US" w:eastAsia="zh-CN" w:bidi="en-US"/>
              </w:rPr>
              <w:t>小时内送达。保证</w:t>
            </w:r>
            <w:r>
              <w:rPr>
                <w:rFonts w:hint="eastAsia"/>
                <w:sz w:val="24"/>
                <w:lang w:bidi="en-US"/>
              </w:rPr>
              <w:t>所提供的备件要求外观及内在品质良好，功能可用。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7</w:t>
            </w:r>
          </w:p>
        </w:tc>
        <w:tc>
          <w:tcPr>
            <w:tcW w:w="1701" w:type="dxa"/>
            <w:noWrap w:val="0"/>
            <w:vAlign w:val="center"/>
          </w:tcPr>
          <w:p>
            <w:pPr>
              <w:spacing w:line="360" w:lineRule="auto"/>
              <w:rPr>
                <w:sz w:val="24"/>
                <w:lang w:bidi="en-US"/>
              </w:rPr>
            </w:pPr>
            <w:r>
              <w:rPr>
                <w:rFonts w:hint="eastAsia"/>
                <w:sz w:val="24"/>
                <w:lang w:bidi="en-US"/>
              </w:rPr>
              <w:t>巡检及季度</w:t>
            </w:r>
            <w:r>
              <w:rPr>
                <w:sz w:val="24"/>
                <w:lang w:bidi="en-US"/>
              </w:rPr>
              <w:t>工作报告</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维保厂商需安排专业工程师对设备清单内的设备进行月度现场巡检维护，巡检完成后，维保厂商提交巡检报告并对院方就报告提出的相关询问给出相应的回应；每个季度按时提交季度总结；每服务半年或服务合同结束前，维保厂商将提供半年或全年总结报告，详细陈述设备的运行情况、服务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8</w:t>
            </w:r>
          </w:p>
        </w:tc>
        <w:tc>
          <w:tcPr>
            <w:tcW w:w="1701" w:type="dxa"/>
            <w:noWrap w:val="0"/>
            <w:vAlign w:val="center"/>
          </w:tcPr>
          <w:p>
            <w:pPr>
              <w:spacing w:line="360" w:lineRule="auto"/>
              <w:rPr>
                <w:sz w:val="24"/>
                <w:lang w:bidi="en-US"/>
              </w:rPr>
            </w:pPr>
            <w:r>
              <w:rPr>
                <w:rFonts w:hint="eastAsia"/>
                <w:sz w:val="24"/>
                <w:lang w:bidi="en-US"/>
              </w:rPr>
              <w:t>重大</w:t>
            </w:r>
            <w:r>
              <w:rPr>
                <w:sz w:val="24"/>
                <w:lang w:bidi="en-US"/>
              </w:rPr>
              <w:t>故障报告</w:t>
            </w:r>
          </w:p>
        </w:tc>
        <w:tc>
          <w:tcPr>
            <w:tcW w:w="5954" w:type="dxa"/>
            <w:noWrap w:val="0"/>
            <w:vAlign w:val="center"/>
          </w:tcPr>
          <w:p>
            <w:pPr>
              <w:pStyle w:val="13"/>
              <w:spacing w:line="360" w:lineRule="auto"/>
              <w:ind w:firstLine="0" w:firstLineChars="0"/>
              <w:rPr>
                <w:sz w:val="24"/>
                <w:lang w:val="en-US" w:eastAsia="zh-CN" w:bidi="en-US"/>
              </w:rPr>
            </w:pPr>
            <w:r>
              <w:rPr>
                <w:sz w:val="24"/>
                <w:lang w:val="en-US" w:eastAsia="zh-CN" w:bidi="en-US"/>
              </w:rPr>
              <w:t>当发生</w:t>
            </w:r>
            <w:r>
              <w:rPr>
                <w:rFonts w:hint="eastAsia"/>
                <w:sz w:val="24"/>
                <w:lang w:val="en-US" w:eastAsia="zh-CN" w:bidi="en-US"/>
              </w:rPr>
              <w:t>重大</w:t>
            </w:r>
            <w:r>
              <w:rPr>
                <w:sz w:val="24"/>
                <w:lang w:val="en-US" w:eastAsia="zh-CN" w:bidi="en-US"/>
              </w:rPr>
              <w:t>故障后，应在故障修复后5个工作日内提交详细分析报告。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9</w:t>
            </w:r>
          </w:p>
        </w:tc>
        <w:tc>
          <w:tcPr>
            <w:tcW w:w="1701" w:type="dxa"/>
            <w:noWrap w:val="0"/>
            <w:vAlign w:val="center"/>
          </w:tcPr>
          <w:p>
            <w:pPr>
              <w:spacing w:line="360" w:lineRule="auto"/>
              <w:rPr>
                <w:sz w:val="24"/>
                <w:lang w:bidi="en-US"/>
              </w:rPr>
            </w:pPr>
            <w:r>
              <w:rPr>
                <w:sz w:val="24"/>
                <w:lang w:bidi="en-US"/>
              </w:rPr>
              <w:t>技术支持人员</w:t>
            </w:r>
          </w:p>
        </w:tc>
        <w:tc>
          <w:tcPr>
            <w:tcW w:w="5954" w:type="dxa"/>
            <w:noWrap w:val="0"/>
            <w:vAlign w:val="center"/>
          </w:tcPr>
          <w:p>
            <w:pPr>
              <w:pStyle w:val="13"/>
              <w:spacing w:line="360" w:lineRule="auto"/>
              <w:ind w:firstLine="0" w:firstLineChars="0"/>
              <w:rPr>
                <w:sz w:val="24"/>
                <w:lang w:val="en-US" w:eastAsia="zh-CN" w:bidi="en-US"/>
              </w:rPr>
            </w:pPr>
            <w:r>
              <w:rPr>
                <w:rFonts w:ascii="Segoe UI Symbol" w:hAnsi="Segoe UI Symbol" w:cs="Segoe UI Symbol"/>
                <w:sz w:val="24"/>
                <w:lang w:bidi="en-US"/>
              </w:rPr>
              <w:t>★</w:t>
            </w:r>
            <w:r>
              <w:rPr>
                <w:sz w:val="24"/>
                <w:lang w:val="en-US" w:eastAsia="zh-CN" w:bidi="en-US"/>
              </w:rPr>
              <w:t>所有服务必须由1-2</w:t>
            </w:r>
            <w:r>
              <w:rPr>
                <w:rFonts w:hint="eastAsia"/>
                <w:sz w:val="24"/>
                <w:lang w:val="en-US" w:eastAsia="zh-CN" w:bidi="en-US"/>
              </w:rPr>
              <w:t>名具有V</w:t>
            </w:r>
            <w:r>
              <w:rPr>
                <w:sz w:val="24"/>
                <w:lang w:val="en-US" w:eastAsia="zh-CN" w:bidi="en-US"/>
              </w:rPr>
              <w:t>PLEX</w:t>
            </w:r>
            <w:r>
              <w:rPr>
                <w:rFonts w:hint="eastAsia"/>
                <w:sz w:val="24"/>
                <w:lang w:val="en-US" w:eastAsia="zh-CN" w:bidi="en-US"/>
              </w:rPr>
              <w:t>和V</w:t>
            </w:r>
            <w:r>
              <w:rPr>
                <w:sz w:val="24"/>
                <w:lang w:val="en-US" w:eastAsia="zh-CN" w:bidi="en-US"/>
              </w:rPr>
              <w:t>NX</w:t>
            </w:r>
            <w:r>
              <w:rPr>
                <w:rFonts w:hint="eastAsia"/>
                <w:sz w:val="24"/>
                <w:lang w:val="en-US" w:eastAsia="zh-CN" w:bidi="en-US"/>
              </w:rPr>
              <w:t>产品的专家级认证证书的</w:t>
            </w:r>
            <w:r>
              <w:rPr>
                <w:sz w:val="24"/>
                <w:lang w:val="en-US" w:eastAsia="zh-CN" w:bidi="en-US"/>
              </w:rPr>
              <w:t>本地</w:t>
            </w:r>
            <w:r>
              <w:rPr>
                <w:rFonts w:hint="eastAsia"/>
                <w:sz w:val="24"/>
                <w:lang w:val="en-US" w:eastAsia="zh-CN" w:bidi="en-US"/>
              </w:rPr>
              <w:t>工程师</w:t>
            </w:r>
            <w:r>
              <w:rPr>
                <w:sz w:val="24"/>
                <w:lang w:val="en-US" w:eastAsia="zh-CN" w:bidi="en-US"/>
              </w:rPr>
              <w:t>提供服务</w:t>
            </w:r>
            <w:r>
              <w:rPr>
                <w:rFonts w:hint="eastAsia"/>
                <w:sz w:val="24"/>
                <w:lang w:val="en-US"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10</w:t>
            </w:r>
          </w:p>
        </w:tc>
        <w:tc>
          <w:tcPr>
            <w:tcW w:w="1701" w:type="dxa"/>
            <w:noWrap w:val="0"/>
            <w:vAlign w:val="center"/>
          </w:tcPr>
          <w:p>
            <w:pPr>
              <w:spacing w:line="360" w:lineRule="auto"/>
              <w:rPr>
                <w:sz w:val="24"/>
                <w:lang w:bidi="en-US"/>
              </w:rPr>
            </w:pPr>
            <w:r>
              <w:rPr>
                <w:rFonts w:hint="eastAsia"/>
                <w:sz w:val="24"/>
                <w:lang w:bidi="en-US"/>
              </w:rPr>
              <w:t>软件bug补丁及重大系统更新</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当厂商发布重大补丁时，维保厂商需提供我院涉及设备的补丁升级；针对核心的双活网关及存储设备，提供每年一次的微码升级服务，并承诺升级前后对比无功能性差异。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11</w:t>
            </w:r>
          </w:p>
        </w:tc>
        <w:tc>
          <w:tcPr>
            <w:tcW w:w="1701" w:type="dxa"/>
            <w:noWrap w:val="0"/>
            <w:vAlign w:val="center"/>
          </w:tcPr>
          <w:p>
            <w:pPr>
              <w:spacing w:line="360" w:lineRule="auto"/>
              <w:rPr>
                <w:sz w:val="24"/>
                <w:lang w:bidi="en-US"/>
              </w:rPr>
            </w:pPr>
            <w:r>
              <w:rPr>
                <w:sz w:val="24"/>
                <w:lang w:bidi="en-US"/>
              </w:rPr>
              <w:t>电话技术支持</w:t>
            </w:r>
          </w:p>
        </w:tc>
        <w:tc>
          <w:tcPr>
            <w:tcW w:w="5954" w:type="dxa"/>
            <w:noWrap w:val="0"/>
            <w:vAlign w:val="center"/>
          </w:tcPr>
          <w:p>
            <w:pPr>
              <w:pStyle w:val="13"/>
              <w:spacing w:line="360" w:lineRule="auto"/>
              <w:ind w:firstLine="0" w:firstLineChars="0"/>
              <w:rPr>
                <w:sz w:val="24"/>
                <w:lang w:val="en-US" w:eastAsia="zh-CN" w:bidi="en-US"/>
              </w:rPr>
            </w:pPr>
            <w:r>
              <w:rPr>
                <w:rFonts w:hint="eastAsia" w:ascii="Segoe UI Symbol" w:hAnsi="Segoe UI Symbol" w:cs="Segoe UI Symbol"/>
                <w:sz w:val="24"/>
                <w:lang w:val="en-US" w:eastAsia="zh-CN" w:bidi="en-US"/>
              </w:rPr>
              <w:t>维保厂商</w:t>
            </w:r>
            <w:r>
              <w:rPr>
                <w:sz w:val="24"/>
                <w:lang w:val="en-US" w:eastAsia="zh-CN" w:bidi="en-US"/>
              </w:rPr>
              <w:t>须通过电话向招标人提供下列技术支持</w:t>
            </w:r>
            <w:r>
              <w:rPr>
                <w:rFonts w:hint="eastAsia"/>
                <w:sz w:val="24"/>
                <w:lang w:val="en-US" w:eastAsia="zh-CN" w:bidi="en-US"/>
              </w:rPr>
              <w:t>，支持时段为7*24</w:t>
            </w:r>
            <w:r>
              <w:rPr>
                <w:sz w:val="24"/>
                <w:lang w:val="en-US" w:eastAsia="zh-CN" w:bidi="en-US"/>
              </w:rPr>
              <w:t>*365</w:t>
            </w:r>
            <w:r>
              <w:rPr>
                <w:rFonts w:hint="eastAsia"/>
                <w:sz w:val="24"/>
                <w:lang w:val="en-US" w:eastAsia="zh-CN" w:bidi="en-US"/>
              </w:rPr>
              <w:t>，接到电话3</w:t>
            </w:r>
            <w:r>
              <w:rPr>
                <w:sz w:val="24"/>
                <w:lang w:val="en-US" w:eastAsia="zh-CN" w:bidi="en-US"/>
              </w:rPr>
              <w:t>0</w:t>
            </w:r>
            <w:r>
              <w:rPr>
                <w:rFonts w:hint="eastAsia"/>
                <w:sz w:val="24"/>
                <w:lang w:val="en-US" w:eastAsia="zh-CN" w:bidi="en-US"/>
              </w:rPr>
              <w:t>分钟内必须向招标人提供回复</w:t>
            </w:r>
            <w:r>
              <w:rPr>
                <w:sz w:val="24"/>
                <w:lang w:val="en-US" w:eastAsia="zh-CN" w:bidi="en-US"/>
              </w:rPr>
              <w:t>：</w:t>
            </w:r>
          </w:p>
          <w:p>
            <w:pPr>
              <w:pStyle w:val="13"/>
              <w:spacing w:line="360" w:lineRule="auto"/>
              <w:ind w:firstLine="0" w:firstLineChars="0"/>
              <w:rPr>
                <w:sz w:val="24"/>
                <w:lang w:val="en-US" w:eastAsia="zh-CN" w:bidi="en-US"/>
              </w:rPr>
            </w:pPr>
            <w:r>
              <w:rPr>
                <w:sz w:val="24"/>
                <w:lang w:val="en-US" w:eastAsia="zh-CN" w:bidi="en-US"/>
              </w:rPr>
              <w:t>解决或解答系统</w:t>
            </w:r>
            <w:r>
              <w:rPr>
                <w:rFonts w:hint="eastAsia"/>
                <w:sz w:val="24"/>
                <w:lang w:val="en-US" w:eastAsia="zh-CN" w:bidi="en-US"/>
              </w:rPr>
              <w:t>软硬</w:t>
            </w:r>
            <w:r>
              <w:rPr>
                <w:sz w:val="24"/>
                <w:lang w:val="en-US" w:eastAsia="zh-CN" w:bidi="en-US"/>
              </w:rPr>
              <w:t>件故障问题</w:t>
            </w:r>
          </w:p>
          <w:p>
            <w:pPr>
              <w:pStyle w:val="13"/>
              <w:spacing w:line="360" w:lineRule="auto"/>
              <w:ind w:firstLine="0" w:firstLineChars="0"/>
              <w:rPr>
                <w:sz w:val="24"/>
                <w:lang w:val="en-US" w:eastAsia="zh-CN" w:bidi="en-US"/>
              </w:rPr>
            </w:pPr>
            <w:r>
              <w:rPr>
                <w:sz w:val="24"/>
                <w:lang w:val="en-US" w:eastAsia="zh-CN" w:bidi="en-US"/>
              </w:rPr>
              <w:t>解决或解答与系统软件相关的日常运作和安装问题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12</w:t>
            </w:r>
          </w:p>
        </w:tc>
        <w:tc>
          <w:tcPr>
            <w:tcW w:w="1701" w:type="dxa"/>
            <w:noWrap w:val="0"/>
            <w:vAlign w:val="center"/>
          </w:tcPr>
          <w:p>
            <w:pPr>
              <w:spacing w:line="360" w:lineRule="auto"/>
              <w:rPr>
                <w:sz w:val="24"/>
                <w:lang w:bidi="en-US"/>
              </w:rPr>
            </w:pPr>
            <w:r>
              <w:rPr>
                <w:rFonts w:hint="eastAsia"/>
                <w:sz w:val="24"/>
                <w:lang w:bidi="en-US"/>
              </w:rPr>
              <w:t>变更技术支持</w:t>
            </w:r>
          </w:p>
        </w:tc>
        <w:tc>
          <w:tcPr>
            <w:tcW w:w="5954" w:type="dxa"/>
            <w:noWrap w:val="0"/>
            <w:vAlign w:val="center"/>
          </w:tcPr>
          <w:p>
            <w:pPr>
              <w:pStyle w:val="13"/>
              <w:spacing w:line="360" w:lineRule="auto"/>
              <w:ind w:firstLine="0" w:firstLineChars="0"/>
              <w:rPr>
                <w:sz w:val="24"/>
                <w:lang w:val="en-US" w:eastAsia="zh-CN" w:bidi="en-US"/>
              </w:rPr>
            </w:pPr>
            <w:r>
              <w:rPr>
                <w:rFonts w:hint="eastAsia" w:ascii="Segoe UI Symbol" w:hAnsi="Segoe UI Symbol" w:cs="Segoe UI Symbol"/>
                <w:sz w:val="24"/>
                <w:lang w:val="en-US" w:eastAsia="zh-CN" w:bidi="en-US"/>
              </w:rPr>
              <w:t>提供每年不限次数的配置变更现场支持服务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13</w:t>
            </w:r>
          </w:p>
        </w:tc>
        <w:tc>
          <w:tcPr>
            <w:tcW w:w="1701" w:type="dxa"/>
            <w:noWrap w:val="0"/>
            <w:vAlign w:val="center"/>
          </w:tcPr>
          <w:p>
            <w:pPr>
              <w:spacing w:line="360" w:lineRule="auto"/>
              <w:rPr>
                <w:sz w:val="24"/>
                <w:lang w:bidi="en-US"/>
              </w:rPr>
            </w:pPr>
            <w:r>
              <w:rPr>
                <w:sz w:val="24"/>
                <w:lang w:bidi="en-US"/>
              </w:rPr>
              <w:t>授权和服务承诺函</w:t>
            </w:r>
          </w:p>
        </w:tc>
        <w:tc>
          <w:tcPr>
            <w:tcW w:w="5954" w:type="dxa"/>
            <w:noWrap w:val="0"/>
            <w:vAlign w:val="center"/>
          </w:tcPr>
          <w:p>
            <w:pPr>
              <w:pStyle w:val="13"/>
              <w:spacing w:line="360" w:lineRule="auto"/>
              <w:ind w:firstLine="0" w:firstLineChars="0"/>
              <w:rPr>
                <w:sz w:val="24"/>
                <w:lang w:val="en-US" w:eastAsia="zh-CN" w:bidi="en-US"/>
              </w:rPr>
            </w:pPr>
            <w:r>
              <w:rPr>
                <w:rFonts w:ascii="Segoe UI Symbol" w:hAnsi="Segoe UI Symbol" w:cs="Segoe UI Symbol"/>
                <w:sz w:val="24"/>
                <w:lang w:bidi="en-US"/>
              </w:rPr>
              <w:t>★</w:t>
            </w:r>
            <w:r>
              <w:rPr>
                <w:sz w:val="24"/>
                <w:lang w:val="en-US" w:eastAsia="zh-CN" w:bidi="en-US"/>
              </w:rPr>
              <w:t>提供</w:t>
            </w:r>
            <w:r>
              <w:rPr>
                <w:rFonts w:hint="eastAsia"/>
                <w:sz w:val="24"/>
                <w:lang w:val="en-US" w:eastAsia="zh-CN" w:bidi="en-US"/>
              </w:rPr>
              <w:t>易安信电脑系统（中国）</w:t>
            </w:r>
            <w:r>
              <w:rPr>
                <w:sz w:val="24"/>
                <w:lang w:val="en-US" w:eastAsia="zh-CN" w:bidi="en-US"/>
              </w:rPr>
              <w:t>有限公司</w:t>
            </w:r>
            <w:r>
              <w:rPr>
                <w:rFonts w:hint="eastAsia"/>
                <w:sz w:val="24"/>
                <w:lang w:val="en-US" w:eastAsia="zh-CN" w:bidi="en-US"/>
              </w:rPr>
              <w:t>对我院核心设备的</w:t>
            </w:r>
            <w:r>
              <w:rPr>
                <w:sz w:val="24"/>
                <w:lang w:val="en-US" w:eastAsia="zh-CN" w:bidi="en-US"/>
              </w:rPr>
              <w:t>售后服务</w:t>
            </w:r>
            <w:r>
              <w:rPr>
                <w:rFonts w:hint="eastAsia"/>
                <w:sz w:val="24"/>
                <w:lang w:val="en-US" w:eastAsia="zh-CN" w:bidi="en-US"/>
              </w:rPr>
              <w:t>承诺</w:t>
            </w:r>
            <w:r>
              <w:rPr>
                <w:sz w:val="24"/>
                <w:lang w:bidi="en-US"/>
              </w:rPr>
              <w:t>函</w:t>
            </w:r>
          </w:p>
        </w:tc>
      </w:tr>
    </w:tbl>
    <w:p>
      <w:pPr>
        <w:pStyle w:val="2"/>
        <w:numPr>
          <w:ilvl w:val="0"/>
          <w:numId w:val="0"/>
        </w:numPr>
        <w:ind w:leftChars="0"/>
        <w:rPr>
          <w:rFonts w:hint="default"/>
          <w:lang w:val="en-US" w:eastAsia="zh-CN"/>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M2JlYThiZGY2MjAzZWUwNGRhNDNhZDE3YWM3Y2MifQ=="/>
  </w:docVars>
  <w:rsids>
    <w:rsidRoot w:val="00563B7E"/>
    <w:rsid w:val="000B2706"/>
    <w:rsid w:val="0016195E"/>
    <w:rsid w:val="002A7F8C"/>
    <w:rsid w:val="0042680C"/>
    <w:rsid w:val="00563B7E"/>
    <w:rsid w:val="006E048B"/>
    <w:rsid w:val="112B46C3"/>
    <w:rsid w:val="17D70DE8"/>
    <w:rsid w:val="18194E5B"/>
    <w:rsid w:val="18944B1B"/>
    <w:rsid w:val="311C0F49"/>
    <w:rsid w:val="3CD76FF9"/>
    <w:rsid w:val="3DC81708"/>
    <w:rsid w:val="3E3101FD"/>
    <w:rsid w:val="417C3111"/>
    <w:rsid w:val="456F24F1"/>
    <w:rsid w:val="48042D21"/>
    <w:rsid w:val="561F5546"/>
    <w:rsid w:val="5DA32B1A"/>
    <w:rsid w:val="60CB250D"/>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after="260" w:line="413" w:lineRule="auto"/>
      <w:ind w:firstLine="200" w:firstLineChars="200"/>
      <w:jc w:val="left"/>
      <w:outlineLvl w:val="2"/>
    </w:pPr>
    <w:rPr>
      <w:rFonts w:ascii="Times New Roman" w:hAnsi="Times New Roman" w:eastAsia="Times New Roman" w:cs="Times New Roman"/>
      <w:b/>
      <w:color w:val="000000"/>
      <w:kern w:val="0"/>
      <w:sz w:val="32"/>
      <w:szCs w:val="24"/>
      <w:lang w:eastAsia="en-US" w:bidi="en-U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缩进正文"/>
    <w:basedOn w:val="6"/>
    <w:qFormat/>
    <w:uiPriority w:val="0"/>
    <w:pPr>
      <w:spacing w:after="0"/>
      <w:ind w:firstLine="200" w:firstLineChars="200"/>
    </w:pPr>
    <w:rPr>
      <w:sz w:val="28"/>
    </w:rPr>
  </w:style>
  <w:style w:type="paragraph" w:styleId="6">
    <w:name w:val="Body Text First Indent"/>
    <w:basedOn w:val="7"/>
    <w:qFormat/>
    <w:uiPriority w:val="0"/>
    <w:pPr>
      <w:spacing w:line="480" w:lineRule="auto"/>
      <w:ind w:firstLine="420" w:firstLineChars="100"/>
      <w:jc w:val="left"/>
    </w:pPr>
    <w:rPr>
      <w:rFonts w:ascii="Times New Roman" w:hAnsi="Times New Roman" w:eastAsia="Times New Roman"/>
      <w:color w:val="000000"/>
      <w:kern w:val="0"/>
      <w:sz w:val="24"/>
      <w:lang w:eastAsia="en-US" w:bidi="en-US"/>
    </w:rPr>
  </w:style>
  <w:style w:type="paragraph" w:styleId="7">
    <w:name w:val="Body Text"/>
    <w:basedOn w:val="1"/>
    <w:unhideWhenUsed/>
    <w:qFormat/>
    <w:uiPriority w:val="0"/>
    <w:pPr>
      <w:spacing w:after="120"/>
    </w:pPr>
    <w:rPr>
      <w:rFonts w:ascii="Calibri" w:hAnsi="Calibri" w:eastAsia="宋体" w:cs="Times New Roman"/>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paragraph" w:customStyle="1" w:styleId="1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1368</Words>
  <Characters>1388</Characters>
  <Lines>3</Lines>
  <Paragraphs>1</Paragraphs>
  <TotalTime>1</TotalTime>
  <ScaleCrop>false</ScaleCrop>
  <LinksUpToDate>false</LinksUpToDate>
  <CharactersWithSpaces>1390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江湖无我</cp:lastModifiedBy>
  <dcterms:modified xsi:type="dcterms:W3CDTF">2023-02-17T01:16:21Z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C8192EF20B7F4CC5A4E5A7DBECF73E56</vt:lpwstr>
  </property>
</Properties>
</file>