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line="360" w:lineRule="auto"/>
        <w:ind w:right="-12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成都市第五人民医院</w:t>
      </w:r>
    </w:p>
    <w:p>
      <w:pPr>
        <w:pStyle w:val="9"/>
        <w:adjustRightInd w:val="0"/>
        <w:snapToGrid w:val="0"/>
        <w:spacing w:line="360" w:lineRule="auto"/>
        <w:ind w:right="-12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银医自助终端维保项目市场调研参数</w:t>
      </w:r>
    </w:p>
    <w:p>
      <w:pPr>
        <w:pStyle w:val="9"/>
        <w:adjustRightInd w:val="0"/>
        <w:snapToGrid w:val="0"/>
        <w:spacing w:line="360" w:lineRule="auto"/>
        <w:ind w:right="-120"/>
        <w:jc w:val="both"/>
        <w:rPr>
          <w:rFonts w:ascii="宋体" w:hAnsi="宋体" w:cs="宋体"/>
          <w:caps w:val="0"/>
          <w:color w:val="000000"/>
          <w:kern w:val="44"/>
          <w:sz w:val="32"/>
          <w:szCs w:val="32"/>
        </w:rPr>
      </w:pPr>
      <w:r>
        <w:rPr>
          <w:rFonts w:hint="eastAsia" w:ascii="宋体" w:hAnsi="宋体" w:cs="宋体"/>
          <w:caps w:val="0"/>
          <w:color w:val="000000"/>
          <w:kern w:val="44"/>
          <w:sz w:val="32"/>
          <w:szCs w:val="32"/>
        </w:rPr>
        <w:t>一、</w:t>
      </w:r>
      <w:bookmarkStart w:id="2" w:name="_GoBack"/>
      <w:bookmarkEnd w:id="2"/>
      <w:r>
        <w:rPr>
          <w:rFonts w:hint="eastAsia" w:ascii="宋体" w:hAnsi="宋体" w:cs="宋体"/>
          <w:caps w:val="0"/>
          <w:color w:val="000000"/>
          <w:kern w:val="44"/>
          <w:sz w:val="32"/>
          <w:szCs w:val="32"/>
        </w:rPr>
        <w:t>项目概述</w:t>
      </w:r>
    </w:p>
    <w:p>
      <w:pPr>
        <w:snapToGrid w:val="0"/>
        <w:spacing w:line="440" w:lineRule="exact"/>
        <w:ind w:firstLine="480"/>
        <w:rPr>
          <w:rFonts w:ascii="宋体" w:hAnsi="宋体" w:cs="宋体"/>
          <w:color w:val="000000"/>
          <w:kern w:val="0"/>
          <w:sz w:val="24"/>
          <w:szCs w:val="24"/>
          <w:lang w:bidi="ar"/>
        </w:rPr>
      </w:pPr>
      <w:r>
        <w:rPr>
          <w:rFonts w:hint="eastAsia" w:ascii="宋体" w:hAnsi="宋体" w:cs="宋体"/>
          <w:color w:val="000000"/>
          <w:kern w:val="0"/>
          <w:sz w:val="24"/>
          <w:szCs w:val="24"/>
          <w:lang w:val="en-US" w:eastAsia="zh-CN" w:bidi="ar"/>
        </w:rPr>
        <w:t>医院</w:t>
      </w:r>
      <w:r>
        <w:rPr>
          <w:rFonts w:hint="eastAsia" w:ascii="宋体" w:hAnsi="宋体" w:cs="宋体"/>
          <w:color w:val="000000"/>
          <w:kern w:val="0"/>
          <w:sz w:val="24"/>
          <w:szCs w:val="24"/>
          <w:lang w:bidi="ar"/>
        </w:rPr>
        <w:t>现使用的银医自助终端维保已到期，设备的定期保养维护以及维修及时性是设备正常运行和全院工作顺利开展的保障,现对该设备的维保服务进行竞争性磋商采购，此次采购服务内容为软硬件技术维保(含零配件更换)。</w:t>
      </w:r>
    </w:p>
    <w:p>
      <w:pPr>
        <w:pStyle w:val="9"/>
        <w:adjustRightInd w:val="0"/>
        <w:snapToGrid w:val="0"/>
        <w:spacing w:line="360" w:lineRule="auto"/>
        <w:ind w:right="-120"/>
        <w:jc w:val="both"/>
        <w:rPr>
          <w:rFonts w:ascii="宋体" w:hAnsi="宋体" w:cs="宋体"/>
          <w:color w:val="000000"/>
          <w:kern w:val="44"/>
          <w:sz w:val="32"/>
          <w:szCs w:val="32"/>
        </w:rPr>
      </w:pPr>
      <w:r>
        <w:rPr>
          <w:rFonts w:hint="eastAsia" w:ascii="宋体" w:hAnsi="宋体" w:cs="宋体"/>
          <w:color w:val="000000"/>
          <w:kern w:val="44"/>
          <w:sz w:val="32"/>
          <w:szCs w:val="32"/>
        </w:rPr>
        <w:t>二、服务清单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957"/>
        <w:gridCol w:w="2045"/>
        <w:gridCol w:w="1683"/>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7"/>
              <w:ind w:firstLine="0" w:firstLineChars="0"/>
              <w:jc w:val="center"/>
              <w:rPr>
                <w:rFonts w:ascii="宋体" w:hAnsi="宋体" w:cs="宋体"/>
                <w:sz w:val="24"/>
                <w:szCs w:val="24"/>
              </w:rPr>
            </w:pPr>
            <w:r>
              <w:rPr>
                <w:rFonts w:hint="eastAsia" w:ascii="宋体" w:hAnsi="宋体" w:cs="宋体"/>
                <w:sz w:val="24"/>
                <w:szCs w:val="24"/>
              </w:rPr>
              <w:t>序号</w:t>
            </w:r>
          </w:p>
        </w:tc>
        <w:tc>
          <w:tcPr>
            <w:tcW w:w="1957" w:type="dxa"/>
          </w:tcPr>
          <w:p>
            <w:pPr>
              <w:pStyle w:val="7"/>
              <w:ind w:firstLine="0" w:firstLineChars="0"/>
              <w:jc w:val="center"/>
              <w:rPr>
                <w:rFonts w:ascii="宋体" w:hAnsi="宋体" w:cs="宋体"/>
                <w:sz w:val="24"/>
                <w:szCs w:val="24"/>
              </w:rPr>
            </w:pPr>
            <w:r>
              <w:rPr>
                <w:rFonts w:hint="eastAsia" w:ascii="宋体" w:hAnsi="宋体" w:cs="宋体"/>
                <w:sz w:val="24"/>
                <w:szCs w:val="24"/>
              </w:rPr>
              <w:t>设备名称</w:t>
            </w:r>
          </w:p>
        </w:tc>
        <w:tc>
          <w:tcPr>
            <w:tcW w:w="2045" w:type="dxa"/>
          </w:tcPr>
          <w:p>
            <w:pPr>
              <w:pStyle w:val="7"/>
              <w:ind w:firstLine="0" w:firstLineChars="0"/>
              <w:jc w:val="center"/>
              <w:rPr>
                <w:rFonts w:ascii="宋体" w:hAnsi="宋体" w:cs="宋体"/>
                <w:sz w:val="24"/>
                <w:szCs w:val="24"/>
              </w:rPr>
            </w:pPr>
            <w:r>
              <w:rPr>
                <w:rFonts w:hint="eastAsia" w:ascii="宋体" w:hAnsi="宋体" w:cs="宋体"/>
                <w:sz w:val="24"/>
                <w:szCs w:val="24"/>
              </w:rPr>
              <w:t>设备型号</w:t>
            </w:r>
          </w:p>
        </w:tc>
        <w:tc>
          <w:tcPr>
            <w:tcW w:w="1683" w:type="dxa"/>
          </w:tcPr>
          <w:p>
            <w:pPr>
              <w:pStyle w:val="7"/>
              <w:ind w:firstLine="0" w:firstLineChars="0"/>
              <w:jc w:val="center"/>
              <w:rPr>
                <w:rFonts w:ascii="宋体" w:hAnsi="宋体" w:cs="宋体"/>
                <w:sz w:val="24"/>
                <w:szCs w:val="24"/>
              </w:rPr>
            </w:pPr>
            <w:r>
              <w:rPr>
                <w:rFonts w:hint="eastAsia" w:ascii="宋体" w:hAnsi="宋体" w:cs="宋体"/>
                <w:sz w:val="24"/>
                <w:szCs w:val="24"/>
              </w:rPr>
              <w:t>服务类型</w:t>
            </w:r>
          </w:p>
        </w:tc>
        <w:tc>
          <w:tcPr>
            <w:tcW w:w="1793" w:type="dxa"/>
          </w:tcPr>
          <w:p>
            <w:pPr>
              <w:pStyle w:val="7"/>
              <w:ind w:firstLine="0" w:firstLineChars="0"/>
              <w:jc w:val="center"/>
              <w:rPr>
                <w:rFonts w:ascii="宋体" w:hAnsi="宋体" w:cs="宋体"/>
                <w:sz w:val="24"/>
                <w:szCs w:val="24"/>
              </w:rPr>
            </w:pPr>
            <w:r>
              <w:rPr>
                <w:rFonts w:hint="eastAsia" w:ascii="宋体" w:hAnsi="宋体" w:cs="宋体"/>
                <w:sz w:val="24"/>
                <w:szCs w:val="24"/>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tcPr>
          <w:p>
            <w:pPr>
              <w:pStyle w:val="7"/>
              <w:ind w:firstLine="0" w:firstLineChars="0"/>
              <w:jc w:val="center"/>
              <w:rPr>
                <w:rFonts w:ascii="宋体" w:hAnsi="宋体" w:cs="宋体"/>
                <w:b w:val="0"/>
                <w:bCs w:val="0"/>
                <w:sz w:val="24"/>
                <w:szCs w:val="24"/>
              </w:rPr>
            </w:pPr>
            <w:r>
              <w:rPr>
                <w:rFonts w:hint="eastAsia" w:ascii="宋体" w:hAnsi="宋体" w:cs="宋体"/>
                <w:b w:val="0"/>
                <w:bCs w:val="0"/>
                <w:sz w:val="24"/>
                <w:szCs w:val="24"/>
              </w:rPr>
              <w:t>1</w:t>
            </w:r>
          </w:p>
        </w:tc>
        <w:tc>
          <w:tcPr>
            <w:tcW w:w="1957" w:type="dxa"/>
          </w:tcPr>
          <w:p>
            <w:pPr>
              <w:pStyle w:val="7"/>
              <w:ind w:firstLine="0" w:firstLineChars="0"/>
              <w:jc w:val="center"/>
              <w:rPr>
                <w:rFonts w:ascii="宋体" w:hAnsi="宋体" w:cs="宋体"/>
                <w:b w:val="0"/>
                <w:bCs w:val="0"/>
                <w:sz w:val="24"/>
                <w:szCs w:val="24"/>
              </w:rPr>
            </w:pPr>
            <w:r>
              <w:rPr>
                <w:rFonts w:hint="eastAsia" w:ascii="宋体" w:hAnsi="宋体" w:cs="宋体"/>
                <w:b w:val="0"/>
                <w:bCs w:val="0"/>
                <w:sz w:val="24"/>
                <w:szCs w:val="24"/>
              </w:rPr>
              <w:t>银医自助终端</w:t>
            </w:r>
          </w:p>
        </w:tc>
        <w:tc>
          <w:tcPr>
            <w:tcW w:w="2045" w:type="dxa"/>
          </w:tcPr>
          <w:p>
            <w:pPr>
              <w:pStyle w:val="7"/>
              <w:ind w:firstLine="0" w:firstLineChars="0"/>
              <w:jc w:val="center"/>
              <w:rPr>
                <w:rFonts w:ascii="宋体" w:hAnsi="宋体" w:cs="宋体"/>
                <w:b w:val="0"/>
                <w:bCs w:val="0"/>
                <w:sz w:val="24"/>
                <w:szCs w:val="24"/>
              </w:rPr>
            </w:pPr>
            <w:r>
              <w:rPr>
                <w:rFonts w:hint="eastAsia" w:ascii="宋体" w:hAnsi="宋体" w:cs="宋体"/>
                <w:b w:val="0"/>
                <w:bCs w:val="0"/>
                <w:sz w:val="24"/>
                <w:szCs w:val="24"/>
              </w:rPr>
              <w:t>FANYEE</w:t>
            </w:r>
          </w:p>
        </w:tc>
        <w:tc>
          <w:tcPr>
            <w:tcW w:w="1683" w:type="dxa"/>
          </w:tcPr>
          <w:p>
            <w:pPr>
              <w:pStyle w:val="7"/>
              <w:ind w:firstLine="0" w:firstLineChars="0"/>
              <w:jc w:val="center"/>
              <w:rPr>
                <w:rFonts w:ascii="宋体" w:hAnsi="宋体" w:cs="宋体"/>
                <w:b w:val="0"/>
                <w:bCs w:val="0"/>
                <w:sz w:val="24"/>
                <w:szCs w:val="24"/>
              </w:rPr>
            </w:pPr>
            <w:r>
              <w:rPr>
                <w:rFonts w:hint="eastAsia" w:ascii="宋体" w:hAnsi="宋体" w:cs="宋体"/>
                <w:b w:val="0"/>
                <w:bCs w:val="0"/>
                <w:sz w:val="24"/>
                <w:szCs w:val="24"/>
              </w:rPr>
              <w:t>技术维保</w:t>
            </w:r>
          </w:p>
        </w:tc>
        <w:tc>
          <w:tcPr>
            <w:tcW w:w="1793" w:type="dxa"/>
          </w:tcPr>
          <w:p>
            <w:pPr>
              <w:pStyle w:val="7"/>
              <w:ind w:firstLine="0" w:firstLineChars="0"/>
              <w:jc w:val="center"/>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58</w:t>
            </w:r>
          </w:p>
        </w:tc>
      </w:tr>
    </w:tbl>
    <w:p>
      <w:pPr>
        <w:spacing w:line="720" w:lineRule="auto"/>
        <w:ind w:firstLine="0" w:firstLineChars="0"/>
        <w:jc w:val="both"/>
        <w:rPr>
          <w:b/>
          <w:bCs/>
          <w:sz w:val="28"/>
          <w:szCs w:val="28"/>
        </w:rPr>
      </w:pPr>
      <w:bookmarkStart w:id="0" w:name="_Toc25991"/>
      <w:r>
        <w:rPr>
          <w:rFonts w:hint="eastAsia"/>
          <w:b/>
          <w:bCs/>
          <w:sz w:val="28"/>
          <w:szCs w:val="28"/>
        </w:rPr>
        <w:t>三、项目服务内容及要求</w:t>
      </w:r>
    </w:p>
    <w:bookmarkEnd w:id="0"/>
    <w:p>
      <w:pPr>
        <w:snapToGrid w:val="0"/>
        <w:spacing w:line="440" w:lineRule="exact"/>
        <w:ind w:firstLine="480"/>
        <w:rPr>
          <w:rFonts w:hint="eastAsia" w:ascii="宋体" w:hAnsi="宋体" w:cs="宋体"/>
          <w:color w:val="000000"/>
          <w:kern w:val="0"/>
          <w:sz w:val="24"/>
          <w:szCs w:val="24"/>
          <w:lang w:val="en-US" w:eastAsia="zh-CN" w:bidi="ar"/>
        </w:rPr>
      </w:pPr>
      <w:bookmarkStart w:id="1" w:name="_Toc14853"/>
      <w:r>
        <w:rPr>
          <w:rFonts w:hint="eastAsia" w:ascii="宋体" w:hAnsi="宋体" w:cs="宋体"/>
          <w:color w:val="000000"/>
          <w:kern w:val="0"/>
          <w:sz w:val="24"/>
          <w:szCs w:val="24"/>
          <w:lang w:val="en-US" w:eastAsia="zh-CN" w:bidi="ar"/>
        </w:rPr>
        <w:t>1. 提供设备整机软硬件技术保修，不含第三方外围设备（如激光打印机等)，含零配件更换。</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 每年提供≥4次设备的季度保养，运行状态检查，并提供维护保养报告。保养内容包括:系统性的检查和精细保养，其中包括设备校准、性能测试和调整、必要的机械或电气检查、非紧急性质的预防性维护以及设备清洁。</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3.季度保养服务的时间应配合门诊工作时间及时安排。</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4.提供远程故障诊断服务，提供专人专用工程师服务电话，365*24小时响应。</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5. 响应时间保证:接到关于设备或其中部件的运行故障的报修电话，服务工程师应10分钟内远程诊断响应；若有必要应立刻安排服务工程师在≤4小时内到达现场对设备进行维修，从而使设备尽快恢复正常工作状态。</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6.加强预防性维护，制定并落实预防性维护维修计划，开展日常保养和维护，有巡检、保养、维修等相关方案及记录。</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7.具备完善的维保所需的专业工具及资料(维修手册等)。</w:t>
      </w:r>
    </w:p>
    <w:p>
      <w:pPr>
        <w:snapToGrid w:val="0"/>
        <w:spacing w:line="440" w:lineRule="exact"/>
        <w:ind w:firstLine="480"/>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8.保修期内确保设备达到96%的开机率(按一年365天计算，不分节假日)。</w:t>
      </w:r>
      <w:bookmarkEnd w:id="1"/>
    </w:p>
    <w:p>
      <w:pPr>
        <w:pStyle w:val="15"/>
        <w:numPr>
          <w:ilvl w:val="0"/>
          <w:numId w:val="0"/>
        </w:numPr>
        <w:ind w:leftChars="0"/>
        <w:rPr>
          <w:rFonts w:hint="default"/>
          <w:lang w:val="en-US" w:eastAsia="zh-CN"/>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M2JlYThiZGY2MjAzZWUwNGRhNDNhZDE3YWM3Y2MifQ=="/>
  </w:docVars>
  <w:rsids>
    <w:rsidRoot w:val="00563B7E"/>
    <w:rsid w:val="000B2706"/>
    <w:rsid w:val="0016195E"/>
    <w:rsid w:val="002A7F8C"/>
    <w:rsid w:val="0042680C"/>
    <w:rsid w:val="00563B7E"/>
    <w:rsid w:val="006E048B"/>
    <w:rsid w:val="08761F51"/>
    <w:rsid w:val="112B46C3"/>
    <w:rsid w:val="17D70DE8"/>
    <w:rsid w:val="18194E5B"/>
    <w:rsid w:val="18944B1B"/>
    <w:rsid w:val="311C0F49"/>
    <w:rsid w:val="3CD76FF9"/>
    <w:rsid w:val="3DC81708"/>
    <w:rsid w:val="3E3101FD"/>
    <w:rsid w:val="417C3111"/>
    <w:rsid w:val="456F24F1"/>
    <w:rsid w:val="48042D21"/>
    <w:rsid w:val="561F5546"/>
    <w:rsid w:val="5DA32B1A"/>
    <w:rsid w:val="60CB250D"/>
    <w:rsid w:val="7D0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after="260" w:line="413" w:lineRule="auto"/>
      <w:ind w:firstLine="200" w:firstLineChars="200"/>
      <w:jc w:val="left"/>
      <w:outlineLvl w:val="2"/>
    </w:pPr>
    <w:rPr>
      <w:rFonts w:ascii="Times New Roman" w:hAnsi="Times New Roman" w:eastAsia="Times New Roman" w:cs="Times New Roman"/>
      <w:b/>
      <w:color w:val="000000"/>
      <w:kern w:val="0"/>
      <w:sz w:val="32"/>
      <w:szCs w:val="24"/>
      <w:lang w:eastAsia="en-US" w:bidi="en-US"/>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eastAsia="宋体" w:cs="Times New Roman"/>
      <w:szCs w:val="24"/>
    </w:rPr>
  </w:style>
  <w:style w:type="paragraph" w:customStyle="1" w:styleId="5">
    <w:name w:val="缩进正文"/>
    <w:basedOn w:val="6"/>
    <w:qFormat/>
    <w:uiPriority w:val="0"/>
    <w:pPr>
      <w:spacing w:after="0"/>
      <w:ind w:firstLine="200" w:firstLineChars="200"/>
    </w:pPr>
    <w:rPr>
      <w:sz w:val="28"/>
    </w:rPr>
  </w:style>
  <w:style w:type="paragraph" w:styleId="6">
    <w:name w:val="Body Text First Indent"/>
    <w:basedOn w:val="2"/>
    <w:qFormat/>
    <w:uiPriority w:val="0"/>
    <w:pPr>
      <w:spacing w:line="480" w:lineRule="auto"/>
      <w:ind w:firstLine="420" w:firstLineChars="100"/>
      <w:jc w:val="left"/>
    </w:pPr>
    <w:rPr>
      <w:rFonts w:ascii="Times New Roman" w:hAnsi="Times New Roman" w:eastAsia="Times New Roman"/>
      <w:color w:val="000000"/>
      <w:kern w:val="0"/>
      <w:sz w:val="24"/>
      <w:lang w:eastAsia="en-US" w:bidi="en-US"/>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paragraph" w:customStyle="1" w:styleId="15">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1368</Words>
  <Characters>1388</Characters>
  <Lines>3</Lines>
  <Paragraphs>1</Paragraphs>
  <TotalTime>2</TotalTime>
  <ScaleCrop>false</ScaleCrop>
  <LinksUpToDate>false</LinksUpToDate>
  <CharactersWithSpaces>1390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2022-02-16T06:14:00Z</dcterms:created>
  <dc:creator>强哥哥</dc:creator>
  <cp:lastModifiedBy>江湖无我</cp:lastModifiedBy>
  <dcterms:modified xsi:type="dcterms:W3CDTF">2023-04-26T02:30:20Z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C8192EF20B7F4CC5A4E5A7DBECF73E56</vt:lpwstr>
  </property>
</Properties>
</file>