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智慧胸痛中心云平台服务项目调研参数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项目背景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家卫计委发布《胸痛中心建设与管理指导原则(试行)》的通知，呼吁地方各级卫生行政部门要高度重视胸痛相关疾病治疗救治工作，按照改善医疗服务相关工作要求，创新急诊急救服务，鼓励指导本辖区医疗机构做好胸痛中心建设和管理工作。具备条件的医疗机构，要按照《指导原则》积极开展胸痛中心建设，建立以胸痛中心围基础的多学科联合治疗模式，提升医疗服务能力。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功能需求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1、智慧胸痛中心云平台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（1）数据直报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技术和性能参数需求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支持登记患者的基本信息，包含：患者姓名、来院方式、首次医疗接触时间、性别、证件类型、证件号、出生日期、年龄、发病地址、医保类型、医保编号等信息；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支持快速扫描，能够从患者身份证、医保卡中快速读取患者基本资料；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支持发病地址的定位；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支持直接手工录入、修改患者信息；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支持与中国胸痛中心填报平台同步。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院前急救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支持记录院前接诊：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1）发病时间。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2）呼救时间。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3）出车单位。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4）医护人员。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5）是否转送上级单位。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支持记录院前体征，包括：意识、呼吸、脉搏、心率、血压、体温等信息；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支持院前心电图的上传，支持登记远程心电图的传输时间和传输方式；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支持记录是否远程会诊和双绕；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支持记录院前初步诊断；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支持记录双抗治疗；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支持记录院前溶栓治疗；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支持记录到达医院大门时间；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支持直接手工录入、修改患者信息；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支持与中国胸痛中心填报平台同步。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急诊分诊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支持登记患者接诊信息，包括：门诊号、主诉、病情评估、评估明细、院内首诊医师接诊时间等信息；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支持记录院内生命体征，包括：意识、呼吸、脉搏、心率、血压、体温等信息；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支持记录分诊结果和患者去向；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支持直接手工录入、修改患者信息；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支持中国胸痛中心填报平台同步。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检验检查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支持院内心电图的拍照上传，支持登记远程心电图的接收时间和传输方式，是否远程会诊和双绕由院前急救同步信息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支持记录检查，包括：肌钙蛋白和实验室检查；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支持记录是否远程会诊和双绕；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支持记录院前初步诊断，对患者进行心功能分级；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支持直接手工录入、修改患者信息；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支持与中国胸痛中心填报平台同步。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院内诊疗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支持记录用药情况，包括：双抗给药、术前抗凝、他汀治疗、β受体阻滞剂等使用情况，双抗情况可由院前急救同步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支持选择再灌注策略；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支持直接手工录入、修改患者信息；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支持与中国胸痛中心填报平台同步。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介入手术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支持记录介入手术的情况，包括：导管室激活时间、穿刺时间、造影时间、TIMI血流等级、抗凝药物、D2W等信息；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支持记录冠脉造影情况；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支持记录手术器械使用情况；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支持直接手工录入、修改患者信息；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支持中国胸痛中心填报平台同步。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患者转归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支持登记患者的出院诊断，包括：住院号、出院诊断、COVIN-19等信息；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支持记录患者住院期间的用药情况；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支持登记患者的出院信息，包括住院天数、总费用、出院或30天转归情况等信息，记录患者在本院治疗后的情况；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支持直接手工录入、修改患者信息；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支持中国胸痛中心填报平台同步。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患者列表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提供患者列表包含基本信息、建档时间、来院方式、诊断等内容；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支持筛选查找；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按照填报中、待审核、待存档、已归档分类；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支持病例的保存、提交、审核、归档、通过和驳回；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支持直接手工录入、修改患者信息；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支持中国胸痛中心填报平台同步。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默认模板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可设置默认模板：支持双抗、住院期间用药、抗凝药物、出院带药、检查检验、网络医院和医护列表默认模板，支持快速模板填报。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病例建档和删除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APP端新增建档病例，中国胸痛中心填报平台也会同步新增病例。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APP端删除病例，中国胸痛中心填报平台也会同步删除病例。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分场景填报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进行分场景填报，设置不同角色，如院前急救、急诊接诊、心内科、导管室，包括内容：患者基本信息、地址定位、院前急救-呼救120、院前急救-转院、急诊分诊、检验检查、院内诊疗、介入手术、患者转归、院前院内信息同步、心电图、肌钙蛋白、Grace评分自动分层、入路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时间采集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根据账户权限和角色，显示时间采集模块；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快速点选采集当前时间，可修改时间，修改后可同步至病例编辑模块和中国胸痛中心填报平台。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时间轴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呈现单病例全流程救治流程的时间轴，显示核心指标时间如S2FMC、FMC2ECG、D2W、FMC2W和D2N时间；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支持时间轴中时间差值计算，时间轴中更改时间值，同步至病例编辑模块、时间采集模块和中国胸痛中心填报平台。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单病例分析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Hlk11354564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显示各项认证指标的具体要求，如入选条件和质控要求，显示病例是否达标。</w:t>
            </w:r>
          </w:p>
          <w:bookmarkEnd w:id="0"/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（1）若该病例不符合入选条件，显示灰色和不满足的字段。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（2）若该病例字段填报缺失但符合入选条件，显示灰色并提醒漏填字段。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（3）若该病例符合单项指标的算法，显示蓝色，时间型指标反应反应用时情况，趋势型指标反应趋势情况。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4）若该病例符合单项指标入选条件，但不满足质控要求，显示红色，时间型指标分析指标算法中要求的字段填报内容如时间等，并且反应用时情况；趋势型指标分析指标算法中要求的字段填报内容如“是否”等。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（2）数据分析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技术和性能参数需求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29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数据概览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显示累计填报量：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支持时间过滤：3个月、近6个月、近一年或者自定义。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高危胸痛患者填报趋势：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ab/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柱状图：显示STEMI、NSTEMI、UA、主动脉夹层和肺动脉栓塞的病例数量。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折线图:显示每个月患者总量的变化趋势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病因分析：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ab/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饼状图：显示诊断中、STEMI、NSTEMI、UA、主动脉夹层、肺动脉栓塞、非ACS心源性胸痛、其它非心源性胸痛和其它的病例数。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发病12h以内STEMI患者再灌注策略：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柱状图;根据填报的患者再灌注策略，统计出选择急诊PCI、溶栓、转运PCI、补救PCI、其他这五个策略的STEMI患者数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网络医院统计：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统计网络医院的转诊患者数和STEMI患者的再灌注策略。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数据填报管理执行情况：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饼状图：统计完成填报、完成审核、完成归档和超期归档的病例比例。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提醒即将锁定的病例和已经被锁定的病例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胸痛患者随访统计：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折线图：显示1月随访、3月随访、6月随访和12月随访的比例。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智能分析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整体意见：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根据不同时间段，分析不同时间段内医院胸痛中心数据填报及指标改善情况，对临床流程、数据管理、人员培训等方面给出总体意见。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1" w:name="_Hlk113366127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指标概览：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显示各项认证指标的具体情况达标的显示，分析不同时间段的指标详情，包括：是否达标、不达标的月份、入选条件、参考标准、病例总数、有效数据、无效数据等: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(1)若该时间段不符合指标入选条件，显示灰色。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(2)若该时间段符合指标的算法，显示绿色，并且反应该时间段内的填报情况。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(3)若该时间段符合指标入选条件，但不满足质控要求，显示红色，同时显示不达标的月份，并且反应该时间段内的填报情况。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支持筛选关键指标；</w:t>
            </w:r>
          </w:p>
          <w:bookmarkEnd w:id="1"/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支持给予各单项指标的整改意见。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指标汇总分析：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显示入选条件、时间范围、平均时间、病例总数、有效数据例数、达标数量、未达标数量、达标率、无效数据例数、填报异常例数；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显示纳入指标算法的病例数，包括达标病例数、未达标病例数和达标率；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显示填报异常的病例。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支持查看填报异常的患者列表，给出具体意见，并且可以跳转到具体病例进行查看和填报。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显示该指标算法下的具体病例情况，如编号、姓名、所用时间等，同时显示指标算法中要求的字段填报内容如时间等；支持具体病例的定位跳转。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指标明细分析：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统计该时间段内每个月份的平均时间、达标量/病例总数、达标率。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显示该指标算法下的每月的填报情况，包括月份、平均时间、达标病例/有效病例和达标率；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点击月份，显示总病例、有效病例、达标病例、未达标病例和无效病例的数量；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显示该指标算法下的具体病例情况，如编号、姓名和时间差值，同时分析指标算法中要求的字段填报内容；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支持具体病例定位跳转。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统计该时间段内每个月份的平均时间、有效数据例数/病例总数、百分比。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显示该指标算法下的每月的填报情况，包括月份、有效病例/病例总数和达标率；点击月份，显示总病例、有效病例、达标病例、未达标病例和无效病例的数量；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显示该指标算法下的具体病例情况，如编号、姓名等，同时指标算法中要求的字段填报内容；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支持具体病例定位跳转。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质控指标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通过胸痛联盟认证后支持质控指标分析查看：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指标考核病例需满足条件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进行该指标的满足条件说明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指标详情图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在病例考核范围内，统计平均时间、最大差值、最小差值和统计病例总数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指标统计患者详细说明图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提供患者具体情况，包括：编号、差值。同时显示指标算法中要求的字段填报内容如时间等</w:t>
            </w:r>
          </w:p>
        </w:tc>
      </w:tr>
    </w:tbl>
    <w:p>
      <w:pPr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救治单元管理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技术和性能参数需求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支持登记患者的基本信息，包含：患者姓名、来院方式、首次医疗接触时间、性别、证件类型、证件号、出生日期、年龄、发病地址、医保类型、医保编号等信息；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支持快速扫描，能够从患者身份证、医保卡中快速读取患者基本资料；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支持发病地址的定位；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支持记录发病时间；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支持直接手工录入、修改患者信息；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支持与中国胸痛中心填报平台对接，支持接收下级救治单元的填报数据；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下级救治单元账号自动生成。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病情评估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支持对病情进行评估，并选择评估明细；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诊断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支持记录诊断结果和诊断时间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来院方式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支持记录来院方式、首次医疗接触时间和到达医院大门时间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基础生命体征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支持记录院前体征，包括：意识、呼吸、脉搏、心率、血压、体温等信息。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心电图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支持上传心电图。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实验室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检查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支持记录检查，包括：肌钙蛋白和实验室检查。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初始药物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支持记录双抗药物使用情况。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治疗策略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支持治疗策略的选择，包括：溶栓、转运和保守治疗。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院内溶栓治疗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支持记录院内溶栓时间和溶栓药物使用情况。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出院信息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支持记录出院诊断、出院转归和离开本院大门时间。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患者列表</w:t>
            </w:r>
          </w:p>
        </w:tc>
        <w:tc>
          <w:tcPr>
            <w:tcW w:w="7668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提供患者列表包含基本信息、建档时间、来院方式、诊断等内容；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支持筛选查找；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按照填报中、待审核、待存档、已归档分类；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支持病例的保存、提交、审核、归档。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支持直接手工录入、修改患者信息；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救治单元单位用户填报信息，可同步至胸痛中心单位账户</w:t>
            </w:r>
          </w:p>
        </w:tc>
      </w:tr>
    </w:tbl>
    <w:p>
      <w:pPr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随访管理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技术和性能参数需求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随访列表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提供患者列表，包含姓名、诊断、计划随访日期、随访有效期，随访进度等内容；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支持筛选查找；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按照未随访、已随访、已过期的分类；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支持随访提醒；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撤销随访时，弹出对话框提示是否确定撤销随访，如果用户确认，则删除患者随访信息，恢复患者病例的出院或30天转归、出院时间字段的编辑功能；</w:t>
            </w:r>
          </w:p>
          <w:p>
            <w:pPr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支持保存和新增随访。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随访详情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基本信息：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1月、3月、6月、12月分别记录随访信息，包括：是否随访、随访信息获取途径、实际评估日期、随访状态、目前情况、是否加入心脏康复计划、是否加入心脏关爱计划、出院后主要心血管不良事件等信息。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危险因素控制：包括：血压监测、血脂四项、脂蛋白a、空腹血糖、糖化血红蛋白、是否吸烟、是否饮酒等信息。</w:t>
            </w:r>
          </w:p>
        </w:tc>
      </w:tr>
    </w:tbl>
    <w:p>
      <w:pPr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智慧模板（三项）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技术和性能参数需求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典型病例分析会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根据填报情况，大数据分析智能遴选典型病例，提供医院参考。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质量分析会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根据填报情况，筛选出不达标的病例，分析不达标的原因，并且给出具体建议，生成PPT，供医院进行会议讲解。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联合例会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提供联合例会要求，并提供工具包。</w:t>
            </w:r>
          </w:p>
        </w:tc>
      </w:tr>
    </w:tbl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（6）胸痛培训模板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技术和性能参数需求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胸痛学院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提供学习资料，如最新胸痛中心认证标准、相关培训课件、相关培训视频、视频会议、官方消息、指南、学术文章、各种文件解读，医院可以根据自己的需要选择资料进行学习。</w:t>
            </w:r>
          </w:p>
        </w:tc>
      </w:tr>
    </w:tbl>
    <w:p>
      <w:pPr>
        <w:pStyle w:val="4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（7）权限管理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技术和性能参数需求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用户管理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支持机构管理员查看，其他子账户无法查看；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支持新增用户，新增账户同步至填报平台；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支持删除账户，同步删除填报平台账户；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支持绑定角色；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支持编辑用户资料；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支持同步用户资料至中国胸痛中心填报平台(姓名、手机号、邮箱)；</w:t>
            </w:r>
          </w:p>
          <w:p>
            <w:pPr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支持修改或重置密码，并和中国胸痛中心填报平台互通。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角色管理</w:t>
            </w: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各场景填报员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支持登录、修改密码；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默认开通各场景模块的数据填报、数据分析、救治单元管理、随访管理、智慧化三会模板和胸痛学院；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支持进行保存和提交。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随访员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支持登录、修改密码；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默认开通随访管理和胸痛学院。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支持登录、修改密码；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默认开通数据填报、数据分析、救治单元管理、随访管理、智慧化三会模板和胸痛学院；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支持进行审核和驳回。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归档员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支持登录、修改密码；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默认开通数据填报、数据分析、救治单元管理、随访管理、智慧化三会模板和胸痛学院；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支持进行归档。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机构管理员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支持登录、修改密码；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默认开通数据填报、数据分析、救治单元管理、随访管理、智慧化三会模板和胸痛学院；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支持进行保存、提交、审核、驳回和归档；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可修改人员权限。</w:t>
            </w:r>
          </w:p>
        </w:tc>
      </w:tr>
    </w:tbl>
    <w:p/>
    <w:p>
      <w:pPr>
        <w:numPr>
          <w:ilvl w:val="0"/>
          <w:numId w:val="1"/>
        </w:numP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技术要求</w:t>
      </w:r>
    </w:p>
    <w:p>
      <w:pPr>
        <w:numPr>
          <w:ilvl w:val="0"/>
          <w:numId w:val="3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胸痛中心总部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>
      <w:pPr>
        <w:numPr>
          <w:ilvl w:val="0"/>
          <w:numId w:val="3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胸痛中心数据管理及质量控制信息化建设的要求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实现胸痛数据管理实时、及时、规范、可溯源、质控、培训、随访等要求。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服务方式说明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3、供应商在我院部署完成智慧胸痛中心云平台后，达到使用标准后及认定为部署安装验收合格，服务时间从安装验收合格之日起计算。一采三年，合同一年一签。</w:t>
      </w:r>
      <w:bookmarkStart w:id="2" w:name="_GoBack"/>
      <w:bookmarkEnd w:id="2"/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444D9"/>
    <w:multiLevelType w:val="singleLevel"/>
    <w:tmpl w:val="84E444D9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8D44ADD2"/>
    <w:multiLevelType w:val="singleLevel"/>
    <w:tmpl w:val="8D44AD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0A332F3"/>
    <w:multiLevelType w:val="singleLevel"/>
    <w:tmpl w:val="40A332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OTBkYTFiZTM4MDQ3NGM2OTNhYzBiZjU5MGNhZGUifQ=="/>
  </w:docVars>
  <w:rsids>
    <w:rsidRoot w:val="00000000"/>
    <w:rsid w:val="2E8D6464"/>
    <w:rsid w:val="38870DF2"/>
    <w:rsid w:val="7244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4923</Words>
  <Characters>5017</Characters>
  <Lines>0</Lines>
  <Paragraphs>0</Paragraphs>
  <TotalTime>1</TotalTime>
  <ScaleCrop>false</ScaleCrop>
  <LinksUpToDate>false</LinksUpToDate>
  <CharactersWithSpaces>5053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2023-03-23T02:30:00Z</dcterms:created>
  <dc:creator>hzbd</dc:creator>
  <cp:lastModifiedBy>江湖无我</cp:lastModifiedBy>
  <dcterms:modified xsi:type="dcterms:W3CDTF">2023-06-29T03:55:47Z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EB5D0172BC514E96BD61FD4C8F8787BC_12</vt:lpwstr>
  </property>
</Properties>
</file>