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740" w:type="dxa"/>
        <w:tblInd w:w="-8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7"/>
        <w:gridCol w:w="933"/>
        <w:gridCol w:w="1310"/>
        <w:gridCol w:w="934"/>
        <w:gridCol w:w="58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项目序号</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科室</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进口/国产</w:t>
            </w:r>
          </w:p>
        </w:tc>
        <w:tc>
          <w:tcPr>
            <w:tcW w:w="5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急诊医学科</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亚低温治疗仪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5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1.水毯水温控制范围:4℃-42℃左右；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2.水毯升温速度:＞3.3℃/分；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3.水毯降温速度＞ 4.4℃/分；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4.配置要求：水毯、连接管、体温传感器等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心胸外科</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空气波压力治疗仪（淋巴引流专用）</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5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1.适用于淋巴水肿症状的改善和控制，临床可用于恶性肿瘤术后、外伤原因等引起的继发性淋巴水肿患者以及部分不明原因的原发性肢体水肿患者的治疗；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要求配备覆盖全身的压力服，模拟手法引流的顺序和压力，并且带有软件，可以在电脑上为不同患者单独设置压力和模式并保存为针对每个患者不同的压力处方，并通过数据线连接电脑和设备主机后，将数据传输到设备以同步主机的压力和模式，便于患者治疗的长期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3.设备具有安全梯度压力，可通过电脑软件对每腔气囊压力进行调节。但远心端气囊可设置的压力不可低于近心端气囊可设置的压力,确保设备使用的安全性；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4.主机有至少24个出气口能连接压力衣压力裤等；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5.设备有安全保护功能，能确保肢体压力套内的气压不会高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于正常血压范围，确保设备使用安全；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6.主机(带电脑软件)1 台，12 腔复用型单臂压力衣1件，24腔复用型压力裤</w:t>
            </w:r>
            <w:bookmarkStart w:id="0" w:name="_GoBack"/>
            <w:bookmarkEnd w:id="0"/>
            <w:r>
              <w:rPr>
                <w:rFonts w:hint="eastAsia" w:ascii="宋体" w:hAnsi="宋体" w:eastAsia="宋体" w:cs="宋体"/>
                <w:i w:val="0"/>
                <w:iCs w:val="0"/>
                <w:color w:val="000000"/>
                <w:kern w:val="0"/>
                <w:sz w:val="22"/>
                <w:szCs w:val="22"/>
                <w:u w:val="none"/>
                <w:lang w:val="en-US" w:eastAsia="zh-CN" w:bidi="ar"/>
              </w:rPr>
              <w:t>1条、臂套1套、腿套1套；</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2MjMxMGQyODAyNmQ0ZTBlMmUxNzRmZTNhZjFiZTYifQ=="/>
  </w:docVars>
  <w:rsids>
    <w:rsidRoot w:val="1E6A7F6E"/>
    <w:rsid w:val="15852671"/>
    <w:rsid w:val="1E6A7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2023-08-09T01:04:00Z</dcterms:created>
  <dc:creator>医学装备科</dc:creator>
  <cp:lastModifiedBy>医学装备科</cp:lastModifiedBy>
  <dcterms:modified xsi:type="dcterms:W3CDTF">2023-08-09T01:14:48Z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E6E2FD8B83064FBD895A251200DEF4B3_11</vt:lpwstr>
  </property>
</Properties>
</file>